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D5" w:rsidRPr="00C8335E" w:rsidRDefault="00B849D5" w:rsidP="00B849D5">
      <w:pPr>
        <w:spacing w:after="0"/>
        <w:rPr>
          <w:rFonts w:ascii="Tw Cen MT" w:hAnsi="Tw Cen MT"/>
        </w:rPr>
      </w:pPr>
      <w:r>
        <w:rPr>
          <w:noProof/>
          <w:lang w:val="es-PR" w:eastAsia="es-PR"/>
        </w:rPr>
        <w:drawing>
          <wp:anchor distT="0" distB="0" distL="114300" distR="114300" simplePos="0" relativeHeight="251659264" behindDoc="0" locked="0" layoutInCell="1" allowOverlap="1" wp14:anchorId="10D01C20" wp14:editId="1AD3BE36">
            <wp:simplePos x="0" y="0"/>
            <wp:positionH relativeFrom="column">
              <wp:posOffset>-289560</wp:posOffset>
            </wp:positionH>
            <wp:positionV relativeFrom="paragraph">
              <wp:posOffset>-568960</wp:posOffset>
            </wp:positionV>
            <wp:extent cx="2600960" cy="844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1 - Cop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8266" cy="846501"/>
                    </a:xfrm>
                    <a:prstGeom prst="rect">
                      <a:avLst/>
                    </a:prstGeom>
                  </pic:spPr>
                </pic:pic>
              </a:graphicData>
            </a:graphic>
            <wp14:sizeRelH relativeFrom="page">
              <wp14:pctWidth>0</wp14:pctWidth>
            </wp14:sizeRelH>
            <wp14:sizeRelV relativeFrom="page">
              <wp14:pctHeight>0</wp14:pctHeight>
            </wp14:sizeRelV>
          </wp:anchor>
        </w:drawing>
      </w:r>
    </w:p>
    <w:p w:rsidR="00B849D5" w:rsidRPr="00C8335E" w:rsidRDefault="00B849D5" w:rsidP="00B849D5">
      <w:pPr>
        <w:spacing w:after="0" w:line="240" w:lineRule="auto"/>
        <w:ind w:left="6480" w:firstLine="720"/>
        <w:rPr>
          <w:rFonts w:ascii="Tw Cen MT" w:hAnsi="Tw Cen MT"/>
        </w:rPr>
      </w:pPr>
    </w:p>
    <w:p w:rsidR="00B849D5" w:rsidRPr="00C8335E" w:rsidRDefault="00B849D5" w:rsidP="00B849D5">
      <w:pPr>
        <w:spacing w:after="0" w:line="240" w:lineRule="auto"/>
        <w:ind w:left="6480" w:firstLine="720"/>
        <w:rPr>
          <w:rFonts w:ascii="Tw Cen MT" w:hAnsi="Tw Cen MT"/>
        </w:rPr>
      </w:pPr>
    </w:p>
    <w:p w:rsidR="00B849D5" w:rsidRPr="00B9717B" w:rsidRDefault="00B849D5" w:rsidP="00B849D5">
      <w:pPr>
        <w:pStyle w:val="Heading2"/>
        <w:pBdr>
          <w:bottom w:val="single" w:sz="4" w:space="1" w:color="auto"/>
        </w:pBdr>
        <w:jc w:val="left"/>
        <w:rPr>
          <w:rFonts w:ascii="Tw Cen MT" w:hAnsi="Tw Cen MT" w:cs="Calibri"/>
          <w:sz w:val="40"/>
          <w:szCs w:val="44"/>
        </w:rPr>
      </w:pPr>
      <w:r w:rsidRPr="00B9717B">
        <w:rPr>
          <w:rFonts w:ascii="Tw Cen MT" w:hAnsi="Tw Cen MT" w:cs="Calibri"/>
          <w:sz w:val="40"/>
          <w:szCs w:val="44"/>
        </w:rPr>
        <w:t>COMUNICADO DE PRENSA</w:t>
      </w:r>
    </w:p>
    <w:p w:rsidR="00B849D5" w:rsidRPr="00C8335E" w:rsidRDefault="00B47A96" w:rsidP="00B849D5">
      <w:pPr>
        <w:spacing w:after="0"/>
        <w:ind w:left="7920" w:hanging="3600"/>
        <w:jc w:val="right"/>
        <w:rPr>
          <w:rFonts w:ascii="Tw Cen MT" w:hAnsi="Tw Cen MT" w:cs="Calibri"/>
          <w:bCs/>
          <w:sz w:val="20"/>
          <w:szCs w:val="20"/>
          <w:lang w:val="es-ES"/>
        </w:rPr>
      </w:pPr>
      <w:r>
        <w:rPr>
          <w:rFonts w:ascii="Tw Cen MT" w:hAnsi="Tw Cen MT" w:cs="Calibri"/>
          <w:bCs/>
          <w:sz w:val="20"/>
          <w:szCs w:val="20"/>
          <w:lang w:val="es-ES"/>
        </w:rPr>
        <w:t>7</w:t>
      </w:r>
      <w:r w:rsidR="009E21A8">
        <w:rPr>
          <w:rFonts w:ascii="Tw Cen MT" w:hAnsi="Tw Cen MT" w:cs="Calibri"/>
          <w:bCs/>
          <w:sz w:val="20"/>
          <w:szCs w:val="20"/>
          <w:lang w:val="es-ES"/>
        </w:rPr>
        <w:t xml:space="preserve"> de marzo</w:t>
      </w:r>
      <w:r w:rsidR="00B849D5">
        <w:rPr>
          <w:rFonts w:ascii="Tw Cen MT" w:hAnsi="Tw Cen MT" w:cs="Calibri"/>
          <w:bCs/>
          <w:sz w:val="20"/>
          <w:szCs w:val="20"/>
          <w:lang w:val="es-ES"/>
        </w:rPr>
        <w:t xml:space="preserve"> de 2014</w:t>
      </w:r>
    </w:p>
    <w:p w:rsidR="00B849D5" w:rsidRPr="00C8335E" w:rsidRDefault="00B849D5" w:rsidP="00B849D5">
      <w:pPr>
        <w:spacing w:after="0"/>
        <w:ind w:left="7920" w:hanging="720"/>
        <w:jc w:val="right"/>
        <w:rPr>
          <w:rFonts w:ascii="Tw Cen MT" w:hAnsi="Tw Cen MT" w:cs="Calibri"/>
          <w:bCs/>
          <w:sz w:val="20"/>
          <w:szCs w:val="20"/>
          <w:lang w:val="es-ES"/>
        </w:rPr>
      </w:pPr>
      <w:r w:rsidRPr="00C8335E">
        <w:rPr>
          <w:rFonts w:ascii="Tw Cen MT" w:hAnsi="Tw Cen MT" w:cs="Calibri"/>
          <w:b/>
          <w:bCs/>
          <w:sz w:val="20"/>
          <w:szCs w:val="20"/>
          <w:lang w:val="es-ES"/>
        </w:rPr>
        <w:t xml:space="preserve">    Odalie David Frasqueri</w:t>
      </w:r>
    </w:p>
    <w:p w:rsidR="00B849D5" w:rsidRPr="00C8335E" w:rsidRDefault="00B849D5" w:rsidP="00B849D5">
      <w:pPr>
        <w:spacing w:after="0" w:line="240" w:lineRule="auto"/>
        <w:ind w:left="6480"/>
        <w:jc w:val="right"/>
        <w:rPr>
          <w:rFonts w:ascii="Tw Cen MT" w:hAnsi="Tw Cen MT" w:cs="Calibri"/>
          <w:bCs/>
          <w:sz w:val="20"/>
          <w:szCs w:val="20"/>
          <w:lang w:val="es-ES"/>
        </w:rPr>
      </w:pPr>
      <w:r w:rsidRPr="00C8335E">
        <w:rPr>
          <w:rFonts w:ascii="Tw Cen MT" w:hAnsi="Tw Cen MT" w:cs="Calibri"/>
          <w:b/>
          <w:bCs/>
          <w:sz w:val="20"/>
          <w:szCs w:val="20"/>
          <w:lang w:val="es-ES"/>
        </w:rPr>
        <w:t xml:space="preserve">  </w:t>
      </w:r>
      <w:hyperlink r:id="rId7" w:history="1">
        <w:r w:rsidRPr="00C8335E">
          <w:rPr>
            <w:rStyle w:val="Hyperlink"/>
            <w:rFonts w:ascii="Tw Cen MT" w:hAnsi="Tw Cen MT" w:cs="Calibri"/>
            <w:bCs/>
            <w:sz w:val="20"/>
            <w:szCs w:val="20"/>
            <w:lang w:val="es-ES"/>
          </w:rPr>
          <w:t>odalie.david@cce.pr.gov</w:t>
        </w:r>
      </w:hyperlink>
    </w:p>
    <w:p w:rsidR="00B849D5" w:rsidRPr="00C8335E" w:rsidRDefault="00B849D5" w:rsidP="00B849D5">
      <w:pPr>
        <w:spacing w:after="0" w:line="240" w:lineRule="auto"/>
        <w:ind w:left="6480"/>
        <w:jc w:val="right"/>
        <w:rPr>
          <w:rFonts w:ascii="Tw Cen MT" w:hAnsi="Tw Cen MT" w:cs="Calibri"/>
          <w:bCs/>
          <w:sz w:val="20"/>
          <w:szCs w:val="20"/>
          <w:lang w:val="es-ES"/>
        </w:rPr>
      </w:pPr>
      <w:r w:rsidRPr="00C8335E">
        <w:rPr>
          <w:rFonts w:ascii="Tw Cen MT" w:hAnsi="Tw Cen MT" w:cs="Calibri"/>
          <w:bCs/>
          <w:sz w:val="20"/>
          <w:szCs w:val="20"/>
          <w:lang w:val="es-ES"/>
        </w:rPr>
        <w:t>787.410.7352</w:t>
      </w:r>
    </w:p>
    <w:p w:rsidR="00B849D5" w:rsidRDefault="00B849D5">
      <w:pPr>
        <w:rPr>
          <w:lang w:val="es-PR"/>
        </w:rPr>
      </w:pPr>
    </w:p>
    <w:p w:rsidR="00005707" w:rsidRDefault="00005707" w:rsidP="00612B74">
      <w:pPr>
        <w:spacing w:after="120" w:line="240" w:lineRule="auto"/>
        <w:jc w:val="center"/>
        <w:rPr>
          <w:b/>
          <w:sz w:val="32"/>
          <w:szCs w:val="32"/>
          <w:lang w:val="es-PR"/>
        </w:rPr>
      </w:pPr>
      <w:r>
        <w:rPr>
          <w:b/>
          <w:sz w:val="32"/>
          <w:szCs w:val="32"/>
          <w:lang w:val="es-PR"/>
        </w:rPr>
        <w:t xml:space="preserve">VENTAS AL DETAL DE PYMES ALCANZAN SU NIVEL MÁS ALTO </w:t>
      </w:r>
    </w:p>
    <w:p w:rsidR="00B849D5" w:rsidRDefault="00005707" w:rsidP="00612B74">
      <w:pPr>
        <w:spacing w:after="120" w:line="240" w:lineRule="auto"/>
        <w:jc w:val="center"/>
        <w:rPr>
          <w:b/>
          <w:sz w:val="32"/>
          <w:szCs w:val="32"/>
          <w:lang w:val="es-PR"/>
        </w:rPr>
      </w:pPr>
      <w:r>
        <w:rPr>
          <w:b/>
          <w:sz w:val="32"/>
          <w:szCs w:val="32"/>
          <w:lang w:val="es-PR"/>
        </w:rPr>
        <w:t>EN 9 AÑOS</w:t>
      </w:r>
    </w:p>
    <w:p w:rsidR="00005707" w:rsidRPr="00005707" w:rsidRDefault="00005707" w:rsidP="00B9174E">
      <w:pPr>
        <w:spacing w:line="240" w:lineRule="auto"/>
        <w:jc w:val="center"/>
        <w:rPr>
          <w:i/>
          <w:sz w:val="24"/>
          <w:szCs w:val="32"/>
          <w:lang w:val="es-PR"/>
        </w:rPr>
      </w:pPr>
      <w:r w:rsidRPr="00005707">
        <w:rPr>
          <w:i/>
          <w:sz w:val="24"/>
          <w:szCs w:val="32"/>
          <w:lang w:val="es-PR"/>
        </w:rPr>
        <w:t xml:space="preserve">CCE revela </w:t>
      </w:r>
      <w:r>
        <w:rPr>
          <w:i/>
          <w:sz w:val="24"/>
          <w:szCs w:val="32"/>
          <w:lang w:val="es-PR"/>
        </w:rPr>
        <w:t>d</w:t>
      </w:r>
      <w:r w:rsidR="004168D1">
        <w:rPr>
          <w:i/>
          <w:sz w:val="24"/>
          <w:szCs w:val="32"/>
          <w:lang w:val="es-PR"/>
        </w:rPr>
        <w:t>ata</w:t>
      </w:r>
      <w:r>
        <w:rPr>
          <w:i/>
          <w:sz w:val="24"/>
          <w:szCs w:val="32"/>
          <w:lang w:val="es-PR"/>
        </w:rPr>
        <w:t xml:space="preserve"> ventas al detal</w:t>
      </w:r>
      <w:r w:rsidR="004168D1">
        <w:rPr>
          <w:i/>
          <w:sz w:val="24"/>
          <w:szCs w:val="32"/>
          <w:lang w:val="es-PR"/>
        </w:rPr>
        <w:t xml:space="preserve"> cierre año </w:t>
      </w:r>
      <w:r>
        <w:rPr>
          <w:i/>
          <w:sz w:val="24"/>
          <w:szCs w:val="32"/>
          <w:lang w:val="es-PR"/>
        </w:rPr>
        <w:t>2013</w:t>
      </w:r>
    </w:p>
    <w:p w:rsidR="00976429" w:rsidRPr="00B47A96" w:rsidRDefault="00B47A96" w:rsidP="00B47A96">
      <w:pPr>
        <w:jc w:val="both"/>
        <w:rPr>
          <w:rFonts w:ascii="Calibri" w:hAnsi="Calibri"/>
          <w:sz w:val="24"/>
          <w:szCs w:val="24"/>
          <w:lang w:val="es-PR"/>
        </w:rPr>
      </w:pPr>
      <w:r w:rsidRPr="00B47A96">
        <w:rPr>
          <w:rFonts w:ascii="Calibri" w:hAnsi="Calibri"/>
          <w:sz w:val="24"/>
          <w:szCs w:val="24"/>
          <w:lang w:val="es-PR"/>
        </w:rPr>
        <w:t xml:space="preserve">San Juan - </w:t>
      </w:r>
      <w:r w:rsidR="00976429" w:rsidRPr="00B47A96">
        <w:rPr>
          <w:rFonts w:ascii="Calibri" w:hAnsi="Calibri"/>
          <w:sz w:val="24"/>
          <w:szCs w:val="24"/>
          <w:lang w:val="es-PR"/>
        </w:rPr>
        <w:t>Las ventas al detal de los pequeños y medianos comerciantes</w:t>
      </w:r>
      <w:r w:rsidR="000A12EB">
        <w:rPr>
          <w:rFonts w:ascii="Calibri" w:hAnsi="Calibri"/>
          <w:sz w:val="24"/>
          <w:szCs w:val="24"/>
          <w:lang w:val="es-PR"/>
        </w:rPr>
        <w:t xml:space="preserve"> (PYMES)</w:t>
      </w:r>
      <w:r w:rsidR="00976429" w:rsidRPr="00B47A96">
        <w:rPr>
          <w:rFonts w:ascii="Calibri" w:hAnsi="Calibri"/>
          <w:sz w:val="24"/>
          <w:szCs w:val="24"/>
          <w:lang w:val="es-PR"/>
        </w:rPr>
        <w:t xml:space="preserve"> en Puerto Rico reportaron un aumento cercano al 1% al cierre del 2013, al</w:t>
      </w:r>
      <w:r w:rsidR="004168D1">
        <w:rPr>
          <w:rFonts w:ascii="Calibri" w:hAnsi="Calibri"/>
          <w:sz w:val="24"/>
          <w:szCs w:val="24"/>
          <w:lang w:val="es-PR"/>
        </w:rPr>
        <w:t xml:space="preserve"> compararlo con el año anterior alcanzando su nivel más alto en los últimos 9 años.  </w:t>
      </w:r>
      <w:r w:rsidR="00DF6069" w:rsidRPr="00B47A96">
        <w:rPr>
          <w:rFonts w:ascii="Calibri" w:hAnsi="Calibri"/>
          <w:sz w:val="24"/>
          <w:szCs w:val="24"/>
          <w:lang w:val="es-PR"/>
        </w:rPr>
        <w:t>Así lo anunció hoy el</w:t>
      </w:r>
      <w:r w:rsidR="00A87416">
        <w:rPr>
          <w:rFonts w:ascii="Calibri" w:hAnsi="Calibri"/>
          <w:sz w:val="24"/>
          <w:szCs w:val="24"/>
          <w:lang w:val="es-PR"/>
        </w:rPr>
        <w:t xml:space="preserve"> licenciado Francisco Chévere, d</w:t>
      </w:r>
      <w:r w:rsidR="00DF6069" w:rsidRPr="00B47A96">
        <w:rPr>
          <w:rFonts w:ascii="Calibri" w:hAnsi="Calibri"/>
          <w:sz w:val="24"/>
          <w:szCs w:val="24"/>
          <w:lang w:val="es-PR"/>
        </w:rPr>
        <w:t xml:space="preserve">irector </w:t>
      </w:r>
      <w:r w:rsidR="00A87416">
        <w:rPr>
          <w:rFonts w:ascii="Calibri" w:hAnsi="Calibri"/>
          <w:sz w:val="24"/>
          <w:szCs w:val="24"/>
          <w:lang w:val="es-PR"/>
        </w:rPr>
        <w:t>e</w:t>
      </w:r>
      <w:r w:rsidR="00DF6069" w:rsidRPr="00B47A96">
        <w:rPr>
          <w:rFonts w:ascii="Calibri" w:hAnsi="Calibri"/>
          <w:sz w:val="24"/>
          <w:szCs w:val="24"/>
          <w:lang w:val="es-PR"/>
        </w:rPr>
        <w:t>jecutivo de la Compañía de Comercio y Exportación (CCE)</w:t>
      </w:r>
      <w:r w:rsidR="000A12EB">
        <w:rPr>
          <w:rFonts w:ascii="Calibri" w:hAnsi="Calibri"/>
          <w:sz w:val="24"/>
          <w:szCs w:val="24"/>
          <w:lang w:val="es-PR"/>
        </w:rPr>
        <w:t xml:space="preserve"> al revelar los datos de cierre del año 2013 de ventas al detal en Puerto Rico</w:t>
      </w:r>
      <w:r w:rsidR="00DF6069" w:rsidRPr="00B47A96">
        <w:rPr>
          <w:rFonts w:ascii="Calibri" w:hAnsi="Calibri"/>
          <w:sz w:val="24"/>
          <w:szCs w:val="24"/>
          <w:lang w:val="es-PR"/>
        </w:rPr>
        <w:t>.</w:t>
      </w:r>
    </w:p>
    <w:p w:rsidR="00DF6069" w:rsidRPr="00612B74" w:rsidRDefault="00DF6069" w:rsidP="00B47A96">
      <w:pPr>
        <w:jc w:val="both"/>
        <w:rPr>
          <w:rFonts w:ascii="Calibri" w:hAnsi="Calibri"/>
          <w:sz w:val="24"/>
          <w:szCs w:val="24"/>
          <w:lang w:val="es-PR"/>
        </w:rPr>
      </w:pPr>
      <w:r w:rsidRPr="00612B74">
        <w:rPr>
          <w:rFonts w:ascii="Calibri" w:hAnsi="Calibri"/>
          <w:sz w:val="24"/>
          <w:szCs w:val="24"/>
          <w:lang w:val="es-PR"/>
        </w:rPr>
        <w:t xml:space="preserve">“Este es un </w:t>
      </w:r>
      <w:r w:rsidR="004168D1" w:rsidRPr="00612B74">
        <w:rPr>
          <w:rFonts w:ascii="Calibri" w:hAnsi="Calibri"/>
          <w:sz w:val="24"/>
          <w:szCs w:val="24"/>
          <w:lang w:val="es-PR"/>
        </w:rPr>
        <w:t>resultado alentador</w:t>
      </w:r>
      <w:r w:rsidRPr="00612B74">
        <w:rPr>
          <w:rFonts w:ascii="Calibri" w:hAnsi="Calibri"/>
          <w:sz w:val="24"/>
          <w:szCs w:val="24"/>
          <w:lang w:val="es-PR"/>
        </w:rPr>
        <w:t xml:space="preserve"> toda vez que las ventas al detal en los establecimientos de las Pymes representan aproximadamente el 70% del total </w:t>
      </w:r>
      <w:r w:rsidR="00B9174E" w:rsidRPr="00612B74">
        <w:rPr>
          <w:rFonts w:ascii="Calibri" w:hAnsi="Calibri"/>
          <w:sz w:val="24"/>
          <w:szCs w:val="24"/>
          <w:lang w:val="es-PR"/>
        </w:rPr>
        <w:t xml:space="preserve">de ventas </w:t>
      </w:r>
      <w:r w:rsidRPr="00612B74">
        <w:rPr>
          <w:rFonts w:ascii="Calibri" w:hAnsi="Calibri"/>
          <w:sz w:val="24"/>
          <w:szCs w:val="24"/>
          <w:lang w:val="es-PR"/>
        </w:rPr>
        <w:t>en Puerto Rico. El crecimiento de las ventas de este importante sector de la economía es un indicio de buenas perspectivas para el sector de ventas al detal”, destacó el licenciado Chévere.</w:t>
      </w:r>
    </w:p>
    <w:p w:rsidR="00612B74" w:rsidRDefault="000A12EB" w:rsidP="000A12EB">
      <w:pPr>
        <w:jc w:val="both"/>
        <w:rPr>
          <w:rFonts w:ascii="Calibri" w:hAnsi="Calibri"/>
          <w:sz w:val="24"/>
          <w:szCs w:val="24"/>
          <w:lang w:val="es-PR"/>
        </w:rPr>
      </w:pPr>
      <w:r w:rsidRPr="00612B74">
        <w:rPr>
          <w:rFonts w:ascii="Calibri" w:hAnsi="Calibri"/>
          <w:sz w:val="24"/>
          <w:szCs w:val="24"/>
          <w:lang w:val="es-PR"/>
        </w:rPr>
        <w:t>La Compañía de Comercio y Exportación define el tamaño de las empresas por la nómina trimestral según publicada por el Departamento del Trabajo y Recursos Humanos de Pue</w:t>
      </w:r>
      <w:r w:rsidR="00A87416">
        <w:rPr>
          <w:rFonts w:ascii="Calibri" w:hAnsi="Calibri"/>
          <w:sz w:val="24"/>
          <w:szCs w:val="24"/>
          <w:lang w:val="es-PR"/>
        </w:rPr>
        <w:t xml:space="preserve">rto Rico </w:t>
      </w:r>
      <w:r w:rsidR="00947E51">
        <w:rPr>
          <w:rFonts w:ascii="Calibri" w:hAnsi="Calibri"/>
          <w:sz w:val="24"/>
          <w:szCs w:val="24"/>
          <w:lang w:val="es-PR"/>
        </w:rPr>
        <w:t xml:space="preserve">en el archivo ES-202. </w:t>
      </w:r>
      <w:r w:rsidRPr="00612B74">
        <w:rPr>
          <w:rFonts w:ascii="Calibri" w:hAnsi="Calibri"/>
          <w:sz w:val="24"/>
          <w:szCs w:val="24"/>
          <w:lang w:val="es-PR"/>
        </w:rPr>
        <w:t>La categoría de pequeñas empresas incluye aquellos establecimientos con una nó</w:t>
      </w:r>
      <w:r w:rsidR="000A6778">
        <w:rPr>
          <w:rFonts w:ascii="Calibri" w:hAnsi="Calibri"/>
          <w:sz w:val="24"/>
          <w:szCs w:val="24"/>
          <w:lang w:val="es-PR"/>
        </w:rPr>
        <w:t xml:space="preserve">mina entre $0 y menos $20,000. </w:t>
      </w:r>
      <w:bookmarkStart w:id="0" w:name="_GoBack"/>
      <w:bookmarkEnd w:id="0"/>
      <w:r w:rsidRPr="00612B74">
        <w:rPr>
          <w:rFonts w:ascii="Calibri" w:hAnsi="Calibri"/>
          <w:sz w:val="24"/>
          <w:szCs w:val="24"/>
          <w:lang w:val="es-PR"/>
        </w:rPr>
        <w:t>Las medianas empresas comprenden los establecimientos con una nómina trimestral entre $20,000 y una c</w:t>
      </w:r>
      <w:r w:rsidR="00947E51">
        <w:rPr>
          <w:rFonts w:ascii="Calibri" w:hAnsi="Calibri"/>
          <w:sz w:val="24"/>
          <w:szCs w:val="24"/>
          <w:lang w:val="es-PR"/>
        </w:rPr>
        <w:t xml:space="preserve">ifra menor o igual a $250,000.  </w:t>
      </w:r>
      <w:r w:rsidRPr="00612B74">
        <w:rPr>
          <w:rFonts w:ascii="Calibri" w:hAnsi="Calibri"/>
          <w:sz w:val="24"/>
          <w:szCs w:val="24"/>
          <w:lang w:val="es-PR"/>
        </w:rPr>
        <w:t xml:space="preserve">Las empresas grandes son todas aquellas con una nómina mayor de $250,000.  </w:t>
      </w:r>
    </w:p>
    <w:p w:rsidR="000A12EB" w:rsidRPr="00612B74" w:rsidRDefault="000A12EB" w:rsidP="000A12EB">
      <w:pPr>
        <w:jc w:val="both"/>
        <w:rPr>
          <w:rFonts w:ascii="Calibri" w:hAnsi="Calibri"/>
          <w:sz w:val="24"/>
          <w:szCs w:val="24"/>
          <w:lang w:val="es-PR"/>
        </w:rPr>
      </w:pPr>
      <w:r w:rsidRPr="00612B74">
        <w:rPr>
          <w:rFonts w:ascii="Calibri" w:hAnsi="Calibri"/>
          <w:sz w:val="24"/>
          <w:szCs w:val="24"/>
          <w:lang w:val="es-PR"/>
        </w:rPr>
        <w:t xml:space="preserve">De igual forma las ventas al detal de los establecimientos comerciales en Puerto Rico en el mes de diciembre de 2013 reportaron un crecimiento de .05% con respecto al mes de diciembre de 2012.  El total de ventas al detalle de diciembre de 2013 ascendió a $3,533 millones, mientras que para la misma fecha en el </w:t>
      </w:r>
      <w:r w:rsidR="00BC42E0">
        <w:rPr>
          <w:rFonts w:ascii="Calibri" w:hAnsi="Calibri"/>
          <w:sz w:val="24"/>
          <w:szCs w:val="24"/>
          <w:lang w:val="es-PR"/>
        </w:rPr>
        <w:t>2012 dicha cifra totalizó $3,531</w:t>
      </w:r>
      <w:r w:rsidRPr="00612B74">
        <w:rPr>
          <w:rFonts w:ascii="Calibri" w:hAnsi="Calibri"/>
          <w:sz w:val="24"/>
          <w:szCs w:val="24"/>
          <w:lang w:val="es-PR"/>
        </w:rPr>
        <w:t xml:space="preserve"> millones, para un aumento en ventas de $1,938 millones. </w:t>
      </w:r>
    </w:p>
    <w:p w:rsidR="004168D1" w:rsidRPr="00612B74" w:rsidRDefault="004168D1" w:rsidP="00B47A96">
      <w:pPr>
        <w:tabs>
          <w:tab w:val="left" w:pos="720"/>
          <w:tab w:val="left" w:pos="9165"/>
        </w:tabs>
        <w:jc w:val="both"/>
        <w:rPr>
          <w:rFonts w:ascii="Calibri" w:hAnsi="Calibri"/>
          <w:sz w:val="24"/>
          <w:szCs w:val="24"/>
          <w:lang w:val="es-PR"/>
        </w:rPr>
      </w:pPr>
      <w:r w:rsidRPr="00612B74">
        <w:rPr>
          <w:rFonts w:ascii="Calibri" w:hAnsi="Calibri"/>
          <w:sz w:val="24"/>
          <w:szCs w:val="24"/>
          <w:lang w:val="es-PR"/>
        </w:rPr>
        <w:t>Las ventas de los establecimientos comerciales en Puerto Rico</w:t>
      </w:r>
      <w:r w:rsidR="000A12EB" w:rsidRPr="00612B74">
        <w:rPr>
          <w:rFonts w:ascii="Calibri" w:hAnsi="Calibri"/>
          <w:sz w:val="24"/>
          <w:szCs w:val="24"/>
          <w:lang w:val="es-PR"/>
        </w:rPr>
        <w:t xml:space="preserve"> de todos los sectores</w:t>
      </w:r>
      <w:r w:rsidRPr="00612B74">
        <w:rPr>
          <w:rFonts w:ascii="Calibri" w:hAnsi="Calibri"/>
          <w:sz w:val="24"/>
          <w:szCs w:val="24"/>
          <w:lang w:val="es-PR"/>
        </w:rPr>
        <w:t xml:space="preserve"> totalizaron $36,184.6 millones durante el 2013 lo que representó una leve reducción de -0.03% en </w:t>
      </w:r>
      <w:r w:rsidRPr="00612B74">
        <w:rPr>
          <w:rFonts w:ascii="Calibri" w:hAnsi="Calibri"/>
          <w:sz w:val="24"/>
          <w:szCs w:val="24"/>
          <w:lang w:val="es-PR"/>
        </w:rPr>
        <w:lastRenderedPageBreak/>
        <w:t>comparación con el año anterior.  Esto se debió principalmente a una reducción de las ventas en las tiendas por departamento, tiendas de radios, televisores y computadoras, las ventas en farmacias y de vehículos de motor nuevos y usados.</w:t>
      </w:r>
    </w:p>
    <w:p w:rsidR="00DF6069" w:rsidRPr="00612B74" w:rsidRDefault="004168D1" w:rsidP="00B47A96">
      <w:pPr>
        <w:tabs>
          <w:tab w:val="left" w:pos="720"/>
          <w:tab w:val="left" w:pos="9165"/>
        </w:tabs>
        <w:jc w:val="both"/>
        <w:rPr>
          <w:rFonts w:ascii="Calibri" w:hAnsi="Calibri"/>
          <w:sz w:val="24"/>
          <w:szCs w:val="24"/>
          <w:lang w:val="es-PR"/>
        </w:rPr>
      </w:pPr>
      <w:r w:rsidRPr="00612B74">
        <w:rPr>
          <w:rFonts w:ascii="Calibri" w:hAnsi="Calibri"/>
          <w:sz w:val="24"/>
          <w:szCs w:val="24"/>
          <w:lang w:val="es-PR"/>
        </w:rPr>
        <w:t xml:space="preserve">El informe de </w:t>
      </w:r>
      <w:r w:rsidR="000A12EB" w:rsidRPr="00612B74">
        <w:rPr>
          <w:rFonts w:ascii="Calibri" w:hAnsi="Calibri"/>
          <w:sz w:val="24"/>
          <w:szCs w:val="24"/>
          <w:lang w:val="es-PR"/>
        </w:rPr>
        <w:t>“</w:t>
      </w:r>
      <w:proofErr w:type="spellStart"/>
      <w:r w:rsidRPr="00612B74">
        <w:rPr>
          <w:rFonts w:ascii="Calibri" w:hAnsi="Calibri"/>
          <w:sz w:val="24"/>
          <w:szCs w:val="24"/>
          <w:lang w:val="es-PR"/>
        </w:rPr>
        <w:t>Infoventas</w:t>
      </w:r>
      <w:proofErr w:type="spellEnd"/>
      <w:r w:rsidR="000A12EB" w:rsidRPr="00612B74">
        <w:rPr>
          <w:rFonts w:ascii="Calibri" w:hAnsi="Calibri"/>
          <w:sz w:val="24"/>
          <w:szCs w:val="24"/>
          <w:lang w:val="es-PR"/>
        </w:rPr>
        <w:t>”</w:t>
      </w:r>
      <w:r w:rsidRPr="00612B74">
        <w:rPr>
          <w:rFonts w:ascii="Calibri" w:hAnsi="Calibri"/>
          <w:sz w:val="24"/>
          <w:szCs w:val="24"/>
          <w:lang w:val="es-PR"/>
        </w:rPr>
        <w:t xml:space="preserve"> de la CCE refleja que</w:t>
      </w:r>
      <w:r w:rsidR="00DF6069" w:rsidRPr="00612B74">
        <w:rPr>
          <w:rFonts w:ascii="Calibri" w:hAnsi="Calibri"/>
          <w:sz w:val="24"/>
          <w:szCs w:val="24"/>
          <w:lang w:val="es-PR"/>
        </w:rPr>
        <w:t xml:space="preserve"> seis de las nueve regiones de Puerto Rico reflejaron crecimiento en sus ventas</w:t>
      </w:r>
      <w:r w:rsidR="00612B74" w:rsidRPr="00612B74">
        <w:rPr>
          <w:rFonts w:ascii="Calibri" w:hAnsi="Calibri"/>
          <w:sz w:val="24"/>
          <w:szCs w:val="24"/>
          <w:lang w:val="es-PR"/>
        </w:rPr>
        <w:t xml:space="preserve"> en el año 2013</w:t>
      </w:r>
      <w:r w:rsidR="00DF6069" w:rsidRPr="00612B74">
        <w:rPr>
          <w:rFonts w:ascii="Calibri" w:hAnsi="Calibri"/>
          <w:sz w:val="24"/>
          <w:szCs w:val="24"/>
          <w:lang w:val="es-PR"/>
        </w:rPr>
        <w:t>.  En comparación con el  año anterior, las regiones de Fajardo (2.29%), San Juan (1.33%), Mayagüez (1.23%), Arecibo (0.93%), Guayama (0.58%) y Aguadilla (0.38%), registraron crecimiento positivo al finalizar el 2013.  De igual manera, la mayoría de los establecimientos del sector comercial en Puerto Rico registraron crecimiento en el 2013 en comparación con el 2012.  Entre estos se destacan las tiendas de variedades (20.20%), tiendas de ropa para damas (10.82%), tiendas de carnes y mariscos (8.27%) y es</w:t>
      </w:r>
      <w:r w:rsidR="00B9174E" w:rsidRPr="00612B74">
        <w:rPr>
          <w:rFonts w:ascii="Calibri" w:hAnsi="Calibri"/>
          <w:sz w:val="24"/>
          <w:szCs w:val="24"/>
          <w:lang w:val="es-PR"/>
        </w:rPr>
        <w:t>taciones de gasolinas (6.97%).</w:t>
      </w:r>
    </w:p>
    <w:p w:rsidR="00221FBC" w:rsidRPr="00612B74" w:rsidRDefault="00221FBC" w:rsidP="00B47A96">
      <w:pPr>
        <w:tabs>
          <w:tab w:val="left" w:pos="720"/>
          <w:tab w:val="left" w:pos="9165"/>
        </w:tabs>
        <w:jc w:val="both"/>
        <w:rPr>
          <w:rFonts w:ascii="Calibri" w:hAnsi="Calibri"/>
          <w:sz w:val="24"/>
          <w:szCs w:val="24"/>
          <w:lang w:val="es-PR"/>
        </w:rPr>
      </w:pPr>
      <w:r w:rsidRPr="00612B74">
        <w:rPr>
          <w:rFonts w:ascii="Calibri" w:hAnsi="Calibri"/>
          <w:sz w:val="24"/>
          <w:szCs w:val="24"/>
          <w:lang w:val="es-PR"/>
        </w:rPr>
        <w:t>De acuerdo al infor</w:t>
      </w:r>
      <w:r w:rsidR="000A12EB" w:rsidRPr="00612B74">
        <w:rPr>
          <w:rFonts w:ascii="Calibri" w:hAnsi="Calibri"/>
          <w:sz w:val="24"/>
          <w:szCs w:val="24"/>
          <w:lang w:val="es-PR"/>
        </w:rPr>
        <w:t xml:space="preserve">me de ventas que prepara la CCE, las </w:t>
      </w:r>
      <w:r w:rsidRPr="00612B74">
        <w:rPr>
          <w:rFonts w:ascii="Calibri" w:hAnsi="Calibri"/>
          <w:sz w:val="24"/>
          <w:szCs w:val="24"/>
          <w:lang w:val="es-PR"/>
        </w:rPr>
        <w:t xml:space="preserve">ventas acumuladas durante la primera mitad del 2013 disminuyeron en un 0.15% mientras que en la segunda mitad del año se registró un </w:t>
      </w:r>
      <w:r w:rsidR="00B9174E" w:rsidRPr="00612B74">
        <w:rPr>
          <w:rFonts w:ascii="Calibri" w:hAnsi="Calibri"/>
          <w:sz w:val="24"/>
          <w:szCs w:val="24"/>
          <w:lang w:val="es-PR"/>
        </w:rPr>
        <w:t>crecimiento positivo de 0.07%</w:t>
      </w:r>
      <w:r w:rsidR="00612B74" w:rsidRPr="00612B74">
        <w:rPr>
          <w:rFonts w:ascii="Calibri" w:hAnsi="Calibri"/>
          <w:sz w:val="24"/>
          <w:szCs w:val="24"/>
          <w:lang w:val="es-PR"/>
        </w:rPr>
        <w:t>, en comparación con el año anterior</w:t>
      </w:r>
      <w:r w:rsidR="00B9174E" w:rsidRPr="00612B74">
        <w:rPr>
          <w:rFonts w:ascii="Calibri" w:hAnsi="Calibri"/>
          <w:sz w:val="24"/>
          <w:szCs w:val="24"/>
          <w:lang w:val="es-PR"/>
        </w:rPr>
        <w:t>.</w:t>
      </w:r>
    </w:p>
    <w:p w:rsidR="00C15A2F" w:rsidRPr="00612B74" w:rsidRDefault="00221FBC" w:rsidP="00B9174E">
      <w:pPr>
        <w:tabs>
          <w:tab w:val="left" w:pos="720"/>
          <w:tab w:val="left" w:pos="9165"/>
        </w:tabs>
        <w:jc w:val="both"/>
        <w:rPr>
          <w:rFonts w:ascii="Calibri" w:hAnsi="Calibri"/>
          <w:sz w:val="24"/>
          <w:szCs w:val="24"/>
          <w:lang w:val="es-PR"/>
        </w:rPr>
      </w:pPr>
      <w:r w:rsidRPr="00612B74">
        <w:rPr>
          <w:rFonts w:ascii="Calibri" w:hAnsi="Calibri"/>
          <w:sz w:val="24"/>
          <w:szCs w:val="24"/>
          <w:lang w:val="es-PR"/>
        </w:rPr>
        <w:t>Asimismo en seis de los doce meses del 2013 (enero, mayo, agosto, octubre, noviembre y diciembre) se registraron ventas récord durante los últimos nueve años</w:t>
      </w:r>
      <w:r w:rsidR="00B9174E" w:rsidRPr="00612B74">
        <w:rPr>
          <w:rFonts w:ascii="Calibri" w:hAnsi="Calibri"/>
          <w:sz w:val="24"/>
          <w:szCs w:val="24"/>
          <w:lang w:val="es-PR"/>
        </w:rPr>
        <w:t xml:space="preserve">.  </w:t>
      </w:r>
      <w:r w:rsidR="00C15A2F" w:rsidRPr="00612B74">
        <w:rPr>
          <w:rFonts w:ascii="Calibri" w:hAnsi="Calibri"/>
          <w:sz w:val="24"/>
          <w:szCs w:val="24"/>
          <w:lang w:val="es-PR"/>
        </w:rPr>
        <w:t>“</w:t>
      </w:r>
      <w:r w:rsidR="00B9174E" w:rsidRPr="00612B74">
        <w:rPr>
          <w:rFonts w:ascii="Calibri" w:hAnsi="Calibri"/>
          <w:sz w:val="24"/>
          <w:szCs w:val="24"/>
          <w:lang w:val="es-PR"/>
        </w:rPr>
        <w:t>L</w:t>
      </w:r>
      <w:r w:rsidR="00F47DED">
        <w:rPr>
          <w:rFonts w:ascii="Calibri" w:hAnsi="Calibri"/>
          <w:sz w:val="24"/>
          <w:szCs w:val="24"/>
          <w:lang w:val="es-PR"/>
        </w:rPr>
        <w:t>os</w:t>
      </w:r>
      <w:r w:rsidR="00C15A2F" w:rsidRPr="00612B74">
        <w:rPr>
          <w:rFonts w:ascii="Calibri" w:hAnsi="Calibri"/>
          <w:sz w:val="24"/>
          <w:szCs w:val="24"/>
          <w:lang w:val="es-PR"/>
        </w:rPr>
        <w:t xml:space="preserve"> dat</w:t>
      </w:r>
      <w:r w:rsidR="00F47DED">
        <w:rPr>
          <w:rFonts w:ascii="Calibri" w:hAnsi="Calibri"/>
          <w:sz w:val="24"/>
          <w:szCs w:val="24"/>
          <w:lang w:val="es-PR"/>
        </w:rPr>
        <w:t>os</w:t>
      </w:r>
      <w:r w:rsidR="00C15A2F" w:rsidRPr="00612B74">
        <w:rPr>
          <w:rFonts w:ascii="Calibri" w:hAnsi="Calibri"/>
          <w:sz w:val="24"/>
          <w:szCs w:val="24"/>
          <w:lang w:val="es-PR"/>
        </w:rPr>
        <w:t xml:space="preserve"> del cierre del año que refleja</w:t>
      </w:r>
      <w:r w:rsidR="00F47DED">
        <w:rPr>
          <w:rFonts w:ascii="Calibri" w:hAnsi="Calibri"/>
          <w:sz w:val="24"/>
          <w:szCs w:val="24"/>
          <w:lang w:val="es-PR"/>
        </w:rPr>
        <w:t>n</w:t>
      </w:r>
      <w:r w:rsidR="00C15A2F" w:rsidRPr="00612B74">
        <w:rPr>
          <w:rFonts w:ascii="Calibri" w:hAnsi="Calibri"/>
          <w:sz w:val="24"/>
          <w:szCs w:val="24"/>
          <w:lang w:val="es-PR"/>
        </w:rPr>
        <w:t xml:space="preserve"> aumentos en ve</w:t>
      </w:r>
      <w:r w:rsidR="00F47DED">
        <w:rPr>
          <w:rFonts w:ascii="Calibri" w:hAnsi="Calibri"/>
          <w:sz w:val="24"/>
          <w:szCs w:val="24"/>
          <w:lang w:val="es-PR"/>
        </w:rPr>
        <w:t>ntas en los meses de noviembre y d</w:t>
      </w:r>
      <w:r w:rsidR="00C15A2F" w:rsidRPr="00612B74">
        <w:rPr>
          <w:rFonts w:ascii="Calibri" w:hAnsi="Calibri"/>
          <w:sz w:val="24"/>
          <w:szCs w:val="24"/>
          <w:lang w:val="es-PR"/>
        </w:rPr>
        <w:t>iciembre en comparación con los mismos meses en el 2012, junto al fortalecimiento de las ventas al detal en el segundo semestre del año y el alza en las ventas de</w:t>
      </w:r>
      <w:r w:rsidR="00F47DED">
        <w:rPr>
          <w:rFonts w:ascii="Calibri" w:hAnsi="Calibri"/>
          <w:sz w:val="24"/>
          <w:szCs w:val="24"/>
          <w:lang w:val="es-PR"/>
        </w:rPr>
        <w:t xml:space="preserve"> las</w:t>
      </w:r>
      <w:r w:rsidR="00C15A2F" w:rsidRPr="00612B74">
        <w:rPr>
          <w:rFonts w:ascii="Calibri" w:hAnsi="Calibri"/>
          <w:sz w:val="24"/>
          <w:szCs w:val="24"/>
          <w:lang w:val="es-PR"/>
        </w:rPr>
        <w:t xml:space="preserve"> Pymes para todo el año reflejan que las iniciativas de nuestra administración c</w:t>
      </w:r>
      <w:r w:rsidR="00F47DED">
        <w:rPr>
          <w:rFonts w:ascii="Calibri" w:hAnsi="Calibri"/>
          <w:sz w:val="24"/>
          <w:szCs w:val="24"/>
          <w:lang w:val="es-PR"/>
        </w:rPr>
        <w:t xml:space="preserve">omo la Ley de Empleos Ahora ya han </w:t>
      </w:r>
      <w:r w:rsidR="00193AFE" w:rsidRPr="00612B74">
        <w:rPr>
          <w:rFonts w:ascii="Calibri" w:hAnsi="Calibri"/>
          <w:sz w:val="24"/>
          <w:szCs w:val="24"/>
          <w:lang w:val="es-PR"/>
        </w:rPr>
        <w:t>impactado</w:t>
      </w:r>
      <w:r w:rsidR="00B9174E" w:rsidRPr="00612B74">
        <w:rPr>
          <w:rFonts w:ascii="Calibri" w:hAnsi="Calibri"/>
          <w:sz w:val="24"/>
          <w:szCs w:val="24"/>
          <w:lang w:val="es-PR"/>
        </w:rPr>
        <w:t xml:space="preserve"> positivamente</w:t>
      </w:r>
      <w:r w:rsidR="000A12EB" w:rsidRPr="00612B74">
        <w:rPr>
          <w:rFonts w:ascii="Calibri" w:hAnsi="Calibri"/>
          <w:sz w:val="24"/>
          <w:szCs w:val="24"/>
          <w:lang w:val="es-PR"/>
        </w:rPr>
        <w:t xml:space="preserve"> el</w:t>
      </w:r>
      <w:r w:rsidR="00B9174E" w:rsidRPr="00612B74">
        <w:rPr>
          <w:rFonts w:ascii="Calibri" w:hAnsi="Calibri"/>
          <w:sz w:val="24"/>
          <w:szCs w:val="24"/>
          <w:lang w:val="es-PR"/>
        </w:rPr>
        <w:t xml:space="preserve"> </w:t>
      </w:r>
      <w:r w:rsidR="00C15A2F" w:rsidRPr="00612B74">
        <w:rPr>
          <w:rFonts w:ascii="Calibri" w:hAnsi="Calibri"/>
          <w:sz w:val="24"/>
          <w:szCs w:val="24"/>
          <w:lang w:val="es-PR"/>
        </w:rPr>
        <w:t>sector de pequeños y medianos empresarios puertorriqueños</w:t>
      </w:r>
      <w:r w:rsidR="000A12EB" w:rsidRPr="00612B74">
        <w:rPr>
          <w:rFonts w:ascii="Calibri" w:hAnsi="Calibri"/>
          <w:sz w:val="24"/>
          <w:szCs w:val="24"/>
          <w:lang w:val="es-PR"/>
        </w:rPr>
        <w:t xml:space="preserve"> en sus ventas</w:t>
      </w:r>
      <w:r w:rsidR="00C15A2F" w:rsidRPr="00612B74">
        <w:rPr>
          <w:rFonts w:ascii="Calibri" w:hAnsi="Calibri"/>
          <w:sz w:val="24"/>
          <w:szCs w:val="24"/>
          <w:lang w:val="es-PR"/>
        </w:rPr>
        <w:t>, además del sector comercial en general”, concluyó Chévere.</w:t>
      </w:r>
    </w:p>
    <w:p w:rsidR="006F5F06" w:rsidRPr="00B47A96" w:rsidRDefault="00221FBC" w:rsidP="00221FBC">
      <w:pPr>
        <w:tabs>
          <w:tab w:val="left" w:pos="720"/>
          <w:tab w:val="left" w:pos="9165"/>
        </w:tabs>
        <w:jc w:val="center"/>
        <w:rPr>
          <w:sz w:val="24"/>
          <w:szCs w:val="24"/>
          <w:lang w:val="es-PR"/>
        </w:rPr>
      </w:pPr>
      <w:r w:rsidRPr="00B47A96">
        <w:rPr>
          <w:sz w:val="24"/>
          <w:szCs w:val="24"/>
          <w:lang w:val="es-PR"/>
        </w:rPr>
        <w:t>####</w:t>
      </w:r>
    </w:p>
    <w:p w:rsidR="006F5F06" w:rsidRDefault="006F5F06" w:rsidP="006F5F06">
      <w:pPr>
        <w:tabs>
          <w:tab w:val="left" w:pos="720"/>
          <w:tab w:val="left" w:pos="9165"/>
        </w:tabs>
        <w:spacing w:line="360" w:lineRule="auto"/>
        <w:rPr>
          <w:sz w:val="24"/>
          <w:szCs w:val="24"/>
          <w:lang w:val="es-PR"/>
        </w:rPr>
      </w:pPr>
      <w:r w:rsidRPr="00B47A96">
        <w:rPr>
          <w:sz w:val="24"/>
          <w:szCs w:val="24"/>
          <w:lang w:val="es-PR"/>
        </w:rPr>
        <w:br w:type="page"/>
      </w:r>
    </w:p>
    <w:p w:rsidR="000A12EB" w:rsidRDefault="000A12EB" w:rsidP="000A12EB">
      <w:pPr>
        <w:tabs>
          <w:tab w:val="left" w:pos="720"/>
          <w:tab w:val="left" w:pos="9165"/>
        </w:tabs>
        <w:spacing w:line="360" w:lineRule="auto"/>
        <w:jc w:val="center"/>
        <w:rPr>
          <w:lang w:val="es-PR"/>
        </w:rPr>
      </w:pPr>
      <w:r>
        <w:rPr>
          <w:noProof/>
          <w:lang w:val="es-PR" w:eastAsia="es-PR"/>
        </w:rPr>
        <w:lastRenderedPageBreak/>
        <w:drawing>
          <wp:inline distT="0" distB="0" distL="0" distR="0" wp14:anchorId="3C647B82" wp14:editId="75E2FEF8">
            <wp:extent cx="5657850" cy="2867025"/>
            <wp:effectExtent l="0" t="0" r="0" b="9525"/>
            <wp:docPr id="4" name="Picture 4" descr="cid:image001.png@01CF3A02.65F1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3A02.65F145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57850" cy="2867025"/>
                    </a:xfrm>
                    <a:prstGeom prst="rect">
                      <a:avLst/>
                    </a:prstGeom>
                    <a:noFill/>
                    <a:ln>
                      <a:noFill/>
                    </a:ln>
                  </pic:spPr>
                </pic:pic>
              </a:graphicData>
            </a:graphic>
          </wp:inline>
        </w:drawing>
      </w:r>
    </w:p>
    <w:p w:rsidR="006F5F06" w:rsidRDefault="006F5F06" w:rsidP="006F5F06">
      <w:pPr>
        <w:tabs>
          <w:tab w:val="left" w:pos="720"/>
          <w:tab w:val="left" w:pos="9165"/>
        </w:tabs>
        <w:spacing w:line="360" w:lineRule="auto"/>
        <w:rPr>
          <w:lang w:val="es-PR"/>
        </w:rPr>
      </w:pPr>
      <w:r>
        <w:rPr>
          <w:noProof/>
          <w:lang w:val="es-PR" w:eastAsia="es-PR"/>
        </w:rPr>
        <w:drawing>
          <wp:inline distT="0" distB="0" distL="0" distR="0" wp14:anchorId="381AF450" wp14:editId="7D1B7E92">
            <wp:extent cx="6162675" cy="3038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0EBF" w:rsidRDefault="00620EBF" w:rsidP="006F5F06">
      <w:pPr>
        <w:tabs>
          <w:tab w:val="left" w:pos="720"/>
          <w:tab w:val="left" w:pos="9165"/>
        </w:tabs>
        <w:spacing w:line="360" w:lineRule="auto"/>
        <w:rPr>
          <w:lang w:val="es-PR"/>
        </w:rPr>
      </w:pPr>
    </w:p>
    <w:p w:rsidR="006F5F06" w:rsidRPr="007F336B" w:rsidRDefault="006F5F06" w:rsidP="006F5F06">
      <w:pPr>
        <w:tabs>
          <w:tab w:val="left" w:pos="720"/>
          <w:tab w:val="left" w:pos="9165"/>
        </w:tabs>
        <w:spacing w:line="360" w:lineRule="auto"/>
        <w:rPr>
          <w:lang w:val="es-PR"/>
        </w:rPr>
      </w:pPr>
      <w:r w:rsidRPr="00B017E0">
        <w:rPr>
          <w:noProof/>
          <w:sz w:val="20"/>
          <w:szCs w:val="20"/>
          <w:lang w:val="es-PR" w:eastAsia="es-PR"/>
        </w:rPr>
        <w:lastRenderedPageBreak/>
        <w:drawing>
          <wp:inline distT="0" distB="0" distL="0" distR="0" wp14:anchorId="22D39B41" wp14:editId="2AF7DBF7">
            <wp:extent cx="6296025" cy="2828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5F06" w:rsidRDefault="006F5F06">
      <w:pPr>
        <w:rPr>
          <w:sz w:val="24"/>
          <w:szCs w:val="24"/>
          <w:lang w:val="es-PR"/>
        </w:rPr>
      </w:pPr>
    </w:p>
    <w:p w:rsidR="00B849D5" w:rsidRPr="00057E70" w:rsidRDefault="00B849D5" w:rsidP="00221FBC">
      <w:pPr>
        <w:tabs>
          <w:tab w:val="left" w:pos="720"/>
          <w:tab w:val="left" w:pos="9165"/>
        </w:tabs>
        <w:jc w:val="center"/>
        <w:rPr>
          <w:lang w:val="es-PR"/>
        </w:rPr>
      </w:pPr>
    </w:p>
    <w:sectPr w:rsidR="00B849D5" w:rsidRPr="00057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70"/>
    <w:rsid w:val="00002CAE"/>
    <w:rsid w:val="00005707"/>
    <w:rsid w:val="00057E70"/>
    <w:rsid w:val="000A12EB"/>
    <w:rsid w:val="000A6778"/>
    <w:rsid w:val="000F34EE"/>
    <w:rsid w:val="00102C04"/>
    <w:rsid w:val="00193AFE"/>
    <w:rsid w:val="00221FBC"/>
    <w:rsid w:val="003B21A5"/>
    <w:rsid w:val="004168D1"/>
    <w:rsid w:val="00451D64"/>
    <w:rsid w:val="004538B3"/>
    <w:rsid w:val="005146CC"/>
    <w:rsid w:val="00565ADA"/>
    <w:rsid w:val="00612B74"/>
    <w:rsid w:val="00620EBF"/>
    <w:rsid w:val="006410E0"/>
    <w:rsid w:val="006F5F06"/>
    <w:rsid w:val="00795B34"/>
    <w:rsid w:val="007A620D"/>
    <w:rsid w:val="00806A02"/>
    <w:rsid w:val="008F3F03"/>
    <w:rsid w:val="00947E51"/>
    <w:rsid w:val="00976429"/>
    <w:rsid w:val="009D6A18"/>
    <w:rsid w:val="009E21A8"/>
    <w:rsid w:val="00A453EF"/>
    <w:rsid w:val="00A725ED"/>
    <w:rsid w:val="00A87416"/>
    <w:rsid w:val="00B47A96"/>
    <w:rsid w:val="00B849D5"/>
    <w:rsid w:val="00B9174E"/>
    <w:rsid w:val="00BA5ECE"/>
    <w:rsid w:val="00BC42E0"/>
    <w:rsid w:val="00C15A2F"/>
    <w:rsid w:val="00D64204"/>
    <w:rsid w:val="00DC1D4A"/>
    <w:rsid w:val="00DF6069"/>
    <w:rsid w:val="00E05293"/>
    <w:rsid w:val="00E20A72"/>
    <w:rsid w:val="00F077A9"/>
    <w:rsid w:val="00F26955"/>
    <w:rsid w:val="00F47DED"/>
    <w:rsid w:val="00F77B64"/>
    <w:rsid w:val="00F9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B849D5"/>
    <w:pPr>
      <w:keepNext/>
      <w:spacing w:after="0" w:line="240" w:lineRule="auto"/>
      <w:jc w:val="center"/>
      <w:outlineLvl w:val="1"/>
    </w:pPr>
    <w:rPr>
      <w:rFonts w:ascii="Tahoma" w:eastAsia="Times New Roman" w:hAnsi="Tahoma" w:cs="Tahoma"/>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849D5"/>
    <w:rPr>
      <w:rFonts w:ascii="Tahoma" w:eastAsia="Times New Roman" w:hAnsi="Tahoma" w:cs="Tahoma"/>
      <w:b/>
      <w:bCs/>
      <w:lang w:val="es-ES"/>
    </w:rPr>
  </w:style>
  <w:style w:type="character" w:styleId="Hyperlink">
    <w:name w:val="Hyperlink"/>
    <w:basedOn w:val="DefaultParagraphFont"/>
    <w:rsid w:val="00B849D5"/>
    <w:rPr>
      <w:color w:val="0000FF"/>
      <w:u w:val="single"/>
    </w:rPr>
  </w:style>
  <w:style w:type="paragraph" w:styleId="BalloonText">
    <w:name w:val="Balloon Text"/>
    <w:basedOn w:val="Normal"/>
    <w:link w:val="BalloonTextChar"/>
    <w:uiPriority w:val="99"/>
    <w:semiHidden/>
    <w:unhideWhenUsed/>
    <w:rsid w:val="006F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B849D5"/>
    <w:pPr>
      <w:keepNext/>
      <w:spacing w:after="0" w:line="240" w:lineRule="auto"/>
      <w:jc w:val="center"/>
      <w:outlineLvl w:val="1"/>
    </w:pPr>
    <w:rPr>
      <w:rFonts w:ascii="Tahoma" w:eastAsia="Times New Roman" w:hAnsi="Tahoma" w:cs="Tahoma"/>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849D5"/>
    <w:rPr>
      <w:rFonts w:ascii="Tahoma" w:eastAsia="Times New Roman" w:hAnsi="Tahoma" w:cs="Tahoma"/>
      <w:b/>
      <w:bCs/>
      <w:lang w:val="es-ES"/>
    </w:rPr>
  </w:style>
  <w:style w:type="character" w:styleId="Hyperlink">
    <w:name w:val="Hyperlink"/>
    <w:basedOn w:val="DefaultParagraphFont"/>
    <w:rsid w:val="00B849D5"/>
    <w:rPr>
      <w:color w:val="0000FF"/>
      <w:u w:val="single"/>
    </w:rPr>
  </w:style>
  <w:style w:type="paragraph" w:styleId="BalloonText">
    <w:name w:val="Balloon Text"/>
    <w:basedOn w:val="Normal"/>
    <w:link w:val="BalloonTextChar"/>
    <w:uiPriority w:val="99"/>
    <w:semiHidden/>
    <w:unhideWhenUsed/>
    <w:rsid w:val="006F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dalie.david@cce.pr.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image001.png@01CF3A02.65F14510"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server02\Usuarios\Economia\wmarrero\Ventas\Ventas-Informes%20Mensuales%202013\VD-12-diciembre%202013\VD-graphs%20and%20tables-Anual2013-26feb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erver02\Usuarios\Economia\wmarrero\Ventas\Ventas-Informes%20Mensuales%202013\VD-12-diciembre%202013\VD-graphs%20and%20tables-Anual2013-26feb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Ventas al Detalle Puerto Rico</a:t>
            </a:r>
            <a:endParaRPr lang="en-US" sz="1080" b="1" i="0" u="none" strike="noStrike" baseline="0">
              <a:effectLst/>
            </a:endParaRPr>
          </a:p>
          <a:p>
            <a:pPr>
              <a:defRPr/>
            </a:pPr>
            <a:r>
              <a:rPr lang="en-US" sz="1080" b="1" i="0" u="none" strike="noStrike" baseline="0">
                <a:effectLst/>
              </a:rPr>
              <a:t>Acumulados Primera y Segunda MItad:  2012 y 2013</a:t>
            </a:r>
            <a:endParaRPr lang="en-US"/>
          </a:p>
        </c:rich>
      </c:tx>
      <c:layout>
        <c:manualLayout>
          <c:xMode val="edge"/>
          <c:yMode val="edge"/>
          <c:x val="0.24298699633229887"/>
          <c:y val="9.5124839492437829E-3"/>
        </c:manualLayout>
      </c:layout>
      <c:overlay val="0"/>
    </c:title>
    <c:autoTitleDeleted val="0"/>
    <c:plotArea>
      <c:layout>
        <c:manualLayout>
          <c:layoutTarget val="inner"/>
          <c:xMode val="edge"/>
          <c:yMode val="edge"/>
          <c:x val="0.22665367154838545"/>
          <c:y val="9.9799747253815491E-2"/>
          <c:w val="0.74713380697119702"/>
          <c:h val="0.73852303831234056"/>
        </c:manualLayout>
      </c:layout>
      <c:barChart>
        <c:barDir val="col"/>
        <c:grouping val="clustered"/>
        <c:varyColors val="0"/>
        <c:ser>
          <c:idx val="0"/>
          <c:order val="0"/>
          <c:tx>
            <c:strRef>
              <c:f>segundamitad!$C$10</c:f>
              <c:strCache>
                <c:ptCount val="1"/>
                <c:pt idx="0">
                  <c:v>enero-junio</c:v>
                </c:pt>
              </c:strCache>
            </c:strRef>
          </c:tx>
          <c:spPr>
            <a:solidFill>
              <a:schemeClr val="accent4">
                <a:lumMod val="40000"/>
                <a:lumOff val="60000"/>
              </a:schemeClr>
            </a:solidFill>
          </c:spPr>
          <c:invertIfNegative val="0"/>
          <c:dLbls>
            <c:dLbl>
              <c:idx val="0"/>
              <c:layout>
                <c:manualLayout>
                  <c:x val="-3.055555555555553E-2"/>
                  <c:y val="0"/>
                </c:manualLayout>
              </c:layout>
              <c:dLblPos val="outEnd"/>
              <c:showLegendKey val="0"/>
              <c:showVal val="1"/>
              <c:showCatName val="0"/>
              <c:showSerName val="0"/>
              <c:showPercent val="0"/>
              <c:showBubbleSize val="0"/>
            </c:dLbl>
            <c:dLbl>
              <c:idx val="1"/>
              <c:layout>
                <c:manualLayout>
                  <c:x val="-4.1666666666666664E-2"/>
                  <c:y val="4.6296296296296294E-3"/>
                </c:manualLayout>
              </c:layout>
              <c:dLblPos val="outEnd"/>
              <c:showLegendKey val="0"/>
              <c:showVal val="1"/>
              <c:showCatName val="0"/>
              <c:showSerName val="0"/>
              <c:showPercent val="0"/>
              <c:showBubbleSize val="0"/>
            </c:dLbl>
            <c:numFmt formatCode="&quot;$&quot;#,##0.0" sourceLinked="0"/>
            <c:dLblPos val="outEnd"/>
            <c:showLegendKey val="0"/>
            <c:showVal val="1"/>
            <c:showCatName val="0"/>
            <c:showSerName val="0"/>
            <c:showPercent val="0"/>
            <c:showBubbleSize val="0"/>
            <c:showLeaderLines val="0"/>
          </c:dLbls>
          <c:cat>
            <c:numRef>
              <c:f>segundamitad!$D$3:$E$3</c:f>
              <c:numCache>
                <c:formatCode>General</c:formatCode>
                <c:ptCount val="2"/>
                <c:pt idx="0">
                  <c:v>2012</c:v>
                </c:pt>
                <c:pt idx="1">
                  <c:v>2013</c:v>
                </c:pt>
              </c:numCache>
            </c:numRef>
          </c:cat>
          <c:val>
            <c:numRef>
              <c:f>segundamitad!$D$10:$E$10</c:f>
              <c:numCache>
                <c:formatCode>_(* #,##0_);_(* \(#,##0\);_(* "-"??_);_(@_)</c:formatCode>
                <c:ptCount val="2"/>
                <c:pt idx="0">
                  <c:v>17671317010.8172</c:v>
                </c:pt>
                <c:pt idx="1">
                  <c:v>17645548134.697098</c:v>
                </c:pt>
              </c:numCache>
            </c:numRef>
          </c:val>
        </c:ser>
        <c:ser>
          <c:idx val="1"/>
          <c:order val="1"/>
          <c:tx>
            <c:strRef>
              <c:f>segundamitad!$C$19</c:f>
              <c:strCache>
                <c:ptCount val="1"/>
                <c:pt idx="0">
                  <c:v>julio-diciembre</c:v>
                </c:pt>
              </c:strCache>
            </c:strRef>
          </c:tx>
          <c:spPr>
            <a:pattFill prst="wdUpDiag">
              <a:fgClr>
                <a:schemeClr val="bg1">
                  <a:lumMod val="50000"/>
                </a:schemeClr>
              </a:fgClr>
              <a:bgClr>
                <a:schemeClr val="bg1"/>
              </a:bgClr>
            </a:pattFill>
          </c:spPr>
          <c:invertIfNegative val="0"/>
          <c:dLbls>
            <c:numFmt formatCode="&quot;$&quot;#,##0.0" sourceLinked="0"/>
            <c:dLblPos val="outEnd"/>
            <c:showLegendKey val="0"/>
            <c:showVal val="1"/>
            <c:showCatName val="0"/>
            <c:showSerName val="0"/>
            <c:showPercent val="0"/>
            <c:showBubbleSize val="0"/>
            <c:showLeaderLines val="0"/>
          </c:dLbls>
          <c:cat>
            <c:numRef>
              <c:f>segundamitad!$D$3:$E$3</c:f>
              <c:numCache>
                <c:formatCode>General</c:formatCode>
                <c:ptCount val="2"/>
                <c:pt idx="0">
                  <c:v>2012</c:v>
                </c:pt>
                <c:pt idx="1">
                  <c:v>2013</c:v>
                </c:pt>
              </c:numCache>
            </c:numRef>
          </c:cat>
          <c:val>
            <c:numRef>
              <c:f>segundamitad!$D$19:$E$19</c:f>
              <c:numCache>
                <c:formatCode>_(* #,##0_);_(* \(#,##0\);_(* "-"??_);_(@_)</c:formatCode>
                <c:ptCount val="2"/>
                <c:pt idx="0">
                  <c:v>18525970924</c:v>
                </c:pt>
                <c:pt idx="1">
                  <c:v>18539083569</c:v>
                </c:pt>
              </c:numCache>
            </c:numRef>
          </c:val>
        </c:ser>
        <c:dLbls>
          <c:dLblPos val="outEnd"/>
          <c:showLegendKey val="0"/>
          <c:showVal val="1"/>
          <c:showCatName val="0"/>
          <c:showSerName val="0"/>
          <c:showPercent val="0"/>
          <c:showBubbleSize val="0"/>
        </c:dLbls>
        <c:gapWidth val="150"/>
        <c:axId val="49461120"/>
        <c:axId val="49462656"/>
      </c:barChart>
      <c:catAx>
        <c:axId val="49461120"/>
        <c:scaling>
          <c:orientation val="minMax"/>
        </c:scaling>
        <c:delete val="0"/>
        <c:axPos val="b"/>
        <c:numFmt formatCode="@" sourceLinked="0"/>
        <c:majorTickMark val="out"/>
        <c:minorTickMark val="none"/>
        <c:tickLblPos val="nextTo"/>
        <c:crossAx val="49462656"/>
        <c:crosses val="autoZero"/>
        <c:auto val="1"/>
        <c:lblAlgn val="ctr"/>
        <c:lblOffset val="100"/>
        <c:noMultiLvlLbl val="0"/>
      </c:catAx>
      <c:valAx>
        <c:axId val="49462656"/>
        <c:scaling>
          <c:orientation val="minMax"/>
        </c:scaling>
        <c:delete val="0"/>
        <c:axPos val="l"/>
        <c:numFmt formatCode="_(* #,##0_);_(* \(#,##0\);_(* &quot;-&quot;??_);_(@_)" sourceLinked="1"/>
        <c:majorTickMark val="out"/>
        <c:minorTickMark val="none"/>
        <c:tickLblPos val="nextTo"/>
        <c:crossAx val="49461120"/>
        <c:crosses val="autoZero"/>
        <c:crossBetween val="between"/>
        <c:dispUnits>
          <c:builtInUnit val="millions"/>
          <c:dispUnitsLbl>
            <c:layout>
              <c:manualLayout>
                <c:xMode val="edge"/>
                <c:yMode val="edge"/>
                <c:x val="9.4315131973488481E-2"/>
                <c:y val="0.39368076453406436"/>
              </c:manualLayout>
            </c:layout>
            <c:tx>
              <c:rich>
                <a:bodyPr/>
                <a:lstStyle/>
                <a:p>
                  <a:pPr>
                    <a:defRPr/>
                  </a:pPr>
                  <a:r>
                    <a:rPr lang="en-US"/>
                    <a:t>Milones $</a:t>
                  </a:r>
                </a:p>
              </c:rich>
            </c:tx>
          </c:dispUnitsLbl>
        </c:dispUnits>
      </c:valAx>
      <c:dTable>
        <c:showHorzBorder val="1"/>
        <c:showVertBorder val="1"/>
        <c:showOutline val="1"/>
        <c:showKeys val="1"/>
      </c:dTable>
    </c:plotArea>
    <c:plotVisOnly val="1"/>
    <c:dispBlanksAs val="gap"/>
    <c:showDLblsOverMax val="0"/>
  </c:chart>
  <c:txPr>
    <a:bodyPr/>
    <a:lstStyle/>
    <a:p>
      <a:pPr>
        <a:defRPr sz="900"/>
      </a:pPr>
      <a:endParaRPr lang="es-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Ventas al Detalle Puerto Rico  Enero-Diciembre 2005-2013</a:t>
            </a:r>
          </a:p>
          <a:p>
            <a:pPr>
              <a:defRPr sz="1100"/>
            </a:pPr>
            <a:r>
              <a:rPr lang="en-US" sz="1100"/>
              <a:t>Meses con</a:t>
            </a:r>
            <a:r>
              <a:rPr lang="en-US" sz="1100" baseline="0"/>
              <a:t> Ventas Récord </a:t>
            </a:r>
            <a:r>
              <a:rPr lang="en-US" sz="1100" baseline="0">
                <a:latin typeface="Calibri"/>
                <a:cs typeface="Calibri"/>
              </a:rPr>
              <a:t>Ú</a:t>
            </a:r>
            <a:r>
              <a:rPr lang="en-US" sz="1100" baseline="0"/>
              <a:t>ltimos 9 Años</a:t>
            </a:r>
            <a:endParaRPr lang="en-US" sz="1100"/>
          </a:p>
        </c:rich>
      </c:tx>
      <c:overlay val="0"/>
    </c:title>
    <c:autoTitleDeleted val="0"/>
    <c:plotArea>
      <c:layout>
        <c:manualLayout>
          <c:layoutTarget val="inner"/>
          <c:xMode val="edge"/>
          <c:yMode val="edge"/>
          <c:x val="0.10899689871679029"/>
          <c:y val="0.19387820522751165"/>
          <c:w val="0.79301234886622773"/>
          <c:h val="0.7454281855290682"/>
        </c:manualLayout>
      </c:layout>
      <c:scatterChart>
        <c:scatterStyle val="smoothMarker"/>
        <c:varyColors val="0"/>
        <c:ser>
          <c:idx val="0"/>
          <c:order val="0"/>
          <c:tx>
            <c:v>2005</c:v>
          </c:tx>
          <c:marker>
            <c:symbol val="none"/>
          </c:marker>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'gr3'!$C$3:$C$14</c:f>
              <c:numCache>
                <c:formatCode>_(* #,##0_);_(* \(#,##0\);_(* "-"??_);_(@_)</c:formatCode>
                <c:ptCount val="12"/>
                <c:pt idx="0">
                  <c:v>2773328803.8678055</c:v>
                </c:pt>
                <c:pt idx="1">
                  <c:v>2637828991.4001899</c:v>
                </c:pt>
                <c:pt idx="2">
                  <c:v>2819572641.2183585</c:v>
                </c:pt>
                <c:pt idx="3">
                  <c:v>2925226989.9262938</c:v>
                </c:pt>
                <c:pt idx="4">
                  <c:v>2998516357.637723</c:v>
                </c:pt>
                <c:pt idx="5">
                  <c:v>2974165160.6792517</c:v>
                </c:pt>
                <c:pt idx="6">
                  <c:v>2983088677.2812815</c:v>
                </c:pt>
                <c:pt idx="7">
                  <c:v>2929118307.3187637</c:v>
                </c:pt>
                <c:pt idx="8">
                  <c:v>2795608892.9066868</c:v>
                </c:pt>
                <c:pt idx="9">
                  <c:v>2924363273.3444004</c:v>
                </c:pt>
                <c:pt idx="10">
                  <c:v>3076494447.1122003</c:v>
                </c:pt>
                <c:pt idx="11">
                  <c:v>3543175017.8030005</c:v>
                </c:pt>
              </c:numCache>
            </c:numRef>
          </c:yVal>
          <c:smooth val="1"/>
        </c:ser>
        <c:ser>
          <c:idx val="1"/>
          <c:order val="1"/>
          <c:tx>
            <c:v>2006</c:v>
          </c:tx>
          <c:marker>
            <c:symbol val="none"/>
          </c:marker>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'gr3'!$D$3:$D$14</c:f>
              <c:numCache>
                <c:formatCode>_(* #,##0_);_(* \(#,##0\);_(* "-"??_);_(@_)</c:formatCode>
                <c:ptCount val="12"/>
                <c:pt idx="0">
                  <c:v>2819383371.7971468</c:v>
                </c:pt>
                <c:pt idx="1">
                  <c:v>2685792674.6142001</c:v>
                </c:pt>
                <c:pt idx="2">
                  <c:v>2892370975.4018993</c:v>
                </c:pt>
                <c:pt idx="3">
                  <c:v>2759713813.1703005</c:v>
                </c:pt>
                <c:pt idx="4">
                  <c:v>2896109094.6847005</c:v>
                </c:pt>
                <c:pt idx="5">
                  <c:v>2866329297.2754002</c:v>
                </c:pt>
                <c:pt idx="6">
                  <c:v>2900052608.0534997</c:v>
                </c:pt>
                <c:pt idx="7">
                  <c:v>2855240229.5514998</c:v>
                </c:pt>
                <c:pt idx="8">
                  <c:v>2776558130.0253992</c:v>
                </c:pt>
                <c:pt idx="9">
                  <c:v>2884674901.2965999</c:v>
                </c:pt>
                <c:pt idx="10">
                  <c:v>3074621391.8041997</c:v>
                </c:pt>
                <c:pt idx="11">
                  <c:v>3397381429.3934002</c:v>
                </c:pt>
              </c:numCache>
            </c:numRef>
          </c:yVal>
          <c:smooth val="1"/>
        </c:ser>
        <c:ser>
          <c:idx val="2"/>
          <c:order val="2"/>
          <c:tx>
            <c:v>2007</c:v>
          </c:tx>
          <c:marker>
            <c:symbol val="none"/>
          </c:marker>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'gr3'!$E$3:$E$14</c:f>
              <c:numCache>
                <c:formatCode>_(* #,##0_);_(* \(#,##0\);_(* "-"??_);_(@_)</c:formatCode>
                <c:ptCount val="12"/>
                <c:pt idx="0">
                  <c:v>2829770647.8814001</c:v>
                </c:pt>
                <c:pt idx="1">
                  <c:v>2613334955.7497997</c:v>
                </c:pt>
                <c:pt idx="2">
                  <c:v>2847560839.3740005</c:v>
                </c:pt>
                <c:pt idx="3">
                  <c:v>2825062402.5616999</c:v>
                </c:pt>
                <c:pt idx="4">
                  <c:v>2926393402.6973</c:v>
                </c:pt>
                <c:pt idx="5">
                  <c:v>2845139459.4224997</c:v>
                </c:pt>
                <c:pt idx="6">
                  <c:v>2852568018.4789996</c:v>
                </c:pt>
                <c:pt idx="7">
                  <c:v>2826421229.2999997</c:v>
                </c:pt>
                <c:pt idx="8">
                  <c:v>2745666287.7213998</c:v>
                </c:pt>
                <c:pt idx="9">
                  <c:v>2879994106.6773</c:v>
                </c:pt>
                <c:pt idx="10">
                  <c:v>3074662592.4278998</c:v>
                </c:pt>
                <c:pt idx="11">
                  <c:v>3549556526.0994997</c:v>
                </c:pt>
              </c:numCache>
            </c:numRef>
          </c:yVal>
          <c:smooth val="1"/>
        </c:ser>
        <c:ser>
          <c:idx val="3"/>
          <c:order val="3"/>
          <c:tx>
            <c:v>2008</c:v>
          </c:tx>
          <c:marker>
            <c:symbol val="none"/>
          </c:marker>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'gr3'!$F$3:$F$14</c:f>
              <c:numCache>
                <c:formatCode>_(* #,##0_);_(* \(#,##0\);_(* "-"??_);_(@_)</c:formatCode>
                <c:ptCount val="12"/>
                <c:pt idx="0">
                  <c:v>2820259547.4597001</c:v>
                </c:pt>
                <c:pt idx="1">
                  <c:v>2719268496.6915998</c:v>
                </c:pt>
                <c:pt idx="2">
                  <c:v>2851525287.6179996</c:v>
                </c:pt>
                <c:pt idx="3">
                  <c:v>2732238854.4195995</c:v>
                </c:pt>
                <c:pt idx="4">
                  <c:v>3071036758.1101003</c:v>
                </c:pt>
                <c:pt idx="5">
                  <c:v>2918018889.2129002</c:v>
                </c:pt>
                <c:pt idx="6">
                  <c:v>2972101693.8889999</c:v>
                </c:pt>
                <c:pt idx="7">
                  <c:v>2910249815</c:v>
                </c:pt>
                <c:pt idx="8">
                  <c:v>2889925289.3443007</c:v>
                </c:pt>
                <c:pt idx="9">
                  <c:v>2885210357.2871995</c:v>
                </c:pt>
                <c:pt idx="10">
                  <c:v>3024032081.0174003</c:v>
                </c:pt>
                <c:pt idx="11">
                  <c:v>3484400025.1633992</c:v>
                </c:pt>
              </c:numCache>
            </c:numRef>
          </c:yVal>
          <c:smooth val="1"/>
        </c:ser>
        <c:ser>
          <c:idx val="4"/>
          <c:order val="4"/>
          <c:tx>
            <c:v>2009</c:v>
          </c:tx>
          <c:marker>
            <c:symbol val="none"/>
          </c:marker>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'gr3'!$G$3:$G$14</c:f>
              <c:numCache>
                <c:formatCode>_(* #,##0_);_(* \(#,##0\);_(* "-"??_);_(@_)</c:formatCode>
                <c:ptCount val="12"/>
                <c:pt idx="0">
                  <c:v>2800111085</c:v>
                </c:pt>
                <c:pt idx="1">
                  <c:v>2623340620</c:v>
                </c:pt>
                <c:pt idx="2">
                  <c:v>2780908141</c:v>
                </c:pt>
                <c:pt idx="3">
                  <c:v>2723109881</c:v>
                </c:pt>
                <c:pt idx="4">
                  <c:v>2910583092</c:v>
                </c:pt>
                <c:pt idx="5">
                  <c:v>2916199445</c:v>
                </c:pt>
                <c:pt idx="6">
                  <c:v>2975941291</c:v>
                </c:pt>
                <c:pt idx="7">
                  <c:v>2866257955</c:v>
                </c:pt>
                <c:pt idx="8">
                  <c:v>2749934935</c:v>
                </c:pt>
                <c:pt idx="9">
                  <c:v>2857081692</c:v>
                </c:pt>
                <c:pt idx="10">
                  <c:v>2951953217</c:v>
                </c:pt>
                <c:pt idx="11">
                  <c:v>3297876216</c:v>
                </c:pt>
              </c:numCache>
            </c:numRef>
          </c:yVal>
          <c:smooth val="1"/>
        </c:ser>
        <c:ser>
          <c:idx val="5"/>
          <c:order val="5"/>
          <c:tx>
            <c:v>2010</c:v>
          </c:tx>
          <c:marker>
            <c:symbol val="none"/>
          </c:marker>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'gr3'!$H$3:$H$14</c:f>
              <c:numCache>
                <c:formatCode>_(* #,##0_);_(* \(#,##0\);_(* "-"??_);_(@_)</c:formatCode>
                <c:ptCount val="12"/>
                <c:pt idx="0">
                  <c:v>2718254258</c:v>
                </c:pt>
                <c:pt idx="1">
                  <c:v>2616778491</c:v>
                </c:pt>
                <c:pt idx="2">
                  <c:v>2861042110</c:v>
                </c:pt>
                <c:pt idx="3">
                  <c:v>2736246341</c:v>
                </c:pt>
                <c:pt idx="4">
                  <c:v>2826614597</c:v>
                </c:pt>
                <c:pt idx="5">
                  <c:v>2838125239</c:v>
                </c:pt>
                <c:pt idx="6">
                  <c:v>2911247580</c:v>
                </c:pt>
                <c:pt idx="7">
                  <c:v>2837696734</c:v>
                </c:pt>
                <c:pt idx="8">
                  <c:v>2784403914</c:v>
                </c:pt>
                <c:pt idx="9">
                  <c:v>2899681799</c:v>
                </c:pt>
                <c:pt idx="10">
                  <c:v>3003998955</c:v>
                </c:pt>
                <c:pt idx="11">
                  <c:v>3350325190</c:v>
                </c:pt>
              </c:numCache>
            </c:numRef>
          </c:yVal>
          <c:smooth val="1"/>
        </c:ser>
        <c:ser>
          <c:idx val="6"/>
          <c:order val="6"/>
          <c:tx>
            <c:v>2011</c:v>
          </c:tx>
          <c:marker>
            <c:symbol val="none"/>
          </c:marker>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'gr3'!$I$3:$I$14</c:f>
              <c:numCache>
                <c:formatCode>_(* #,##0_);_(* \(#,##0\);_(* "-"??_);_(@_)</c:formatCode>
                <c:ptCount val="12"/>
                <c:pt idx="0">
                  <c:v>2834772094</c:v>
                </c:pt>
                <c:pt idx="1">
                  <c:v>2745127935</c:v>
                </c:pt>
                <c:pt idx="2">
                  <c:v>2946691675</c:v>
                </c:pt>
                <c:pt idx="3">
                  <c:v>2806623393</c:v>
                </c:pt>
                <c:pt idx="4">
                  <c:v>2830563124</c:v>
                </c:pt>
                <c:pt idx="5">
                  <c:v>2923778970</c:v>
                </c:pt>
                <c:pt idx="6">
                  <c:v>2935579045</c:v>
                </c:pt>
                <c:pt idx="7">
                  <c:v>2861660792</c:v>
                </c:pt>
                <c:pt idx="8">
                  <c:v>2856103602</c:v>
                </c:pt>
                <c:pt idx="9">
                  <c:v>2995001223</c:v>
                </c:pt>
                <c:pt idx="10">
                  <c:v>3131223906</c:v>
                </c:pt>
                <c:pt idx="11">
                  <c:v>3444652348</c:v>
                </c:pt>
              </c:numCache>
            </c:numRef>
          </c:yVal>
          <c:smooth val="1"/>
        </c:ser>
        <c:ser>
          <c:idx val="7"/>
          <c:order val="7"/>
          <c:tx>
            <c:v>2012</c:v>
          </c:tx>
          <c:marker>
            <c:symbol val="none"/>
          </c:marker>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'gr3'!$J$3:$J$14</c:f>
              <c:numCache>
                <c:formatCode>_(* #,##0_);_(* \(#,##0\);_(* "-"??_);_(@_)</c:formatCode>
                <c:ptCount val="12"/>
                <c:pt idx="0">
                  <c:v>2877724636</c:v>
                </c:pt>
                <c:pt idx="1">
                  <c:v>2834107449</c:v>
                </c:pt>
                <c:pt idx="2">
                  <c:v>3050631445</c:v>
                </c:pt>
                <c:pt idx="3">
                  <c:v>2914629255.8172002</c:v>
                </c:pt>
                <c:pt idx="4">
                  <c:v>3028600993</c:v>
                </c:pt>
                <c:pt idx="5">
                  <c:v>2965623232</c:v>
                </c:pt>
                <c:pt idx="6">
                  <c:v>2953031578</c:v>
                </c:pt>
                <c:pt idx="7">
                  <c:v>2952251828</c:v>
                </c:pt>
                <c:pt idx="8">
                  <c:v>2893294160</c:v>
                </c:pt>
                <c:pt idx="9">
                  <c:v>3007834346</c:v>
                </c:pt>
                <c:pt idx="10">
                  <c:v>3188280329</c:v>
                </c:pt>
                <c:pt idx="11" formatCode="&quot;$&quot;#,##0_);[Red]\(&quot;$&quot;#,##0\)">
                  <c:v>3531278683</c:v>
                </c:pt>
              </c:numCache>
            </c:numRef>
          </c:yVal>
          <c:smooth val="1"/>
        </c:ser>
        <c:ser>
          <c:idx val="8"/>
          <c:order val="8"/>
          <c:tx>
            <c:v>2013</c:v>
          </c:tx>
          <c:spPr>
            <a:ln w="50800">
              <a:solidFill>
                <a:schemeClr val="tx1"/>
              </a:solidFill>
            </a:ln>
          </c:spPr>
          <c:marker>
            <c:symbol val="diamond"/>
            <c:size val="8"/>
            <c:spPr>
              <a:solidFill>
                <a:srgbClr val="FF0000"/>
              </a:solidFill>
            </c:spPr>
          </c:marker>
          <c:dLbls>
            <c:dLbl>
              <c:idx val="0"/>
              <c:layout>
                <c:manualLayout>
                  <c:x val="-5.6144313277027985E-2"/>
                  <c:y val="-7.4820647419072614E-2"/>
                </c:manualLayout>
              </c:layout>
              <c:showLegendKey val="0"/>
              <c:showVal val="0"/>
              <c:showCatName val="1"/>
              <c:showSerName val="1"/>
              <c:showPercent val="0"/>
              <c:showBubbleSize val="0"/>
              <c:separator> </c:separator>
            </c:dLbl>
            <c:dLbl>
              <c:idx val="1"/>
              <c:delete val="1"/>
            </c:dLbl>
            <c:dLbl>
              <c:idx val="2"/>
              <c:delete val="1"/>
            </c:dLbl>
            <c:dLbl>
              <c:idx val="3"/>
              <c:delete val="1"/>
            </c:dLbl>
            <c:dLbl>
              <c:idx val="4"/>
              <c:layout>
                <c:manualLayout>
                  <c:x val="0"/>
                  <c:y val="-3.0268630520837329E-2"/>
                </c:manualLayout>
              </c:layout>
              <c:showLegendKey val="0"/>
              <c:showVal val="0"/>
              <c:showCatName val="1"/>
              <c:showSerName val="1"/>
              <c:showPercent val="0"/>
              <c:showBubbleSize val="0"/>
              <c:separator> </c:separator>
            </c:dLbl>
            <c:dLbl>
              <c:idx val="5"/>
              <c:delete val="1"/>
            </c:dLbl>
            <c:dLbl>
              <c:idx val="6"/>
              <c:delete val="1"/>
            </c:dLbl>
            <c:dLbl>
              <c:idx val="7"/>
              <c:layout>
                <c:manualLayout>
                  <c:x val="-6.9467373980065181E-2"/>
                  <c:y val="-3.6994323078036295E-2"/>
                </c:manualLayout>
              </c:layout>
              <c:showLegendKey val="0"/>
              <c:showVal val="0"/>
              <c:showCatName val="1"/>
              <c:showSerName val="1"/>
              <c:showPercent val="0"/>
              <c:showBubbleSize val="0"/>
              <c:separator> </c:separator>
            </c:dLbl>
            <c:dLbl>
              <c:idx val="8"/>
              <c:delete val="1"/>
            </c:dLbl>
            <c:dLbl>
              <c:idx val="9"/>
              <c:layout>
                <c:manualLayout>
                  <c:x val="-0.14127268834598092"/>
                  <c:y val="-3.9853176247705881E-2"/>
                </c:manualLayout>
              </c:layout>
              <c:showLegendKey val="0"/>
              <c:showVal val="0"/>
              <c:showCatName val="1"/>
              <c:showSerName val="1"/>
              <c:showPercent val="0"/>
              <c:showBubbleSize val="0"/>
              <c:separator> </c:separator>
            </c:dLbl>
            <c:dLbl>
              <c:idx val="10"/>
              <c:layout>
                <c:manualLayout>
                  <c:x val="-0.1749631673684294"/>
                  <c:y val="-1.2107960189186877E-2"/>
                </c:manualLayout>
              </c:layout>
              <c:showLegendKey val="0"/>
              <c:showVal val="0"/>
              <c:showCatName val="1"/>
              <c:showSerName val="1"/>
              <c:showPercent val="0"/>
              <c:showBubbleSize val="0"/>
              <c:separator> </c:separator>
            </c:dLbl>
            <c:dLbl>
              <c:idx val="11"/>
              <c:layout>
                <c:manualLayout>
                  <c:x val="-0.17777777777777778"/>
                  <c:y val="-1.9436345966958212E-2"/>
                </c:manualLayout>
              </c:layout>
              <c:showLegendKey val="0"/>
              <c:showVal val="0"/>
              <c:showCatName val="1"/>
              <c:showSerName val="1"/>
              <c:showPercent val="0"/>
              <c:showBubbleSize val="0"/>
              <c:separator> </c:separator>
            </c:dLbl>
            <c:numFmt formatCode="&quot;$&quot;#,##0" sourceLinked="0"/>
            <c:txPr>
              <a:bodyPr rot="0" vert="horz" anchor="t" anchorCtr="0"/>
              <a:lstStyle/>
              <a:p>
                <a:pPr>
                  <a:defRPr b="1" i="0" baseline="0"/>
                </a:pPr>
                <a:endParaRPr lang="es-PR"/>
              </a:p>
            </c:txPr>
            <c:showLegendKey val="0"/>
            <c:showVal val="0"/>
            <c:showCatName val="1"/>
            <c:showSerName val="1"/>
            <c:showPercent val="0"/>
            <c:showBubbleSize val="0"/>
            <c:separator> </c:separator>
            <c:showLeaderLines val="0"/>
          </c:dLbls>
          <c:xVal>
            <c:strRef>
              <c:f>'gr3'!$B$3:$B$14</c:f>
              <c:strCache>
                <c:ptCount val="12"/>
                <c:pt idx="0">
                  <c:v>Enero </c:v>
                </c:pt>
                <c:pt idx="1">
                  <c:v>Febrero </c:v>
                </c:pt>
                <c:pt idx="2">
                  <c:v>Marzo </c:v>
                </c:pt>
                <c:pt idx="3">
                  <c:v>Abril</c:v>
                </c:pt>
                <c:pt idx="4">
                  <c:v>Mayo </c:v>
                </c:pt>
                <c:pt idx="5">
                  <c:v>Junio </c:v>
                </c:pt>
                <c:pt idx="6">
                  <c:v>Julio </c:v>
                </c:pt>
                <c:pt idx="7">
                  <c:v>Agosto </c:v>
                </c:pt>
                <c:pt idx="8">
                  <c:v>Sept.</c:v>
                </c:pt>
                <c:pt idx="9">
                  <c:v>Octubre </c:v>
                </c:pt>
                <c:pt idx="10">
                  <c:v>Noviembre</c:v>
                </c:pt>
                <c:pt idx="11">
                  <c:v>Diciembre </c:v>
                </c:pt>
              </c:strCache>
            </c:strRef>
          </c:xVal>
          <c:yVal>
            <c:numRef>
              <c:f>'gr3'!$K$3:$K$14</c:f>
              <c:numCache>
                <c:formatCode>_(* #,##0_);_(* \(#,##0\);_(* "-"??_);_(@_)</c:formatCode>
                <c:ptCount val="12"/>
                <c:pt idx="0">
                  <c:v>2902005640</c:v>
                </c:pt>
                <c:pt idx="1">
                  <c:v>2813368920</c:v>
                </c:pt>
                <c:pt idx="2">
                  <c:v>2981556144</c:v>
                </c:pt>
                <c:pt idx="3">
                  <c:v>2911058195.6971002</c:v>
                </c:pt>
                <c:pt idx="4">
                  <c:v>3101787890</c:v>
                </c:pt>
                <c:pt idx="5">
                  <c:v>2935771345</c:v>
                </c:pt>
                <c:pt idx="6">
                  <c:v>2944377891</c:v>
                </c:pt>
                <c:pt idx="7">
                  <c:v>2967019788</c:v>
                </c:pt>
                <c:pt idx="8">
                  <c:v>2847787090</c:v>
                </c:pt>
                <c:pt idx="9">
                  <c:v>3016455382</c:v>
                </c:pt>
                <c:pt idx="10">
                  <c:v>3230226272</c:v>
                </c:pt>
                <c:pt idx="11" formatCode="&quot;$&quot;#,##0_);[Red]\(&quot;$&quot;#,##0\)">
                  <c:v>3533217146</c:v>
                </c:pt>
              </c:numCache>
            </c:numRef>
          </c:yVal>
          <c:smooth val="1"/>
        </c:ser>
        <c:dLbls>
          <c:showLegendKey val="0"/>
          <c:showVal val="0"/>
          <c:showCatName val="0"/>
          <c:showSerName val="0"/>
          <c:showPercent val="0"/>
          <c:showBubbleSize val="0"/>
        </c:dLbls>
        <c:axId val="84285696"/>
        <c:axId val="84304256"/>
      </c:scatterChart>
      <c:valAx>
        <c:axId val="84285696"/>
        <c:scaling>
          <c:orientation val="minMax"/>
        </c:scaling>
        <c:delete val="0"/>
        <c:axPos val="b"/>
        <c:title>
          <c:tx>
            <c:rich>
              <a:bodyPr/>
              <a:lstStyle/>
              <a:p>
                <a:pPr>
                  <a:defRPr/>
                </a:pPr>
                <a:r>
                  <a:rPr lang="en-US"/>
                  <a:t>Meses</a:t>
                </a:r>
              </a:p>
            </c:rich>
          </c:tx>
          <c:overlay val="0"/>
        </c:title>
        <c:numFmt formatCode="General" sourceLinked="1"/>
        <c:majorTickMark val="out"/>
        <c:minorTickMark val="none"/>
        <c:tickLblPos val="low"/>
        <c:txPr>
          <a:bodyPr rot="-5400000" vert="horz"/>
          <a:lstStyle/>
          <a:p>
            <a:pPr>
              <a:defRPr/>
            </a:pPr>
            <a:endParaRPr lang="es-PR"/>
          </a:p>
        </c:txPr>
        <c:crossAx val="84304256"/>
        <c:crossesAt val="2500000"/>
        <c:crossBetween val="midCat"/>
      </c:valAx>
      <c:valAx>
        <c:axId val="84304256"/>
        <c:scaling>
          <c:orientation val="minMax"/>
          <c:min val="2500000000"/>
        </c:scaling>
        <c:delete val="0"/>
        <c:axPos val="l"/>
        <c:majorGridlines/>
        <c:numFmt formatCode="&quot;$&quot;#,##0" sourceLinked="0"/>
        <c:majorTickMark val="out"/>
        <c:minorTickMark val="none"/>
        <c:tickLblPos val="nextTo"/>
        <c:crossAx val="84285696"/>
        <c:crossesAt val="0"/>
        <c:crossBetween val="midCat"/>
        <c:dispUnits>
          <c:builtInUnit val="millions"/>
          <c:dispUnitsLbl>
            <c:layout>
              <c:manualLayout>
                <c:xMode val="edge"/>
                <c:yMode val="edge"/>
                <c:x val="8.0756572095154759E-4"/>
                <c:y val="0.46138059273203097"/>
              </c:manualLayout>
            </c:layout>
            <c:tx>
              <c:rich>
                <a:bodyPr/>
                <a:lstStyle/>
                <a:p>
                  <a:pPr>
                    <a:defRPr/>
                  </a:pPr>
                  <a:r>
                    <a:rPr lang="en-US"/>
                    <a:t>Millones $</a:t>
                  </a:r>
                </a:p>
              </c:rich>
            </c:tx>
          </c:dispUnitsLbl>
        </c:dispUnits>
      </c:valAx>
    </c:plotArea>
    <c:legend>
      <c:legendPos val="r"/>
      <c:layout>
        <c:manualLayout>
          <c:xMode val="edge"/>
          <c:yMode val="edge"/>
          <c:x val="0.88849218356026227"/>
          <c:y val="0.16131039175658601"/>
          <c:w val="0.10142208774583963"/>
          <c:h val="0.73062276306370799"/>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0.51629</cdr:x>
      <cdr:y>0.20228</cdr:y>
    </cdr:from>
    <cdr:to>
      <cdr:x>0.78502</cdr:x>
      <cdr:y>0.24138</cdr:y>
    </cdr:to>
    <cdr:cxnSp macro="">
      <cdr:nvCxnSpPr>
        <cdr:cNvPr id="3" name="Straight Arrow Connector 2"/>
        <cdr:cNvCxnSpPr/>
      </cdr:nvCxnSpPr>
      <cdr:spPr>
        <a:xfrm xmlns:a="http://schemas.openxmlformats.org/drawingml/2006/main" flipV="1">
          <a:off x="3019445" y="676275"/>
          <a:ext cx="1571605" cy="13072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0.6375</cdr:x>
      <cdr:y>0.23796</cdr:y>
    </cdr:from>
    <cdr:to>
      <cdr:x>0.73958</cdr:x>
      <cdr:y>0.28473</cdr:y>
    </cdr:to>
    <cdr:sp macro="" textlink="">
      <cdr:nvSpPr>
        <cdr:cNvPr id="4" name="TextBox 3"/>
        <cdr:cNvSpPr txBox="1"/>
      </cdr:nvSpPr>
      <cdr:spPr>
        <a:xfrm xmlns:a="http://schemas.openxmlformats.org/drawingml/2006/main">
          <a:off x="2914650" y="823913"/>
          <a:ext cx="4667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0.63192</cdr:x>
      <cdr:y>0.25489</cdr:y>
    </cdr:from>
    <cdr:to>
      <cdr:x>0.74665</cdr:x>
      <cdr:y>0.32642</cdr:y>
    </cdr:to>
    <cdr:sp macro="" textlink="">
      <cdr:nvSpPr>
        <cdr:cNvPr id="5" name="TextBox 4"/>
        <cdr:cNvSpPr txBox="1"/>
      </cdr:nvSpPr>
      <cdr:spPr>
        <a:xfrm xmlns:a="http://schemas.openxmlformats.org/drawingml/2006/main">
          <a:off x="3695689" y="852174"/>
          <a:ext cx="670982" cy="2391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0.07%</a:t>
          </a:r>
        </a:p>
      </cdr:txBody>
    </cdr:sp>
  </cdr:relSizeAnchor>
  <cdr:relSizeAnchor xmlns:cdr="http://schemas.openxmlformats.org/drawingml/2006/chartDrawing">
    <cdr:from>
      <cdr:x>0.64061</cdr:x>
      <cdr:y>0.27009</cdr:y>
    </cdr:from>
    <cdr:to>
      <cdr:x>0.75534</cdr:x>
      <cdr:y>0.34162</cdr:y>
    </cdr:to>
    <cdr:sp macro="" textlink="">
      <cdr:nvSpPr>
        <cdr:cNvPr id="6" name="TextBox 4"/>
        <cdr:cNvSpPr txBox="1"/>
      </cdr:nvSpPr>
      <cdr:spPr>
        <a:xfrm xmlns:a="http://schemas.openxmlformats.org/drawingml/2006/main">
          <a:off x="3746489" y="902974"/>
          <a:ext cx="670982" cy="239144"/>
        </a:xfrm>
        <a:prstGeom xmlns:a="http://schemas.openxmlformats.org/drawingml/2006/main" prst="rect">
          <a:avLst/>
        </a:prstGeom>
      </cdr:spPr>
    </cdr:sp>
  </cdr:relSizeAnchor>
  <cdr:relSizeAnchor xmlns:cdr="http://schemas.openxmlformats.org/drawingml/2006/chartDrawing">
    <cdr:from>
      <cdr:x>0.52986</cdr:x>
      <cdr:y>0.68319</cdr:y>
    </cdr:from>
    <cdr:to>
      <cdr:x>0.64459</cdr:x>
      <cdr:y>0.75472</cdr:y>
    </cdr:to>
    <cdr:sp macro="" textlink="">
      <cdr:nvSpPr>
        <cdr:cNvPr id="7" name="TextBox 4"/>
        <cdr:cNvSpPr txBox="1"/>
      </cdr:nvSpPr>
      <cdr:spPr>
        <a:xfrm xmlns:a="http://schemas.openxmlformats.org/drawingml/2006/main">
          <a:off x="3098789" y="2284099"/>
          <a:ext cx="670982" cy="23914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b="1"/>
            <a:t>-0.15%</a:t>
          </a:r>
        </a:p>
      </cdr:txBody>
    </cdr:sp>
  </cdr:relSizeAnchor>
  <cdr:relSizeAnchor xmlns:cdr="http://schemas.openxmlformats.org/drawingml/2006/chartDrawing">
    <cdr:from>
      <cdr:x>0.39577</cdr:x>
      <cdr:y>0.5584</cdr:y>
    </cdr:from>
    <cdr:to>
      <cdr:x>0.67427</cdr:x>
      <cdr:y>0.60114</cdr:y>
    </cdr:to>
    <cdr:cxnSp macro="">
      <cdr:nvCxnSpPr>
        <cdr:cNvPr id="8" name="Straight Arrow Connector 7"/>
        <cdr:cNvCxnSpPr/>
      </cdr:nvCxnSpPr>
      <cdr:spPr>
        <a:xfrm xmlns:a="http://schemas.openxmlformats.org/drawingml/2006/main">
          <a:off x="2314575" y="1866900"/>
          <a:ext cx="1628775" cy="1428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F41E-67B2-419F-A5DA-96452A31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620</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R. Batista Santaella</dc:creator>
  <cp:lastModifiedBy>Odalie M. David Frasqueri</cp:lastModifiedBy>
  <cp:revision>5</cp:revision>
  <cp:lastPrinted>2014-03-07T20:08:00Z</cp:lastPrinted>
  <dcterms:created xsi:type="dcterms:W3CDTF">2014-03-07T20:06:00Z</dcterms:created>
  <dcterms:modified xsi:type="dcterms:W3CDTF">2014-03-07T20:30:00Z</dcterms:modified>
</cp:coreProperties>
</file>