
<file path=[Content_Types].xml><?xml version="1.0" encoding="utf-8"?>
<Types xmlns="http://schemas.openxmlformats.org/package/2006/content-types">
  <Override PartName="/word/theme/themeOverride21.xml" ContentType="application/vnd.openxmlformats-officedocument.themeOverride+xml"/>
  <Default Extension="xlsx" ContentType="application/vnd.openxmlformats-officedocument.spreadsheetml.sheet"/>
  <Override PartName="/word/footer3.xml" ContentType="application/vnd.openxmlformats-officedocument.wordprocessingml.footer+xml"/>
  <Default Extension="xml" ContentType="application/xml"/>
  <Override PartName="/word/theme/themeOverride13.xml" ContentType="application/vnd.openxmlformats-officedocument.themeOverride+xml"/>
  <Override PartName="/word/theme/themeOverride9.xml" ContentType="application/vnd.openxmlformats-officedocument.themeOverride+xml"/>
  <Override PartName="/word/header3.xml" ContentType="application/vnd.openxmlformats-officedocument.wordprocessingml.header+xml"/>
  <Override PartName="/customXml/itemProps1.xml" ContentType="application/vnd.openxmlformats-officedocument.customXmlProperties+xml"/>
  <Override PartName="/word/charts/chart15.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charts/chart6.xml" ContentType="application/vnd.openxmlformats-officedocument.drawingml.chart+xml"/>
  <Override PartName="/word/theme/themeOverride20.xml" ContentType="application/vnd.openxmlformats-officedocument.themeOverride+xml"/>
  <Override PartName="/word/theme/themeOverride19.xml" ContentType="application/vnd.openxmlformats-officedocument.themeOverride+xml"/>
  <Override PartName="/docProps/core.xml" ContentType="application/vnd.openxmlformats-package.core-properties+xml"/>
  <Override PartName="/word/theme/themeOverride12.xml" ContentType="application/vnd.openxmlformats-officedocument.themeOverride+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drawings/drawing6.xml" ContentType="application/vnd.openxmlformats-officedocument.drawingml.chartshapes+xml"/>
  <Override PartName="/word/header2.xml" ContentType="application/vnd.openxmlformats-officedocument.wordprocessingml.header+xml"/>
  <Override PartName="/word/charts/chart14.xml" ContentType="application/vnd.openxmlformats-officedocument.drawingml.chart+xml"/>
  <Override PartName="/word/theme/themeOverride8.xml" ContentType="application/vnd.openxmlformats-officedocument.themeOverride+xml"/>
  <Default Extension="emf" ContentType="image/x-emf"/>
  <Override PartName="/word/theme/themeOverride1.xml" ContentType="application/vnd.openxmlformats-officedocument.themeOverride+xml"/>
  <Override PartName="/word/charts/chart23.xml" ContentType="application/vnd.openxmlformats-officedocument.drawingml.chart+xml"/>
  <Override PartName="/word/charts/chart5.xml" ContentType="application/vnd.openxmlformats-officedocument.drawingml.chart+xml"/>
  <Default Extension="png" ContentType="image/png"/>
  <Override PartName="/word/glossary/fontTable.xml" ContentType="application/vnd.openxmlformats-officedocument.wordprocessingml.fontTable+xml"/>
  <Override PartName="/word/theme/themeOverride18.xml" ContentType="application/vnd.openxmlformats-officedocument.themeOverride+xml"/>
  <Override PartName="/word/footer1.xml" ContentType="application/vnd.openxmlformats-officedocument.wordprocessingml.footer+xml"/>
  <Override PartName="/word/theme/themeOverride11.xml" ContentType="application/vnd.openxmlformats-officedocument.themeOverride+xml"/>
  <Override PartName="/word/header8.xml" ContentType="application/vnd.openxmlformats-officedocument.wordprocessingml.header+xml"/>
  <Override PartName="/word/drawings/drawing5.xml" ContentType="application/vnd.openxmlformats-officedocument.drawingml.chartshapes+xml"/>
  <Override PartName="/word/header1.xml" ContentType="application/vnd.openxmlformats-officedocument.wordprocessingml.header+xml"/>
  <Override PartName="/word/charts/chart13.xml" ContentType="application/vnd.openxmlformats-officedocument.drawingml.chart+xml"/>
  <Override PartName="/word/theme/themeOverride7.xml" ContentType="application/vnd.openxmlformats-officedocument.themeOverride+xml"/>
  <Override PartName="/word/theme/themeOverride25.xml" ContentType="application/vnd.openxmlformats-officedocument.themeOverride+xml"/>
  <Override PartName="/word/charts/chart22.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theme/themeOverride17.xml" ContentType="application/vnd.openxmlformats-officedocument.themeOverride+xml"/>
  <Override PartName="/word/footnotes.xml" ContentType="application/vnd.openxmlformats-officedocument.wordprocessingml.footnotes+xml"/>
  <Override PartName="/word/theme/themeOverride10.xml" ContentType="application/vnd.openxmlformats-officedocument.themeOverride+xml"/>
  <Override PartName="/word/glossary/settings.xml" ContentType="application/vnd.openxmlformats-officedocument.wordprocessingml.settings+xml"/>
  <Override PartName="/word/header7.xml" ContentType="application/vnd.openxmlformats-officedocument.wordprocessingml.header+xml"/>
  <Override PartName="/word/endnotes.xml" ContentType="application/vnd.openxmlformats-officedocument.wordprocessingml.endnotes+xml"/>
  <Override PartName="/word/charts/chart19.xml" ContentType="application/vnd.openxmlformats-officedocument.drawingml.chart+xml"/>
  <Override PartName="/word/drawings/drawing4.xml" ContentType="application/vnd.openxmlformats-officedocument.drawingml.chartshapes+xml"/>
  <Override PartName="/word/theme/theme1.xml" ContentType="application/vnd.openxmlformats-officedocument.theme+xml"/>
  <Override PartName="/word/theme/themeOverride6.xml" ContentType="application/vnd.openxmlformats-officedocument.themeOverride+xml"/>
  <Override PartName="/word/charts/chart12.xml" ContentType="application/vnd.openxmlformats-officedocument.drawingml.chart+xml"/>
  <Override PartName="/word/stylesWithEffects.xml" ContentType="application/vnd.ms-word.stylesWithEffects+xml"/>
  <Override PartName="/word/theme/themeOverride24.xml" ContentType="application/vnd.openxmlformats-officedocument.themeOverride+xml"/>
  <Override PartName="/word/charts/chart21.xml" ContentType="application/vnd.openxmlformats-officedocument.drawingml.chart+xml"/>
  <Override PartName="/word/charts/chart3.xml" ContentType="application/vnd.openxmlformats-officedocument.drawingml.chart+xml"/>
  <Override PartName="/word/header12.xml" ContentType="application/vnd.openxmlformats-officedocument.wordprocessingml.header+xml"/>
  <Override PartName="/word/theme/themeOverride16.xml" ContentType="application/vnd.openxmlformats-officedocument.themeOverride+xml"/>
  <Default Extension="wmf" ContentType="image/x-wmf"/>
  <Override PartName="/word/glossary/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header6.xml" ContentType="application/vnd.openxmlformats-officedocument.wordprocessingml.header+xml"/>
  <Override PartName="/word/charts/chart18.xml" ContentType="application/vnd.openxmlformats-officedocument.drawingml.chart+xml"/>
  <Override PartName="/word/drawings/drawing3.xml" ContentType="application/vnd.openxmlformats-officedocument.drawingml.chartshapes+xml"/>
  <Override PartName="/word/theme/themeOverride5.xml" ContentType="application/vnd.openxmlformats-officedocument.themeOverride+xml"/>
  <Override PartName="/word/charts/chart11.xml" ContentType="application/vnd.openxmlformats-officedocument.drawingml.chart+xml"/>
  <Override PartName="/word/charts/chart9.xml" ContentType="application/vnd.openxmlformats-officedocument.drawingml.chart+xml"/>
  <Override PartName="/word/theme/themeOverride23.xml" ContentType="application/vnd.openxmlformats-officedocument.themeOverride+xml"/>
  <Override PartName="/word/charts/chart20.xml" ContentType="application/vnd.openxmlformats-officedocument.drawingml.chart+xml"/>
  <Override PartName="/word/document.xml" ContentType="application/vnd.openxmlformats-officedocument.wordprocessingml.document.main+xml"/>
  <Override PartName="/word/charts/chart2.xml" ContentType="application/vnd.openxmlformats-officedocument.drawingml.chart+xml"/>
  <Override PartName="/word/header11.xml" ContentType="application/vnd.openxmlformats-officedocument.wordprocessingml.header+xml"/>
  <Override PartName="/word/footer5.xml" ContentType="application/vnd.openxmlformats-officedocument.wordprocessingml.footer+xml"/>
  <Override PartName="/word/theme/themeOverride15.xml" ContentType="application/vnd.openxmlformats-officedocument.themeOverride+xml"/>
  <Override PartName="/word/glossary/document.xml" ContentType="application/vnd.openxmlformats-officedocument.wordprocessingml.document.glossary+xml"/>
  <Override PartName="/word/header5.xml" ContentType="application/vnd.openxmlformats-officedocument.wordprocessingml.header+xml"/>
  <Override PartName="/word/charts/chart17.xml" ContentType="application/vnd.openxmlformats-officedocument.drawingml.chart+xml"/>
  <Override PartName="/word/drawings/drawing2.xml" ContentType="application/vnd.openxmlformats-officedocument.drawingml.chartshapes+xml"/>
  <Override PartName="/word/theme/themeOverride4.xml" ContentType="application/vnd.openxmlformats-officedocument.themeOverride+xml"/>
  <Override PartName="/word/charts/chart10.xml" ContentType="application/vnd.openxmlformats-officedocument.drawingml.chart+xml"/>
  <Override PartName="/word/charts/chart26.xml" ContentType="application/vnd.openxmlformats-officedocument.drawingml.chart+xml"/>
  <Override PartName="/word/styles.xml" ContentType="application/vnd.openxmlformats-officedocument.wordprocessingml.styles+xml"/>
  <Override PartName="/word/charts/chart8.xml" ContentType="application/vnd.openxmlformats-officedocument.drawingml.chart+xml"/>
  <Override PartName="/word/theme/themeOverride22.xml" ContentType="application/vnd.openxmlformats-officedocument.themeOverride+xml"/>
  <Override PartName="/word/glossary/webSettings.xml" ContentType="application/vnd.openxmlformats-officedocument.wordprocessingml.webSettings+xml"/>
  <Override PartName="/word/charts/chart1.xml" ContentType="application/vnd.openxmlformats-officedocument.drawingml.chart+xml"/>
  <Override PartName="/word/header10.xml" ContentType="application/vnd.openxmlformats-officedocument.wordprocessingml.header+xml"/>
  <Override PartName="/word/footer4.xml" ContentType="application/vnd.openxmlformats-officedocument.wordprocessingml.footer+xml"/>
  <Override PartName="/word/theme/themeOverride14.xml" ContentType="application/vnd.openxmlformats-officedocument.themeOverride+xml"/>
  <Override PartName="/word/header4.xml" ContentType="application/vnd.openxmlformats-officedocument.wordprocessingml.header+xml"/>
  <Override PartName="/word/charts/chart16.xml" ContentType="application/vnd.openxmlformats-officedocument.drawingml.chart+xml"/>
  <Override PartName="/word/drawings/drawing1.xml" ContentType="application/vnd.openxmlformats-officedocument.drawingml.chartshapes+xml"/>
  <Override PartName="/word/theme/themeOverride3.xml" ContentType="application/vnd.openxmlformats-officedocument.themeOverride+xml"/>
  <Override PartName="/word/charts/chart25.xml" ContentType="application/vnd.openxmlformats-officedocument.drawingml.chart+xml"/>
  <Default Extension="rels" ContentType="application/vnd.openxmlformats-package.relationships+xml"/>
  <Override PartName="/word/charts/chart7.xml" ContentType="application/vnd.openxmlformats-officedocument.drawingml.chart+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91124" w:rsidRPr="005A6666" w:rsidRDefault="008964A4" w:rsidP="00191124">
      <w:pPr>
        <w:spacing w:line="240" w:lineRule="auto"/>
        <w:jc w:val="center"/>
        <w:rPr>
          <w:color w:val="943634" w:themeColor="accent2" w:themeShade="BF"/>
          <w:sz w:val="28"/>
          <w:szCs w:val="28"/>
        </w:rPr>
      </w:pPr>
      <w:r w:rsidRPr="008964A4">
        <w:rPr>
          <w:noProof/>
          <w:lang w:val="en-US"/>
        </w:rPr>
        <w:pict>
          <v:rect id="Rectangle 3" o:spid="_x0000_s1026" style="position:absolute;left:0;text-align:left;margin-left:.45pt;margin-top:0;width:641.65pt;height:63.65pt;z-index:251660800;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" o:allowincell="f" fillcolor="#4bacc6 [3208]" strokecolor="#4f81bd [3204]">
            <w10:wrap anchorx="page" anchory="margin"/>
          </v:rect>
        </w:pict>
      </w:r>
      <w:r w:rsidR="00191124" w:rsidRPr="005A6666">
        <w:rPr>
          <w:color w:val="943634" w:themeColor="accent2" w:themeShade="BF"/>
          <w:sz w:val="28"/>
          <w:szCs w:val="28"/>
        </w:rPr>
        <w:t>Proyecto de Práctica Intramural</w:t>
      </w:r>
    </w:p>
    <w:p w:rsidR="00191124" w:rsidRPr="005A6666" w:rsidRDefault="00191124" w:rsidP="00191124">
      <w:pPr>
        <w:spacing w:line="240" w:lineRule="auto"/>
        <w:jc w:val="center"/>
        <w:rPr>
          <w:color w:val="943634" w:themeColor="accent2" w:themeShade="BF"/>
          <w:sz w:val="28"/>
          <w:szCs w:val="28"/>
        </w:rPr>
      </w:pPr>
      <w:r w:rsidRPr="005A6666">
        <w:rPr>
          <w:color w:val="943634" w:themeColor="accent2" w:themeShade="BF"/>
          <w:sz w:val="28"/>
          <w:szCs w:val="28"/>
        </w:rPr>
        <w:t>Departamento de Economía</w:t>
      </w:r>
    </w:p>
    <w:p w:rsidR="00191124" w:rsidRPr="005A6666" w:rsidRDefault="00191124" w:rsidP="00191124">
      <w:pPr>
        <w:spacing w:line="240" w:lineRule="auto"/>
        <w:jc w:val="center"/>
        <w:rPr>
          <w:color w:val="943634" w:themeColor="accent2" w:themeShade="BF"/>
          <w:sz w:val="28"/>
          <w:szCs w:val="28"/>
        </w:rPr>
      </w:pPr>
      <w:r w:rsidRPr="005A6666">
        <w:rPr>
          <w:color w:val="943634" w:themeColor="accent2" w:themeShade="BF"/>
          <w:sz w:val="28"/>
          <w:szCs w:val="28"/>
        </w:rPr>
        <w:t>Facultad de Ciencias Sociales</w:t>
      </w:r>
    </w:p>
    <w:p w:rsidR="00191124" w:rsidRPr="005A6666" w:rsidRDefault="00191124" w:rsidP="00191124">
      <w:pPr>
        <w:spacing w:line="240" w:lineRule="auto"/>
        <w:jc w:val="center"/>
        <w:rPr>
          <w:color w:val="943634" w:themeColor="accent2" w:themeShade="BF"/>
          <w:sz w:val="28"/>
          <w:szCs w:val="28"/>
        </w:rPr>
      </w:pPr>
      <w:r w:rsidRPr="005A6666">
        <w:rPr>
          <w:color w:val="943634" w:themeColor="accent2" w:themeShade="BF"/>
          <w:sz w:val="28"/>
          <w:szCs w:val="28"/>
        </w:rPr>
        <w:t>Universidad de Puerto Rico</w:t>
      </w:r>
    </w:p>
    <w:p w:rsidR="00191124" w:rsidRPr="005A6666" w:rsidRDefault="00191124" w:rsidP="00191124">
      <w:pPr>
        <w:spacing w:line="240" w:lineRule="auto"/>
        <w:jc w:val="center"/>
        <w:rPr>
          <w:color w:val="943634" w:themeColor="accent2" w:themeShade="BF"/>
          <w:sz w:val="28"/>
          <w:szCs w:val="28"/>
        </w:rPr>
      </w:pPr>
      <w:r w:rsidRPr="005A6666">
        <w:rPr>
          <w:color w:val="943634" w:themeColor="accent2" w:themeShade="BF"/>
          <w:sz w:val="28"/>
          <w:szCs w:val="28"/>
        </w:rPr>
        <w:t>Recinto de Río Piedras</w:t>
      </w:r>
    </w:p>
    <w:p w:rsidR="00191124" w:rsidRPr="000E427F" w:rsidRDefault="00191124" w:rsidP="00191124">
      <w:pPr>
        <w:pStyle w:val="NoSpacing"/>
        <w:rPr>
          <w:rFonts w:asciiTheme="majorHAnsi" w:eastAsiaTheme="majorEastAsia" w:hAnsiTheme="majorHAnsi" w:cstheme="majorBidi"/>
          <w:sz w:val="72"/>
          <w:szCs w:val="72"/>
        </w:rPr>
      </w:pPr>
    </w:p>
    <w:p w:rsidR="00191124" w:rsidRPr="00F72615" w:rsidRDefault="008964A4" w:rsidP="00191124">
      <w:pPr>
        <w:pStyle w:val="NoSpacing"/>
        <w:rPr>
          <w:rFonts w:asciiTheme="majorHAnsi" w:eastAsiaTheme="majorEastAsia" w:hAnsiTheme="majorHAnsi" w:cstheme="majorBidi"/>
          <w:b/>
          <w:caps/>
          <w:sz w:val="56"/>
          <w:szCs w:val="56"/>
        </w:rPr>
      </w:pPr>
      <w:r w:rsidRPr="008964A4">
        <w:rPr>
          <w:noProof/>
          <w:lang w:val="en-US" w:eastAsia="en-US"/>
        </w:rPr>
        <w:pict>
          <v:rect id="Rectangle 2" o:spid="_x0000_s1041" style="position:absolute;left:0;text-align:left;margin-left:0;margin-top:0;width:640.9pt;height:63.25pt;z-index:2516597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" o:allowincell="f" fillcolor="#4bacc6 [3208]" strokecolor="#4f81bd [3204]">
            <w10:wrap anchorx="page" anchory="page"/>
          </v:rect>
        </w:pict>
      </w:r>
      <w:r w:rsidRPr="008964A4">
        <w:rPr>
          <w:noProof/>
          <w:lang w:val="en-US" w:eastAsia="en-US"/>
        </w:rPr>
        <w:pict>
          <v:rect id="Rectangle 5" o:spid="_x0000_s1040" style="position:absolute;left:0;text-align:left;margin-left:0;margin-top:0;width:7.15pt;height:830.25pt;z-index:25166284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" o:allowincell="f" strokecolor="#4f81bd [3204]">
            <w10:wrap anchorx="margin" anchory="page"/>
          </v:rect>
        </w:pict>
      </w:r>
      <w:r w:rsidRPr="008964A4">
        <w:rPr>
          <w:noProof/>
          <w:lang w:val="en-US" w:eastAsia="en-US"/>
        </w:rPr>
        <w:pict>
          <v:rect id="Rectangle 4" o:spid="_x0000_s1039" style="position:absolute;left:0;text-align:left;margin-left:0;margin-top:0;width:7.15pt;height:830.25pt;z-index:2516618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" o:allowincell="f" strokecolor="#4f81bd [3204]">
            <w10:wrap anchorx="margin" anchory="page"/>
          </v:rect>
        </w:pict>
      </w:r>
    </w:p>
    <w:sdt>
      <w:sdtPr>
        <w:rPr>
          <w:rFonts w:eastAsia="Times New Roman" w:cs="Times New Roman"/>
          <w:b/>
          <w:caps/>
          <w:color w:val="17365D"/>
          <w:kern w:val="28"/>
          <w:sz w:val="56"/>
          <w:szCs w:val="56"/>
          <w:lang w:eastAsia="en-US"/>
        </w:rPr>
        <w:alias w:val="Title"/>
        <w:id w:val="14700071"/>
        <w:placeholder>
          <w:docPart w:val="C0B8F03DC1FD479693A539FB7B49B548"/>
        </w:placeholder>
        <w:dataBinding w:prefixMappings="xmlns:ns0='http://schemas.openxmlformats.org/package/2006/metadata/core-properties' xmlns:ns1='http://purl.org/dc/elements/1.1/'" w:xpath="/ns0:coreProperties[1]/ns1:title[1]" w:storeItemID="{6C3C8BC8-F283-45AE-878A-BAB7291924A1}"/>
        <w:text/>
      </w:sdtPr>
      <w:sdtContent>
        <w:p w:rsidR="00191124" w:rsidRPr="00F72615" w:rsidRDefault="00191124" w:rsidP="00D071C3">
          <w:pPr>
            <w:pStyle w:val="NoSpacing"/>
            <w:ind w:left="180" w:firstLine="0"/>
            <w:jc w:val="left"/>
            <w:rPr>
              <w:rFonts w:asciiTheme="majorHAnsi" w:eastAsiaTheme="majorEastAsia" w:hAnsiTheme="majorHAnsi" w:cstheme="majorBidi"/>
              <w:b/>
              <w:caps/>
              <w:sz w:val="56"/>
              <w:szCs w:val="56"/>
            </w:rPr>
          </w:pPr>
          <w:r w:rsidRPr="00191124">
            <w:rPr>
              <w:rFonts w:eastAsia="Times New Roman" w:cs="Times New Roman"/>
              <w:b/>
              <w:caps/>
              <w:color w:val="17365D"/>
              <w:kern w:val="28"/>
              <w:sz w:val="56"/>
              <w:szCs w:val="56"/>
              <w:lang w:eastAsia="en-US"/>
            </w:rPr>
            <w:t>Efectos sobre la Competitividad de Puerto Rico de Posibles Cambios en la Ley 600</w:t>
          </w:r>
        </w:p>
      </w:sdtContent>
    </w:sdt>
    <w:sdt>
      <w:sdtPr>
        <w:rPr>
          <w:rFonts w:asciiTheme="majorHAnsi" w:eastAsiaTheme="majorEastAsia" w:hAnsiTheme="majorHAnsi" w:cstheme="majorBidi"/>
          <w:b/>
          <w:caps/>
          <w:color w:val="632423" w:themeColor="accent2" w:themeShade="80"/>
          <w:sz w:val="36"/>
          <w:szCs w:val="36"/>
        </w:rPr>
        <w:alias w:val="Subtitle"/>
        <w:id w:val="14700077"/>
        <w:placeholder>
          <w:docPart w:val="A645EF96CF6F4FEEA9DCF9D3794638A5"/>
        </w:placeholder>
        <w:dataBinding w:prefixMappings="xmlns:ns0='http://schemas.openxmlformats.org/package/2006/metadata/core-properties' xmlns:ns1='http://purl.org/dc/elements/1.1/'" w:xpath="/ns0:coreProperties[1]/ns1:subject[1]" w:storeItemID="{6C3C8BC8-F283-45AE-878A-BAB7291924A1}"/>
        <w:text/>
      </w:sdtPr>
      <w:sdtContent>
        <w:p w:rsidR="00191124" w:rsidRPr="00496C85" w:rsidRDefault="00191124" w:rsidP="00191124">
          <w:pPr>
            <w:pStyle w:val="NoSpacing"/>
            <w:rPr>
              <w:rFonts w:asciiTheme="majorHAnsi" w:eastAsiaTheme="majorEastAsia" w:hAnsiTheme="majorHAnsi" w:cstheme="majorBidi"/>
              <w:b/>
              <w:caps/>
              <w:color w:val="632423" w:themeColor="accent2" w:themeShade="80"/>
              <w:sz w:val="36"/>
              <w:szCs w:val="36"/>
            </w:rPr>
          </w:pPr>
          <w:r w:rsidRPr="00191124">
            <w:rPr>
              <w:rFonts w:asciiTheme="majorHAnsi" w:eastAsiaTheme="majorEastAsia" w:hAnsiTheme="majorHAnsi" w:cstheme="majorBidi"/>
              <w:b/>
              <w:caps/>
              <w:color w:val="632423" w:themeColor="accent2" w:themeShade="80"/>
              <w:sz w:val="36"/>
              <w:szCs w:val="36"/>
            </w:rPr>
            <w:t>Informe Final</w:t>
          </w:r>
        </w:p>
      </w:sdtContent>
    </w:sdt>
    <w:p w:rsidR="00191124" w:rsidRPr="00496C85" w:rsidRDefault="00191124" w:rsidP="00191124">
      <w:pPr>
        <w:pStyle w:val="NoSpacing"/>
        <w:rPr>
          <w:rFonts w:asciiTheme="majorHAnsi" w:eastAsiaTheme="majorEastAsia" w:hAnsiTheme="majorHAnsi" w:cstheme="majorBidi"/>
          <w:b/>
          <w:caps/>
          <w:color w:val="632423" w:themeColor="accent2" w:themeShade="80"/>
          <w:sz w:val="36"/>
          <w:szCs w:val="36"/>
        </w:rPr>
      </w:pPr>
    </w:p>
    <w:p w:rsidR="00191124" w:rsidRPr="00496C85" w:rsidRDefault="008964A4" w:rsidP="00191124">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val="en-US" w:eastAsia="en-US"/>
        </w:rPr>
        <w:pict>
          <v:group id="Group 9" o:spid="_x0000_s1038" style="position:absolute;left:0;text-align:left;margin-left:-21.2pt;margin-top:330.55pt;width:513.55pt;height:205.75pt;z-index:251658751;mso-position-horizontal-relative:margin;mso-position-vertical-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">
            <v:group id="Group 10"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1"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jY8IA&#10;AADbAAAADwAAAGRycy9kb3ducmV2LnhtbERPTWvCQBC9F/oflil40409BE1dQxDa6s1ELXgbsmOS&#10;NjsbsmuM/75bEHqbx/ucVTqaVgzUu8aygvksAkFcWt1wpeB4eJ8uQDiPrLG1TAru5CBdPz+tMNH2&#10;xjkNha9ECGGXoILa+y6R0pU1GXQz2xEH7mJ7gz7AvpK6x1sIN618jaJYGmw4NNTY0aam8qe4GgV5&#10;NJ728cen/v4q3bDM9uciz3ZKTV7G7A2Ep9H/ix/urQ7zl/D3Sz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CNjwgAAANsAAAAPAAAAAAAAAAAAAAAAAJgCAABkcnMvZG93&#10;bnJldi54bWxQSwUGAAAAAAQABAD1AAAAhwMAAAAA&#10;" path="m0,0l17,2863,7132,2578,7132,200,,0xe" fillcolor="#a7bfde [1620]" stroked="f">
                <v:fill opacity="32896f"/>
                <v:path arrowok="t" o:connecttype="custom" o:connectlocs="0,0;17,2863;7132,2578;7132,200;0,0" o:connectangles="0,0,0,0,0"/>
              </v:shape>
              <v:shape id="Freeform 12"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i0r8A&#10;AADbAAAADwAAAGRycy9kb3ducmV2LnhtbERPTYvCMBC9C/sfwgh701RRkWoUWSwuelJX9jo0Y1Ns&#10;JiWJ2v33m4Pg8fG+l+vONuJBPtSOFYyGGQji0umaKwU/52IwBxEissbGMSn4owDr1Udvibl2Tz7S&#10;4xQrkUI45KjAxNjmUobSkMUwdC1x4q7OW4wJ+kpqj88Ubhs5zrKZtFhzajDY0peh8na6WwUbvu62&#10;F5z81oXcXoqp8fvZ5KDUZ7/bLEBE6uJb/HJ/awXjtD59S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2GLSvwAAANsAAAAPAAAAAAAAAAAAAAAAAJgCAABkcnMvZG93bnJl&#10;di54bWxQSwUGAAAAAAQABAD1AAAAhAMAAAAA&#10;" path="m0,569l0,2930,3466,3550,3466,,,569xe" fillcolor="#4f81bd [3204]" strokecolor="#f2f2f2 [3041]" strokeweight="3pt">
                <v:fill opacity="32896f"/>
                <v:shadow on="t" color="#243f60 [1604]" opacity=".5" offset="1pt"/>
                <v:path arrowok="t" o:connecttype="custom" o:connectlocs="0,569;0,2930;3466,3550;3466,0;0,569" o:connectangles="0,0,0,0,0"/>
              </v:shape>
              <v:shape id="Freeform 13"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9NcMA&#10;AADbAAAADwAAAGRycy9kb3ducmV2LnhtbESPQWvCQBSE74X+h+UJ3uomsRVJ3QQpCF5NRa/P7Guy&#10;mH2bZrcx9td3C4Ueh5n5htmUk+3ESIM3jhWkiwQEce204UbB8X33tAbhA7LGzjEpuJOHsnh82GCu&#10;3Y0PNFahERHCPkcFbQh9LqWvW7LoF64njt6HGyyGKIdG6gFvEW47mSXJSlo0HBda7OmtpfpafVkF&#10;tF1+f75U58slNadT3R8z8zxapeazafsKItAU/sN/7b1WkKX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49NcMAAADbAAAADwAAAAAAAAAAAAAAAACYAgAAZHJzL2Rv&#10;d25yZXYueG1sUEsFBgAAAAAEAAQA9QAAAIgDAAAAAA==&#10;" path="m0,0l0,3550,1591,2746,1591,737,,0xe" fillcolor="#a7bfde [1620]" stroked="f">
                <v:fill opacity="32896f"/>
                <v:path arrowok="t" o:connecttype="custom" o:connectlocs="0,0;0,3550;1591,2746;1591,737;0,0" o:connectangles="0,0,0,0,0"/>
              </v:shape>
            </v:group>
            <v:shape id="Freeform 14"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cj8QA&#10;AADbAAAADwAAAGRycy9kb3ducmV2LnhtbESPT2vCQBTE74LfYXlCb7oxQinRVarSf8eqoMdn9jWJ&#10;Zt/G3a1J++m7QsHjMDO/YWaLztTiSs5XlhWMRwkI4tzqigsFu+3L8AmED8gaa8uk4Ic8LOb93gwz&#10;bVv+pOsmFCJC2GeooAyhyaT0eUkG/cg2xNH7ss5giNIVUjtsI9zUMk2SR2mw4rhQYkOrkvLz5tso&#10;+Fgf33jyO35dni7Fcu1au5/UB6UeBt3zFESgLtzD/+13rSBN4fY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XI/EAAAA2wAAAA8AAAAAAAAAAAAAAAAAmAIAAGRycy9k&#10;b3ducmV2LnhtbFBLBQYAAAAABAAEAPUAAACJAwAAAAA=&#10;" path="m1,251l0,2662,4120,2913,4120,,1,251xe" fillcolor="#d8d8d8 [2732]" stroked="f">
              <v:path arrowok="t" o:connecttype="custom" o:connectlocs="1,251;0,2662;4120,2913;4120,0;1,251" o:connectangles="0,0,0,0,0"/>
            </v:shape>
            <v:shape id="Freeform 15"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1L8UA&#10;AADbAAAADwAAAGRycy9kb3ducmV2LnhtbESPW2vCQBSE3wv+h+UIvtWNKQSJruIFi+1TvYD4dswe&#10;k2D2bMiuGvvruwXBx2FmvmHG09ZU4kaNKy0rGPQjEMSZ1SXnCva71fsQhPPIGivLpOBBDqaTztsY&#10;U23vvKHb1uciQNilqKDwvk6ldFlBBl3f1sTBO9vGoA+yyaVu8B7gppJxFCXSYMlhocCaFgVll+3V&#10;KFiUX7+fDx0ffpJqXg++j/bjtFwr1eu2sxEIT61/hZ/ttVYQJ/D/Jfw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UvxQAAANsAAAAPAAAAAAAAAAAAAAAAAJgCAABkcnMv&#10;ZG93bnJldi54bWxQSwUGAAAAAAQABAD1AAAAigMAAAAA&#10;" path="m0,0l0,4236,3985,3349,3985,921,,0xe" fillcolor="#c0504d [3205]" strokecolor="#f2f2f2 [3041]" strokeweight="3pt">
              <v:shadow on="t" color="#622423 [1605]" opacity=".5" offset="1pt"/>
              <v:path arrowok="t" o:connecttype="custom" o:connectlocs="0,0;0,4236;3985,3349;3985,921;0,0" o:connectangles="0,0,0,0,0"/>
            </v:shape>
            <v:shape id="Freeform 16"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G8MA&#10;AADbAAAADwAAAGRycy9kb3ducmV2LnhtbESPQWvCQBSE7wX/w/IEb3VjkVSiq6igiDfTIh6f2WcS&#10;3H0bsluN/nq3UOhxmJlvmNmis0bcqPW1YwWjYQKCuHC65lLB99fmfQLCB2SNxjEpeJCHxbz3NsNM&#10;uzsf6JaHUkQI+wwVVCE0mZS+qMiiH7qGOHoX11oMUbal1C3eI9wa+ZEkqbRYc1yosKF1RcU1/7EK&#10;6uvo+bml0yb3++U5PT6MW0mj1KDfLacgAnXhP/zX3mkF4xR+v8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1G8MAAADbAAAADwAAAAAAAAAAAAAAAACYAgAAZHJzL2Rv&#10;d25yZXYueG1sUEsFBgAAAAAEAAQA9QAAAIgDAAAAAA==&#10;" path="m4086,0l4084,4253,,3198,,1072,4086,0xe" fillcolor="#9bbb59 [3206]" strokecolor="#f2f2f2 [3041]" strokeweight="3pt">
              <v:shadow on="t" color="#4e6128 [1606]" opacity=".5" offset="1pt"/>
              <v:path arrowok="t" o:connecttype="custom" o:connectlocs="4086,0;4084,4253;0,3198;0,1072;4086,0" o:connectangles="0,0,0,0,0"/>
            </v:shape>
            <v:shape id="Freeform 17"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NacQA&#10;AADbAAAADwAAAGRycy9kb3ducmV2LnhtbESPzWrDMBCE74W+g9hALyGRmzZ/juWQFgqFnOoEcl2s&#10;jW1irYwkO+7bV4VCj8PMfMNk+9G0YiDnG8sKnucJCOLS6oYrBefTx2wDwgdkja1lUvBNHvb540OG&#10;qbZ3/qKhCJWIEPYpKqhD6FIpfVmTQT+3HXH0rtYZDFG6SmqH9wg3rVwkyUoabDgu1NjRe03lreiN&#10;gmKLY79MDkPxRud+epkeF8cXp9TTZDzsQAQaw3/4r/2pFbyu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zDWnEAAAA2wAAAA8AAAAAAAAAAAAAAAAAmAIAAGRycy9k&#10;b3ducmV2LnhtbFBLBQYAAAAABAAEAPUAAACJAwAAAAA=&#10;" path="m0,921l2060,,2076,3851,,2981,,921xe" fillcolor="#d3dfee [820]" stroked="f">
              <v:fill opacity="46003f"/>
              <v:path arrowok="t" o:connecttype="custom" o:connectlocs="0,921;2060,0;2076,3851;0,2981;0,921" o:connectangles="0,0,0,0,0"/>
            </v:shape>
            <v:shape id="Freeform 18"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cUMEA&#10;AADbAAAADwAAAGRycy9kb3ducmV2LnhtbERPTUsDMRC9C/6HMII3m1VEZdu0iLbQ4kVXofQ23Uw3&#10;624mS5K26793DoLHx/ueLUbfqxPF1AY2cDspQBHXwbbcGPj6XN08gUoZ2WIfmAz8UILF/PJihqUN&#10;Z/6gU5UbJSGcSjTgch5KrVPtyGOahIFYuEOIHrPA2Ggb8Szhvtd3RfGgPbYsDQ4HenFUd9XRS8lu&#10;symq1/5tu8XO4fI9dt+Pe2Our8bnKahMY/4X/7nX1sC9jJUv8gP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vXFDBAAAA2wAAAA8AAAAAAAAAAAAAAAAAmAIAAGRycy9kb3du&#10;cmV2LnhtbFBLBQYAAAAABAAEAPUAAACGAwAAAAA=&#10;" path="m0,0l17,3835,6011,2629,6011,1239,,0xe" fillcolor="#f79646 [3209]" strokecolor="#f2f2f2 [3041]" strokeweight="3pt">
              <v:fill opacity="46003f"/>
              <v:shadow on="t" color="#974706 [1609]" opacity=".5" offset="1pt"/>
              <v:path arrowok="t" o:connecttype="custom" o:connectlocs="0,0;17,3835;6011,2629;6011,1239;0,0" o:connectangles="0,0,0,0,0"/>
            </v:shape>
            <v:shape id="Freeform 19"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YHcYA&#10;AADbAAAADwAAAGRycy9kb3ducmV2LnhtbESPT2sCMRTE7wW/Q3iCF9GsUkRXo7SllhZ68c/F23Pz&#10;ulm6eYmb6G776ZtCocdhZn7DrDadrcWNmlA5VjAZZyCIC6crLhUcD9vRHESIyBprx6TgiwJs1r27&#10;Febatbyj2z6WIkE45KjAxOhzKUNhyGIYO0+cvA/XWIxJNqXUDbYJbms5zbKZtFhxWjDo6clQ8bm/&#10;WgU4e7kM307n96t9/vbt0Oy2nX9UatDvHpYgInXxP/zXftUK7hfw+yX9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4YHcYAAADbAAAADwAAAAAAAAAAAAAAAACYAgAAZHJz&#10;L2Rvd25yZXYueG1sUEsFBgAAAAAEAAQA9QAAAIsDAAAAAA==&#10;" path="m0,1038l0,2411,4102,3432,4102,,,1038xe" fillcolor="#8064a2 [3207]" strokecolor="#f2f2f2 [3041]" strokeweight="3pt">
              <v:fill opacity="46003f"/>
              <v:shadow on="t" color="#3f3151 [1607]" opacity=".5" offset="1pt"/>
              <v:path arrowok="t" o:connecttype="custom" o:connectlocs="0,1038;0,2411;4102,3432;4102,0;0,1038" o:connectangles="0,0,0,0,0"/>
            </v:shape>
            <w10:wrap anchorx="margin" anchory="margin"/>
          </v:group>
        </w:pict>
      </w:r>
    </w:p>
    <w:p w:rsidR="00191124" w:rsidRPr="00496C85" w:rsidRDefault="00191124" w:rsidP="00191124">
      <w:pPr>
        <w:pStyle w:val="NoSpacing"/>
        <w:rPr>
          <w:rFonts w:asciiTheme="majorHAnsi" w:eastAsiaTheme="majorEastAsia" w:hAnsiTheme="majorHAnsi" w:cstheme="majorBidi"/>
          <w:sz w:val="36"/>
          <w:szCs w:val="36"/>
        </w:rPr>
      </w:pPr>
    </w:p>
    <w:p w:rsidR="00191124" w:rsidRPr="00496C85" w:rsidRDefault="00191124" w:rsidP="00191124">
      <w:pPr>
        <w:pStyle w:val="NoSpacing"/>
        <w:rPr>
          <w:rFonts w:asciiTheme="majorHAnsi" w:eastAsiaTheme="majorEastAsia" w:hAnsiTheme="majorHAnsi" w:cstheme="majorBidi"/>
          <w:sz w:val="36"/>
          <w:szCs w:val="36"/>
        </w:rPr>
      </w:pPr>
    </w:p>
    <w:p w:rsidR="00191124" w:rsidRPr="00496C85" w:rsidRDefault="00191124" w:rsidP="00191124">
      <w:pPr>
        <w:pStyle w:val="NoSpacing"/>
        <w:rPr>
          <w:rFonts w:asciiTheme="majorHAnsi" w:eastAsiaTheme="majorEastAsia" w:hAnsiTheme="majorHAnsi" w:cstheme="majorBidi"/>
          <w:sz w:val="36"/>
          <w:szCs w:val="36"/>
        </w:rPr>
      </w:pPr>
    </w:p>
    <w:p w:rsidR="00191124" w:rsidRPr="00496C85" w:rsidRDefault="00191124" w:rsidP="00191124">
      <w:pPr>
        <w:pStyle w:val="NoSpacing"/>
        <w:rPr>
          <w:rFonts w:asciiTheme="majorHAnsi" w:eastAsiaTheme="majorEastAsia" w:hAnsiTheme="majorHAnsi" w:cstheme="majorBidi"/>
          <w:sz w:val="36"/>
          <w:szCs w:val="36"/>
        </w:rPr>
      </w:pPr>
    </w:p>
    <w:p w:rsidR="00191124" w:rsidRPr="00496C85" w:rsidRDefault="00191124" w:rsidP="00191124">
      <w:pPr>
        <w:pStyle w:val="NoSpacing"/>
        <w:rPr>
          <w:rFonts w:asciiTheme="majorHAnsi" w:eastAsiaTheme="majorEastAsia" w:hAnsiTheme="majorHAnsi" w:cstheme="majorBidi"/>
          <w:sz w:val="36"/>
          <w:szCs w:val="36"/>
        </w:rPr>
      </w:pPr>
    </w:p>
    <w:p w:rsidR="00191124" w:rsidRPr="00496C85" w:rsidRDefault="00191124" w:rsidP="00191124">
      <w:pPr>
        <w:pStyle w:val="NoSpacing"/>
        <w:rPr>
          <w:rFonts w:asciiTheme="majorHAnsi" w:eastAsiaTheme="majorEastAsia" w:hAnsiTheme="majorHAnsi" w:cstheme="majorBidi"/>
          <w:sz w:val="36"/>
          <w:szCs w:val="36"/>
        </w:rPr>
      </w:pPr>
    </w:p>
    <w:p w:rsidR="00191124" w:rsidRPr="00496C85" w:rsidRDefault="00191124" w:rsidP="00191124">
      <w:pPr>
        <w:pStyle w:val="NoSpacing"/>
        <w:rPr>
          <w:rFonts w:asciiTheme="majorHAnsi" w:eastAsiaTheme="majorEastAsia" w:hAnsiTheme="majorHAnsi" w:cstheme="majorBidi"/>
          <w:sz w:val="36"/>
          <w:szCs w:val="36"/>
        </w:rPr>
      </w:pPr>
    </w:p>
    <w:p w:rsidR="00191124" w:rsidRPr="00496C85" w:rsidRDefault="00191124" w:rsidP="00191124">
      <w:pPr>
        <w:pStyle w:val="NoSpacing"/>
      </w:pPr>
    </w:p>
    <w:p w:rsidR="00D071C3" w:rsidRDefault="00D071C3" w:rsidP="00191124">
      <w:pPr>
        <w:spacing w:line="240" w:lineRule="auto"/>
        <w:ind w:firstLine="0"/>
        <w:jc w:val="left"/>
      </w:pPr>
    </w:p>
    <w:p w:rsidR="00D071C3" w:rsidRDefault="00D071C3" w:rsidP="00191124">
      <w:pPr>
        <w:spacing w:line="240" w:lineRule="auto"/>
        <w:ind w:firstLine="0"/>
        <w:jc w:val="left"/>
      </w:pPr>
    </w:p>
    <w:p w:rsidR="00D071C3" w:rsidRDefault="00D071C3" w:rsidP="00191124">
      <w:pPr>
        <w:spacing w:line="240" w:lineRule="auto"/>
        <w:ind w:firstLine="0"/>
        <w:jc w:val="left"/>
      </w:pPr>
    </w:p>
    <w:p w:rsidR="00D071C3" w:rsidRDefault="00D071C3" w:rsidP="00191124">
      <w:pPr>
        <w:spacing w:line="240" w:lineRule="auto"/>
        <w:ind w:firstLine="0"/>
        <w:jc w:val="left"/>
      </w:pPr>
    </w:p>
    <w:p w:rsidR="00191124" w:rsidRDefault="00D071C3" w:rsidP="00D071C3">
      <w:pPr>
        <w:spacing w:line="240" w:lineRule="auto"/>
        <w:ind w:firstLine="0"/>
        <w:jc w:val="center"/>
      </w:pPr>
      <w:r>
        <w:t>14 de marzo de 2014</w:t>
      </w:r>
    </w:p>
    <w:p w:rsidR="00FD1E6D" w:rsidRDefault="00FD1E6D" w:rsidP="00D071C3">
      <w:pPr>
        <w:spacing w:line="240" w:lineRule="auto"/>
        <w:ind w:firstLine="0"/>
        <w:jc w:val="center"/>
      </w:pPr>
    </w:p>
    <w:p w:rsidR="00FD1E6D" w:rsidRDefault="00FD1E6D" w:rsidP="00191124">
      <w:pPr>
        <w:pStyle w:val="Title"/>
        <w:jc w:val="center"/>
        <w:rPr>
          <w:b/>
        </w:rPr>
        <w:sectPr w:rsidR="00FD1E6D">
          <w:footerReference w:type="default" r:id="rId8"/>
          <w:footerReference w:type="first" r:id="rId9"/>
          <w:pgSz w:w="12240" w:h="15840"/>
          <w:pgMar w:top="1440" w:right="1440" w:bottom="1440" w:left="1440" w:gutter="0"/>
          <w:pgNumType w:fmt="lowerRoman" w:start="1"/>
          <w:titlePg/>
          <w:docGrid w:linePitch="360" w:charSpace="-2049"/>
        </w:sectPr>
      </w:pPr>
    </w:p>
    <w:p w:rsidR="00191124" w:rsidRPr="003A04D2" w:rsidRDefault="00191124" w:rsidP="00191124">
      <w:pPr>
        <w:pStyle w:val="Title"/>
        <w:jc w:val="center"/>
        <w:rPr>
          <w:b/>
        </w:rPr>
      </w:pPr>
      <w:r w:rsidRPr="008E33CF">
        <w:rPr>
          <w:b/>
        </w:rPr>
        <w:t>EFECTOS SOBRE LA COMPETITIVIDAD DE PUERTO RICO DE POSIBLES CAMBIOS EN LA LEY 600</w:t>
      </w:r>
      <w:bookmarkStart w:id="0" w:name="_GoBack"/>
      <w:bookmarkEnd w:id="0"/>
    </w:p>
    <w:p w:rsidR="00A9525B" w:rsidRDefault="00A9525B" w:rsidP="00A9525B">
      <w:pPr>
        <w:spacing w:line="240" w:lineRule="auto"/>
        <w:jc w:val="center"/>
      </w:pPr>
      <w:bookmarkStart w:id="1" w:name="_Toc384769340"/>
      <w:bookmarkStart w:id="2" w:name="_Toc384769704"/>
      <w:r w:rsidRPr="005E484A">
        <w:rPr>
          <w:rStyle w:val="Heading1Char"/>
          <w:rFonts w:eastAsia="MS Mincho"/>
        </w:rPr>
        <w:t>Grupo de Trabajo</w:t>
      </w:r>
      <w:bookmarkEnd w:id="1"/>
      <w:bookmarkEnd w:id="2"/>
      <w:r w:rsidRPr="00403124">
        <w:t>:</w:t>
      </w:r>
    </w:p>
    <w:p w:rsidR="00A9525B" w:rsidRDefault="00A9525B" w:rsidP="00A9525B">
      <w:pPr>
        <w:spacing w:line="240" w:lineRule="auto"/>
        <w:ind w:firstLine="0"/>
        <w:jc w:val="left"/>
      </w:pPr>
    </w:p>
    <w:p w:rsidR="00A9525B" w:rsidRDefault="00A9525B" w:rsidP="00A9525B">
      <w:pPr>
        <w:spacing w:line="240" w:lineRule="auto"/>
        <w:ind w:firstLine="0"/>
        <w:jc w:val="left"/>
      </w:pPr>
    </w:p>
    <w:p w:rsidR="00A9525B" w:rsidRDefault="00A9525B" w:rsidP="00A9525B">
      <w:pPr>
        <w:spacing w:line="240" w:lineRule="auto"/>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9"/>
        <w:gridCol w:w="4787"/>
      </w:tblGrid>
      <w:tr w:rsidR="00A9525B">
        <w:tc>
          <w:tcPr>
            <w:tcW w:w="4811" w:type="dxa"/>
          </w:tcPr>
          <w:p w:rsidR="00A9525B" w:rsidRDefault="00A9525B" w:rsidP="00A9525B">
            <w:pPr>
              <w:spacing w:line="240" w:lineRule="auto"/>
              <w:ind w:firstLine="0"/>
              <w:jc w:val="left"/>
            </w:pPr>
            <w:r w:rsidRPr="00403124">
              <w:t>Investigadores:</w:t>
            </w:r>
          </w:p>
        </w:tc>
        <w:tc>
          <w:tcPr>
            <w:tcW w:w="4811" w:type="dxa"/>
          </w:tcPr>
          <w:p w:rsidR="00A9525B" w:rsidRDefault="00A9525B" w:rsidP="00A9525B">
            <w:pPr>
              <w:spacing w:line="240" w:lineRule="auto"/>
              <w:ind w:firstLine="0"/>
            </w:pPr>
            <w:r>
              <w:t xml:space="preserve">Asistentes de Investigación </w:t>
            </w:r>
          </w:p>
          <w:p w:rsidR="00A9525B" w:rsidRDefault="00A9525B" w:rsidP="00A9525B">
            <w:pPr>
              <w:spacing w:line="240" w:lineRule="auto"/>
              <w:ind w:firstLine="0"/>
              <w:jc w:val="left"/>
            </w:pPr>
          </w:p>
        </w:tc>
      </w:tr>
      <w:tr w:rsidR="00A9525B">
        <w:tc>
          <w:tcPr>
            <w:tcW w:w="4811" w:type="dxa"/>
          </w:tcPr>
          <w:p w:rsidR="00A9525B" w:rsidRPr="00403124" w:rsidRDefault="00A9525B" w:rsidP="00A9525B">
            <w:pPr>
              <w:spacing w:line="240" w:lineRule="auto"/>
              <w:ind w:left="720" w:firstLine="0"/>
              <w:jc w:val="left"/>
            </w:pPr>
            <w:r w:rsidRPr="00403124">
              <w:t>José Javier Colón Morera</w:t>
            </w:r>
          </w:p>
          <w:p w:rsidR="00A9525B" w:rsidRPr="007C45D0" w:rsidRDefault="00A9525B" w:rsidP="00A9525B">
            <w:pPr>
              <w:spacing w:line="240" w:lineRule="auto"/>
              <w:ind w:left="720" w:firstLine="0"/>
              <w:jc w:val="left"/>
              <w:rPr>
                <w:i/>
                <w:sz w:val="22"/>
              </w:rPr>
            </w:pPr>
            <w:r w:rsidRPr="007C45D0">
              <w:rPr>
                <w:i/>
                <w:sz w:val="22"/>
              </w:rPr>
              <w:t>Departamento de Ciencias Políticas,</w:t>
            </w:r>
          </w:p>
          <w:p w:rsidR="00A9525B" w:rsidRPr="007C45D0" w:rsidRDefault="00A9525B" w:rsidP="00A9525B">
            <w:pPr>
              <w:spacing w:line="240" w:lineRule="auto"/>
              <w:ind w:left="720" w:firstLine="0"/>
              <w:jc w:val="left"/>
              <w:rPr>
                <w:i/>
                <w:sz w:val="22"/>
              </w:rPr>
            </w:pPr>
            <w:r w:rsidRPr="007C45D0">
              <w:rPr>
                <w:i/>
                <w:sz w:val="22"/>
              </w:rPr>
              <w:t xml:space="preserve">Universidad de Puerto Rico </w:t>
            </w:r>
          </w:p>
          <w:p w:rsidR="00A9525B" w:rsidRDefault="00A9525B" w:rsidP="00A9525B">
            <w:pPr>
              <w:spacing w:line="240" w:lineRule="auto"/>
              <w:ind w:left="720" w:firstLine="0"/>
              <w:jc w:val="left"/>
              <w:rPr>
                <w:i/>
                <w:sz w:val="22"/>
              </w:rPr>
            </w:pPr>
            <w:r w:rsidRPr="007C45D0">
              <w:rPr>
                <w:i/>
                <w:sz w:val="22"/>
              </w:rPr>
              <w:t>Recinto de Río Piedras</w:t>
            </w:r>
          </w:p>
          <w:p w:rsidR="00A9525B" w:rsidRDefault="00A9525B" w:rsidP="00A9525B">
            <w:pPr>
              <w:spacing w:line="240" w:lineRule="auto"/>
              <w:ind w:left="720" w:firstLine="0"/>
              <w:jc w:val="left"/>
            </w:pPr>
          </w:p>
        </w:tc>
        <w:tc>
          <w:tcPr>
            <w:tcW w:w="4811" w:type="dxa"/>
          </w:tcPr>
          <w:p w:rsidR="00A9525B" w:rsidRDefault="00A9525B" w:rsidP="00A9525B">
            <w:pPr>
              <w:spacing w:line="240" w:lineRule="auto"/>
              <w:ind w:left="720" w:firstLine="0"/>
            </w:pPr>
            <w:r>
              <w:t>Alexandra M. Febles Miranda</w:t>
            </w:r>
          </w:p>
          <w:p w:rsidR="00A9525B" w:rsidRDefault="00A9525B" w:rsidP="00A9525B">
            <w:pPr>
              <w:spacing w:line="240" w:lineRule="auto"/>
              <w:ind w:left="720" w:firstLine="0"/>
            </w:pPr>
            <w:r>
              <w:t>Federico A. Goyechea Pabón</w:t>
            </w:r>
          </w:p>
          <w:p w:rsidR="00A9525B" w:rsidRDefault="00A9525B" w:rsidP="00A9525B">
            <w:pPr>
              <w:spacing w:line="240" w:lineRule="auto"/>
              <w:ind w:left="720" w:firstLine="0"/>
            </w:pPr>
            <w:r>
              <w:t>Angélica V. Marrero Sánchez</w:t>
            </w:r>
          </w:p>
          <w:p w:rsidR="00A9525B" w:rsidRDefault="00A9525B" w:rsidP="00A9525B">
            <w:pPr>
              <w:spacing w:line="240" w:lineRule="auto"/>
              <w:ind w:left="720" w:firstLine="0"/>
              <w:jc w:val="left"/>
            </w:pPr>
            <w:r>
              <w:t>Nitzamarie Pabón Vélez</w:t>
            </w:r>
          </w:p>
        </w:tc>
      </w:tr>
      <w:tr w:rsidR="00A9525B">
        <w:tc>
          <w:tcPr>
            <w:tcW w:w="4811" w:type="dxa"/>
          </w:tcPr>
          <w:p w:rsidR="00A9525B" w:rsidRPr="00403124" w:rsidRDefault="00A9525B" w:rsidP="00A9525B">
            <w:pPr>
              <w:spacing w:line="240" w:lineRule="auto"/>
              <w:ind w:left="720" w:firstLine="0"/>
              <w:jc w:val="left"/>
            </w:pPr>
            <w:r>
              <w:t>Ángel L. Ruiz Mercado</w:t>
            </w:r>
          </w:p>
          <w:p w:rsidR="00A9525B" w:rsidRPr="007C45D0" w:rsidRDefault="00A9525B" w:rsidP="00A9525B">
            <w:pPr>
              <w:spacing w:line="240" w:lineRule="auto"/>
              <w:ind w:left="720" w:firstLine="0"/>
              <w:jc w:val="left"/>
              <w:rPr>
                <w:rFonts w:eastAsia="+mn-ea"/>
                <w:i/>
                <w:color w:val="000000"/>
                <w:kern w:val="1"/>
                <w:sz w:val="22"/>
                <w:lang w:eastAsia="ar-SA"/>
              </w:rPr>
            </w:pPr>
            <w:r w:rsidRPr="007C45D0">
              <w:rPr>
                <w:rFonts w:eastAsia="+mn-ea"/>
                <w:i/>
                <w:color w:val="000000"/>
                <w:kern w:val="1"/>
                <w:sz w:val="22"/>
                <w:lang w:eastAsia="ar-SA"/>
              </w:rPr>
              <w:t xml:space="preserve">Facultad de Ciencias Económicas y Administrativas </w:t>
            </w:r>
          </w:p>
          <w:p w:rsidR="00A9525B" w:rsidRPr="007C45D0" w:rsidRDefault="00A9525B" w:rsidP="00A9525B">
            <w:pPr>
              <w:spacing w:line="240" w:lineRule="auto"/>
              <w:ind w:left="720" w:firstLine="0"/>
              <w:jc w:val="left"/>
              <w:rPr>
                <w:rFonts w:eastAsia="+mn-ea"/>
                <w:i/>
                <w:color w:val="000000"/>
                <w:kern w:val="1"/>
                <w:sz w:val="22"/>
                <w:lang w:eastAsia="ar-SA"/>
              </w:rPr>
            </w:pPr>
            <w:r w:rsidRPr="007C45D0">
              <w:rPr>
                <w:rFonts w:eastAsia="+mn-ea"/>
                <w:i/>
                <w:color w:val="000000"/>
                <w:kern w:val="1"/>
                <w:sz w:val="22"/>
                <w:lang w:eastAsia="ar-SA"/>
              </w:rPr>
              <w:t>Universidad Interamericana</w:t>
            </w:r>
          </w:p>
          <w:p w:rsidR="00A9525B" w:rsidRDefault="00A9525B" w:rsidP="00A9525B">
            <w:pPr>
              <w:spacing w:line="240" w:lineRule="auto"/>
              <w:ind w:left="720" w:firstLine="0"/>
              <w:jc w:val="left"/>
              <w:rPr>
                <w:rFonts w:eastAsia="+mn-ea"/>
                <w:i/>
                <w:color w:val="000000"/>
                <w:kern w:val="1"/>
                <w:sz w:val="22"/>
                <w:lang w:eastAsia="ar-SA"/>
              </w:rPr>
            </w:pPr>
            <w:r w:rsidRPr="007C45D0">
              <w:rPr>
                <w:rFonts w:eastAsia="+mn-ea"/>
                <w:i/>
                <w:color w:val="000000"/>
                <w:kern w:val="1"/>
                <w:sz w:val="22"/>
                <w:lang w:eastAsia="ar-SA"/>
              </w:rPr>
              <w:t>Recinto Metropolitano</w:t>
            </w:r>
          </w:p>
          <w:p w:rsidR="00A9525B" w:rsidRDefault="00A9525B" w:rsidP="00A9525B">
            <w:pPr>
              <w:spacing w:line="240" w:lineRule="auto"/>
              <w:ind w:left="720" w:firstLine="0"/>
              <w:jc w:val="left"/>
            </w:pPr>
          </w:p>
        </w:tc>
        <w:tc>
          <w:tcPr>
            <w:tcW w:w="4811" w:type="dxa"/>
          </w:tcPr>
          <w:p w:rsidR="00A9525B" w:rsidRDefault="00A9525B" w:rsidP="00A9525B">
            <w:pPr>
              <w:spacing w:line="240" w:lineRule="auto"/>
              <w:ind w:firstLine="49"/>
            </w:pPr>
            <w:r>
              <w:t>Editora:</w:t>
            </w:r>
          </w:p>
          <w:p w:rsidR="00A9525B" w:rsidRDefault="00A9525B" w:rsidP="00A9525B">
            <w:pPr>
              <w:spacing w:line="240" w:lineRule="auto"/>
              <w:ind w:left="720" w:hanging="41"/>
            </w:pPr>
            <w:r>
              <w:t>Evelyn Otero Figueroa</w:t>
            </w:r>
          </w:p>
          <w:p w:rsidR="00A9525B" w:rsidRDefault="00A9525B" w:rsidP="00A9525B">
            <w:pPr>
              <w:spacing w:line="240" w:lineRule="auto"/>
              <w:ind w:firstLine="0"/>
              <w:jc w:val="left"/>
            </w:pPr>
          </w:p>
        </w:tc>
      </w:tr>
      <w:tr w:rsidR="00A9525B">
        <w:tc>
          <w:tcPr>
            <w:tcW w:w="4811" w:type="dxa"/>
          </w:tcPr>
          <w:p w:rsidR="00A9525B" w:rsidRPr="00403124" w:rsidRDefault="00A9525B" w:rsidP="00A9525B">
            <w:pPr>
              <w:spacing w:line="240" w:lineRule="auto"/>
              <w:ind w:left="720" w:firstLine="0"/>
              <w:jc w:val="left"/>
            </w:pPr>
            <w:r>
              <w:t>Eileen V. Segarra Alméstica</w:t>
            </w:r>
          </w:p>
          <w:p w:rsidR="00A9525B" w:rsidRPr="007C45D0" w:rsidRDefault="00A9525B" w:rsidP="00A9525B">
            <w:pPr>
              <w:spacing w:line="240" w:lineRule="auto"/>
              <w:ind w:left="720" w:firstLine="0"/>
              <w:jc w:val="left"/>
              <w:rPr>
                <w:i/>
                <w:sz w:val="22"/>
              </w:rPr>
            </w:pPr>
            <w:r w:rsidRPr="007C45D0">
              <w:rPr>
                <w:i/>
                <w:sz w:val="22"/>
              </w:rPr>
              <w:t>Departamento de Economía,</w:t>
            </w:r>
          </w:p>
          <w:p w:rsidR="00A9525B" w:rsidRPr="007C45D0" w:rsidRDefault="00A9525B" w:rsidP="00A9525B">
            <w:pPr>
              <w:spacing w:line="240" w:lineRule="auto"/>
              <w:ind w:left="720" w:firstLine="0"/>
              <w:jc w:val="left"/>
              <w:rPr>
                <w:i/>
                <w:sz w:val="22"/>
              </w:rPr>
            </w:pPr>
            <w:r w:rsidRPr="007C45D0">
              <w:rPr>
                <w:i/>
                <w:sz w:val="22"/>
              </w:rPr>
              <w:t xml:space="preserve">Universidad de Puerto Rico </w:t>
            </w:r>
          </w:p>
          <w:p w:rsidR="00A9525B" w:rsidRDefault="00A9525B" w:rsidP="00A9525B">
            <w:pPr>
              <w:spacing w:line="240" w:lineRule="auto"/>
              <w:ind w:left="720" w:firstLine="0"/>
              <w:jc w:val="left"/>
              <w:rPr>
                <w:i/>
                <w:sz w:val="22"/>
              </w:rPr>
            </w:pPr>
            <w:r w:rsidRPr="007C45D0">
              <w:rPr>
                <w:i/>
                <w:sz w:val="22"/>
              </w:rPr>
              <w:t>Recinto de Río Piedras</w:t>
            </w:r>
          </w:p>
          <w:p w:rsidR="00A9525B" w:rsidRDefault="00A9525B" w:rsidP="00A9525B">
            <w:pPr>
              <w:spacing w:line="240" w:lineRule="auto"/>
              <w:ind w:left="720" w:firstLine="0"/>
              <w:jc w:val="left"/>
            </w:pPr>
          </w:p>
        </w:tc>
        <w:tc>
          <w:tcPr>
            <w:tcW w:w="4811" w:type="dxa"/>
          </w:tcPr>
          <w:p w:rsidR="00A9525B" w:rsidRDefault="00A9525B" w:rsidP="00A9525B">
            <w:pPr>
              <w:spacing w:line="240" w:lineRule="auto"/>
              <w:ind w:left="720" w:hanging="41"/>
            </w:pPr>
          </w:p>
        </w:tc>
      </w:tr>
      <w:tr w:rsidR="00A9525B">
        <w:tc>
          <w:tcPr>
            <w:tcW w:w="4811" w:type="dxa"/>
          </w:tcPr>
          <w:p w:rsidR="00A9525B" w:rsidRPr="00403124" w:rsidRDefault="00A9525B" w:rsidP="00A9525B">
            <w:pPr>
              <w:spacing w:line="240" w:lineRule="auto"/>
              <w:ind w:left="720" w:firstLine="0"/>
              <w:jc w:val="left"/>
            </w:pPr>
            <w:r>
              <w:t>Alicia Rodríguez Castro</w:t>
            </w:r>
          </w:p>
          <w:p w:rsidR="00A9525B" w:rsidRPr="007C45D0" w:rsidRDefault="00A9525B" w:rsidP="00A9525B">
            <w:pPr>
              <w:spacing w:line="240" w:lineRule="auto"/>
              <w:ind w:left="720" w:firstLine="0"/>
              <w:jc w:val="left"/>
              <w:rPr>
                <w:i/>
                <w:sz w:val="22"/>
              </w:rPr>
            </w:pPr>
            <w:r w:rsidRPr="007C45D0">
              <w:rPr>
                <w:i/>
                <w:sz w:val="22"/>
              </w:rPr>
              <w:t>Departamento de Economía,</w:t>
            </w:r>
          </w:p>
          <w:p w:rsidR="00A9525B" w:rsidRPr="007C45D0" w:rsidRDefault="00A9525B" w:rsidP="00A9525B">
            <w:pPr>
              <w:spacing w:line="240" w:lineRule="auto"/>
              <w:ind w:left="720" w:firstLine="0"/>
              <w:jc w:val="left"/>
              <w:rPr>
                <w:i/>
                <w:sz w:val="22"/>
              </w:rPr>
            </w:pPr>
            <w:r w:rsidRPr="007C45D0">
              <w:rPr>
                <w:i/>
                <w:sz w:val="22"/>
              </w:rPr>
              <w:t xml:space="preserve">Universidad de Puerto Rico </w:t>
            </w:r>
          </w:p>
          <w:p w:rsidR="00A9525B" w:rsidRDefault="00A9525B" w:rsidP="00A9525B">
            <w:pPr>
              <w:spacing w:line="240" w:lineRule="auto"/>
              <w:ind w:left="720" w:firstLine="0"/>
              <w:jc w:val="left"/>
              <w:rPr>
                <w:i/>
                <w:sz w:val="22"/>
              </w:rPr>
            </w:pPr>
            <w:r w:rsidRPr="007C45D0">
              <w:rPr>
                <w:i/>
                <w:sz w:val="22"/>
              </w:rPr>
              <w:t>Recinto de Río Piedras</w:t>
            </w:r>
          </w:p>
          <w:p w:rsidR="00A9525B" w:rsidRDefault="00A9525B" w:rsidP="00A9525B">
            <w:pPr>
              <w:spacing w:line="240" w:lineRule="auto"/>
              <w:ind w:left="720" w:firstLine="0"/>
              <w:jc w:val="left"/>
            </w:pPr>
          </w:p>
        </w:tc>
        <w:tc>
          <w:tcPr>
            <w:tcW w:w="4811" w:type="dxa"/>
          </w:tcPr>
          <w:p w:rsidR="00A9525B" w:rsidRDefault="00A9525B" w:rsidP="00A9525B">
            <w:pPr>
              <w:spacing w:line="240" w:lineRule="auto"/>
              <w:ind w:firstLine="0"/>
              <w:jc w:val="left"/>
            </w:pPr>
          </w:p>
        </w:tc>
      </w:tr>
      <w:tr w:rsidR="00A9525B">
        <w:tc>
          <w:tcPr>
            <w:tcW w:w="4811" w:type="dxa"/>
          </w:tcPr>
          <w:p w:rsidR="00A9525B" w:rsidRPr="00403124" w:rsidRDefault="00A9525B" w:rsidP="00A9525B">
            <w:pPr>
              <w:spacing w:line="240" w:lineRule="auto"/>
              <w:ind w:left="720" w:firstLine="0"/>
              <w:jc w:val="left"/>
            </w:pPr>
            <w:r>
              <w:t>Juan Lara Fontánez</w:t>
            </w:r>
          </w:p>
          <w:p w:rsidR="00A9525B" w:rsidRPr="007C45D0" w:rsidRDefault="00A9525B" w:rsidP="00A9525B">
            <w:pPr>
              <w:spacing w:line="240" w:lineRule="auto"/>
              <w:ind w:left="720" w:firstLine="0"/>
              <w:jc w:val="left"/>
              <w:rPr>
                <w:i/>
                <w:sz w:val="22"/>
              </w:rPr>
            </w:pPr>
            <w:r w:rsidRPr="007C45D0">
              <w:rPr>
                <w:i/>
                <w:sz w:val="22"/>
              </w:rPr>
              <w:t>Departamento de Economía,</w:t>
            </w:r>
          </w:p>
          <w:p w:rsidR="00A9525B" w:rsidRPr="007C45D0" w:rsidRDefault="00A9525B" w:rsidP="00A9525B">
            <w:pPr>
              <w:spacing w:line="240" w:lineRule="auto"/>
              <w:ind w:left="720" w:firstLine="0"/>
              <w:jc w:val="left"/>
              <w:rPr>
                <w:i/>
                <w:sz w:val="22"/>
              </w:rPr>
            </w:pPr>
            <w:r w:rsidRPr="007C45D0">
              <w:rPr>
                <w:i/>
                <w:sz w:val="22"/>
              </w:rPr>
              <w:t xml:space="preserve">Universidad de Puerto Rico </w:t>
            </w:r>
          </w:p>
          <w:p w:rsidR="00A9525B" w:rsidRDefault="00A9525B" w:rsidP="00A9525B">
            <w:pPr>
              <w:spacing w:line="240" w:lineRule="auto"/>
              <w:ind w:left="720" w:firstLine="0"/>
              <w:jc w:val="left"/>
              <w:rPr>
                <w:i/>
                <w:sz w:val="22"/>
              </w:rPr>
            </w:pPr>
            <w:r w:rsidRPr="007C45D0">
              <w:rPr>
                <w:i/>
                <w:sz w:val="22"/>
              </w:rPr>
              <w:t>Recinto de Río Piedra</w:t>
            </w:r>
            <w:r>
              <w:rPr>
                <w:i/>
                <w:sz w:val="22"/>
              </w:rPr>
              <w:t>s</w:t>
            </w:r>
          </w:p>
          <w:p w:rsidR="00A9525B" w:rsidRDefault="00A9525B" w:rsidP="00A9525B">
            <w:pPr>
              <w:spacing w:line="240" w:lineRule="auto"/>
              <w:ind w:left="720" w:firstLine="0"/>
              <w:jc w:val="left"/>
            </w:pPr>
          </w:p>
        </w:tc>
        <w:tc>
          <w:tcPr>
            <w:tcW w:w="4811" w:type="dxa"/>
          </w:tcPr>
          <w:p w:rsidR="00A9525B" w:rsidRDefault="00A9525B" w:rsidP="00A9525B">
            <w:pPr>
              <w:spacing w:line="240" w:lineRule="auto"/>
              <w:ind w:firstLine="0"/>
              <w:jc w:val="left"/>
            </w:pPr>
          </w:p>
        </w:tc>
      </w:tr>
      <w:tr w:rsidR="00A9525B">
        <w:tc>
          <w:tcPr>
            <w:tcW w:w="4811" w:type="dxa"/>
          </w:tcPr>
          <w:p w:rsidR="00A9525B" w:rsidRPr="00403124" w:rsidRDefault="00A9525B" w:rsidP="00A9525B">
            <w:pPr>
              <w:spacing w:line="240" w:lineRule="auto"/>
              <w:ind w:left="720" w:firstLine="0"/>
              <w:jc w:val="left"/>
            </w:pPr>
            <w:r>
              <w:t>Indira Luciano Montalvo</w:t>
            </w:r>
          </w:p>
          <w:p w:rsidR="00A9525B" w:rsidRPr="007C45D0" w:rsidRDefault="00A9525B" w:rsidP="00A9525B">
            <w:pPr>
              <w:spacing w:line="240" w:lineRule="auto"/>
              <w:ind w:left="720" w:firstLine="0"/>
              <w:jc w:val="left"/>
              <w:rPr>
                <w:i/>
                <w:sz w:val="22"/>
              </w:rPr>
            </w:pPr>
            <w:r w:rsidRPr="007C45D0">
              <w:rPr>
                <w:i/>
                <w:sz w:val="22"/>
              </w:rPr>
              <w:t>Departamento de Economía,</w:t>
            </w:r>
          </w:p>
          <w:p w:rsidR="00A9525B" w:rsidRPr="007C45D0" w:rsidRDefault="00A9525B" w:rsidP="00A9525B">
            <w:pPr>
              <w:spacing w:line="240" w:lineRule="auto"/>
              <w:ind w:left="720" w:firstLine="0"/>
              <w:jc w:val="left"/>
              <w:rPr>
                <w:i/>
                <w:sz w:val="22"/>
              </w:rPr>
            </w:pPr>
            <w:r w:rsidRPr="007C45D0">
              <w:rPr>
                <w:i/>
                <w:sz w:val="22"/>
              </w:rPr>
              <w:t xml:space="preserve">Universidad de Puerto Rico </w:t>
            </w:r>
          </w:p>
          <w:p w:rsidR="00A9525B" w:rsidRDefault="00A9525B" w:rsidP="00A9525B">
            <w:pPr>
              <w:spacing w:line="240" w:lineRule="auto"/>
              <w:ind w:left="720" w:firstLine="0"/>
              <w:jc w:val="left"/>
            </w:pPr>
            <w:r w:rsidRPr="007C45D0">
              <w:rPr>
                <w:i/>
                <w:sz w:val="22"/>
              </w:rPr>
              <w:t>Recinto de Río Piedras</w:t>
            </w:r>
          </w:p>
        </w:tc>
        <w:tc>
          <w:tcPr>
            <w:tcW w:w="4811" w:type="dxa"/>
          </w:tcPr>
          <w:p w:rsidR="00A9525B" w:rsidRDefault="00A9525B" w:rsidP="00A9525B">
            <w:pPr>
              <w:spacing w:line="240" w:lineRule="auto"/>
              <w:ind w:firstLine="0"/>
              <w:jc w:val="left"/>
            </w:pPr>
          </w:p>
        </w:tc>
      </w:tr>
    </w:tbl>
    <w:p w:rsidR="00A9525B" w:rsidRPr="00403124" w:rsidRDefault="00A9525B" w:rsidP="00A9525B">
      <w:pPr>
        <w:spacing w:line="240" w:lineRule="auto"/>
        <w:ind w:firstLine="0"/>
        <w:jc w:val="left"/>
      </w:pPr>
    </w:p>
    <w:p w:rsidR="00A9525B" w:rsidRPr="007C45D0" w:rsidRDefault="00A9525B" w:rsidP="00A9525B">
      <w:pPr>
        <w:spacing w:line="240" w:lineRule="auto"/>
        <w:ind w:left="720" w:firstLine="0"/>
        <w:rPr>
          <w:i/>
          <w:sz w:val="22"/>
        </w:rPr>
      </w:pPr>
    </w:p>
    <w:p w:rsidR="00A9525B" w:rsidRDefault="00A9525B" w:rsidP="00A9525B">
      <w:pPr>
        <w:spacing w:line="240" w:lineRule="auto"/>
        <w:ind w:left="720"/>
      </w:pPr>
    </w:p>
    <w:p w:rsidR="00A9525B" w:rsidRDefault="00A9525B" w:rsidP="00A9525B">
      <w:pPr>
        <w:spacing w:line="240" w:lineRule="auto"/>
        <w:ind w:left="720"/>
      </w:pPr>
    </w:p>
    <w:p w:rsidR="00A9525B" w:rsidRDefault="00A9525B" w:rsidP="00A9525B">
      <w:pPr>
        <w:spacing w:line="240" w:lineRule="auto"/>
        <w:jc w:val="left"/>
      </w:pPr>
      <w:r>
        <w:t xml:space="preserve">Este estudio fue auspiciado por la Compañía de Comercio y Exportación de Puerto Rico. </w:t>
      </w:r>
    </w:p>
    <w:p w:rsidR="00246118" w:rsidRDefault="00246118" w:rsidP="00A9525B">
      <w:pPr>
        <w:spacing w:line="240" w:lineRule="auto"/>
        <w:jc w:val="left"/>
      </w:pPr>
    </w:p>
    <w:p w:rsidR="00191124" w:rsidRDefault="00246118" w:rsidP="00246118">
      <w:pPr>
        <w:spacing w:line="240" w:lineRule="auto"/>
        <w:jc w:val="left"/>
        <w:rPr>
          <w:b/>
          <w:sz w:val="36"/>
          <w:szCs w:val="28"/>
        </w:rPr>
      </w:pPr>
      <w:r>
        <w:t xml:space="preserve">. </w:t>
      </w:r>
      <w:r w:rsidR="00191124">
        <w:br w:type="page"/>
      </w:r>
    </w:p>
    <w:p w:rsidR="005A5E7D" w:rsidRPr="00CC0AEC" w:rsidRDefault="005A5E7D" w:rsidP="005A5E7D">
      <w:pPr>
        <w:pStyle w:val="TOC1"/>
      </w:pPr>
      <w:r w:rsidRPr="00CC0AEC">
        <w:t>Índice</w:t>
      </w:r>
    </w:p>
    <w:p w:rsidR="007538AA" w:rsidRDefault="008964A4" w:rsidP="007538AA">
      <w:pPr>
        <w:pStyle w:val="TOC1"/>
        <w:tabs>
          <w:tab w:val="left" w:pos="90"/>
        </w:tabs>
        <w:rPr>
          <w:rFonts w:asciiTheme="minorHAnsi" w:eastAsiaTheme="minorEastAsia" w:hAnsiTheme="minorHAnsi" w:cstheme="minorBidi"/>
          <w:b w:val="0"/>
          <w:noProof/>
          <w:sz w:val="22"/>
          <w:szCs w:val="22"/>
          <w:lang w:val="en-US"/>
        </w:rPr>
      </w:pPr>
      <w:r w:rsidRPr="008964A4">
        <w:fldChar w:fldCharType="begin"/>
      </w:r>
      <w:r w:rsidR="005A5E7D">
        <w:instrText xml:space="preserve"> TOC \o "1-4" \f \h \z \u </w:instrText>
      </w:r>
      <w:r w:rsidRPr="008964A4">
        <w:fldChar w:fldCharType="separate"/>
      </w:r>
      <w:hyperlink w:anchor="_Toc384769705" w:history="1">
        <w:r w:rsidR="007538AA" w:rsidRPr="00546390">
          <w:rPr>
            <w:rStyle w:val="Hyperlink"/>
            <w:noProof/>
          </w:rPr>
          <w:t>Resumen ejecutivo</w:t>
        </w:r>
        <w:r w:rsidR="007538AA">
          <w:rPr>
            <w:noProof/>
            <w:webHidden/>
          </w:rPr>
          <w:tab/>
        </w:r>
        <w:r>
          <w:rPr>
            <w:noProof/>
            <w:webHidden/>
          </w:rPr>
          <w:fldChar w:fldCharType="begin"/>
        </w:r>
        <w:r w:rsidR="007538AA">
          <w:rPr>
            <w:noProof/>
            <w:webHidden/>
          </w:rPr>
          <w:instrText xml:space="preserve"> PAGEREF _Toc384769705 \h </w:instrText>
        </w:r>
        <w:r w:rsidR="002B5716">
          <w:rPr>
            <w:noProof/>
          </w:rPr>
        </w:r>
        <w:r>
          <w:rPr>
            <w:noProof/>
            <w:webHidden/>
          </w:rPr>
          <w:fldChar w:fldCharType="separate"/>
        </w:r>
        <w:r w:rsidR="00A226D8">
          <w:rPr>
            <w:noProof/>
            <w:webHidden/>
          </w:rPr>
          <w:t>1</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06" w:history="1">
        <w:r w:rsidR="007538AA" w:rsidRPr="00546390">
          <w:rPr>
            <w:rStyle w:val="Hyperlink"/>
            <w:noProof/>
          </w:rPr>
          <w:t>A.</w:t>
        </w:r>
        <w:r w:rsidR="007538AA">
          <w:rPr>
            <w:rFonts w:asciiTheme="minorHAnsi" w:eastAsiaTheme="minorEastAsia" w:hAnsiTheme="minorHAnsi" w:cstheme="minorBidi"/>
            <w:noProof/>
            <w:sz w:val="22"/>
            <w:lang w:val="en-US"/>
          </w:rPr>
          <w:tab/>
        </w:r>
        <w:r w:rsidR="007538AA" w:rsidRPr="00546390">
          <w:rPr>
            <w:rStyle w:val="Hyperlink"/>
            <w:noProof/>
          </w:rPr>
          <w:t>Estudios sobre la relación entre el estatus y la economía: un repaso de la literatura</w:t>
        </w:r>
        <w:r w:rsidR="007538AA">
          <w:rPr>
            <w:noProof/>
            <w:webHidden/>
          </w:rPr>
          <w:tab/>
        </w:r>
        <w:r>
          <w:rPr>
            <w:noProof/>
            <w:webHidden/>
          </w:rPr>
          <w:fldChar w:fldCharType="begin"/>
        </w:r>
        <w:r w:rsidR="007538AA">
          <w:rPr>
            <w:noProof/>
            <w:webHidden/>
          </w:rPr>
          <w:instrText xml:space="preserve"> PAGEREF _Toc384769706 \h </w:instrText>
        </w:r>
        <w:r w:rsidR="002B5716">
          <w:rPr>
            <w:noProof/>
          </w:rPr>
        </w:r>
        <w:r>
          <w:rPr>
            <w:noProof/>
            <w:webHidden/>
          </w:rPr>
          <w:fldChar w:fldCharType="separate"/>
        </w:r>
        <w:r w:rsidR="00A226D8">
          <w:rPr>
            <w:noProof/>
            <w:webHidden/>
          </w:rPr>
          <w:t>3</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07" w:history="1">
        <w:r w:rsidR="007538AA" w:rsidRPr="00546390">
          <w:rPr>
            <w:rStyle w:val="Hyperlink"/>
            <w:noProof/>
          </w:rPr>
          <w:t>B.</w:t>
        </w:r>
        <w:r w:rsidR="007538AA">
          <w:rPr>
            <w:rFonts w:asciiTheme="minorHAnsi" w:eastAsiaTheme="minorEastAsia" w:hAnsiTheme="minorHAnsi" w:cstheme="minorBidi"/>
            <w:noProof/>
            <w:sz w:val="22"/>
            <w:lang w:val="en-US"/>
          </w:rPr>
          <w:tab/>
        </w:r>
        <w:r w:rsidR="007538AA" w:rsidRPr="00546390">
          <w:rPr>
            <w:rStyle w:val="Hyperlink"/>
            <w:noProof/>
          </w:rPr>
          <w:t>El Congreso y los escenarios del estatus político</w:t>
        </w:r>
        <w:r w:rsidR="007538AA">
          <w:rPr>
            <w:noProof/>
            <w:webHidden/>
          </w:rPr>
          <w:tab/>
        </w:r>
        <w:r>
          <w:rPr>
            <w:noProof/>
            <w:webHidden/>
          </w:rPr>
          <w:fldChar w:fldCharType="begin"/>
        </w:r>
        <w:r w:rsidR="007538AA">
          <w:rPr>
            <w:noProof/>
            <w:webHidden/>
          </w:rPr>
          <w:instrText xml:space="preserve"> PAGEREF _Toc384769707 \h </w:instrText>
        </w:r>
        <w:r w:rsidR="002B5716">
          <w:rPr>
            <w:noProof/>
          </w:rPr>
        </w:r>
        <w:r>
          <w:rPr>
            <w:noProof/>
            <w:webHidden/>
          </w:rPr>
          <w:fldChar w:fldCharType="separate"/>
        </w:r>
        <w:r w:rsidR="00A226D8">
          <w:rPr>
            <w:noProof/>
            <w:webHidden/>
          </w:rPr>
          <w:t>5</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08" w:history="1">
        <w:r w:rsidR="007538AA" w:rsidRPr="00546390">
          <w:rPr>
            <w:rStyle w:val="Hyperlink"/>
            <w:noProof/>
          </w:rPr>
          <w:t>C.</w:t>
        </w:r>
        <w:r w:rsidR="007538AA">
          <w:rPr>
            <w:rFonts w:asciiTheme="minorHAnsi" w:eastAsiaTheme="minorEastAsia" w:hAnsiTheme="minorHAnsi" w:cstheme="minorBidi"/>
            <w:noProof/>
            <w:sz w:val="22"/>
            <w:lang w:val="en-US"/>
          </w:rPr>
          <w:tab/>
        </w:r>
        <w:r w:rsidR="007538AA" w:rsidRPr="00546390">
          <w:rPr>
            <w:rStyle w:val="Hyperlink"/>
            <w:noProof/>
          </w:rPr>
          <w:t>La estadidad y el cambio de régimen fiscal en el Puerto Rico de hoy</w:t>
        </w:r>
        <w:r w:rsidR="007538AA">
          <w:rPr>
            <w:noProof/>
            <w:webHidden/>
          </w:rPr>
          <w:tab/>
        </w:r>
        <w:r>
          <w:rPr>
            <w:noProof/>
            <w:webHidden/>
          </w:rPr>
          <w:fldChar w:fldCharType="begin"/>
        </w:r>
        <w:r w:rsidR="007538AA">
          <w:rPr>
            <w:noProof/>
            <w:webHidden/>
          </w:rPr>
          <w:instrText xml:space="preserve"> PAGEREF _Toc384769708 \h </w:instrText>
        </w:r>
        <w:r w:rsidR="002B5716">
          <w:rPr>
            <w:noProof/>
          </w:rPr>
        </w:r>
        <w:r>
          <w:rPr>
            <w:noProof/>
            <w:webHidden/>
          </w:rPr>
          <w:fldChar w:fldCharType="separate"/>
        </w:r>
        <w:r w:rsidR="00A226D8">
          <w:rPr>
            <w:noProof/>
            <w:webHidden/>
          </w:rPr>
          <w:t>6</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09" w:history="1">
        <w:r w:rsidR="007538AA" w:rsidRPr="00546390">
          <w:rPr>
            <w:rStyle w:val="Hyperlink"/>
            <w:noProof/>
          </w:rPr>
          <w:t>D.</w:t>
        </w:r>
        <w:r w:rsidR="007538AA">
          <w:rPr>
            <w:rFonts w:asciiTheme="minorHAnsi" w:eastAsiaTheme="minorEastAsia" w:hAnsiTheme="minorHAnsi" w:cstheme="minorBidi"/>
            <w:noProof/>
            <w:sz w:val="22"/>
            <w:lang w:val="en-US"/>
          </w:rPr>
          <w:tab/>
        </w:r>
        <w:r w:rsidR="007538AA" w:rsidRPr="00546390">
          <w:rPr>
            <w:rStyle w:val="Hyperlink"/>
            <w:noProof/>
          </w:rPr>
          <w:t>El comercio exterior bajo el mercado común de Estados Unidos y las empresas locales</w:t>
        </w:r>
        <w:r w:rsidR="007538AA">
          <w:rPr>
            <w:noProof/>
            <w:webHidden/>
          </w:rPr>
          <w:tab/>
        </w:r>
        <w:r>
          <w:rPr>
            <w:noProof/>
            <w:webHidden/>
          </w:rPr>
          <w:fldChar w:fldCharType="begin"/>
        </w:r>
        <w:r w:rsidR="007538AA">
          <w:rPr>
            <w:noProof/>
            <w:webHidden/>
          </w:rPr>
          <w:instrText xml:space="preserve"> PAGEREF _Toc384769709 \h </w:instrText>
        </w:r>
        <w:r w:rsidR="002B5716">
          <w:rPr>
            <w:noProof/>
          </w:rPr>
        </w:r>
        <w:r>
          <w:rPr>
            <w:noProof/>
            <w:webHidden/>
          </w:rPr>
          <w:fldChar w:fldCharType="separate"/>
        </w:r>
        <w:r w:rsidR="00A226D8">
          <w:rPr>
            <w:noProof/>
            <w:webHidden/>
          </w:rPr>
          <w:t>11</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0" w:history="1">
        <w:r w:rsidR="007538AA" w:rsidRPr="00546390">
          <w:rPr>
            <w:rStyle w:val="Hyperlink"/>
            <w:noProof/>
          </w:rPr>
          <w:t>E.</w:t>
        </w:r>
        <w:r w:rsidR="007538AA">
          <w:rPr>
            <w:rFonts w:asciiTheme="minorHAnsi" w:eastAsiaTheme="minorEastAsia" w:hAnsiTheme="minorHAnsi" w:cstheme="minorBidi"/>
            <w:noProof/>
            <w:sz w:val="22"/>
            <w:lang w:val="en-US"/>
          </w:rPr>
          <w:tab/>
        </w:r>
        <w:r w:rsidR="007538AA" w:rsidRPr="00546390">
          <w:rPr>
            <w:rStyle w:val="Hyperlink"/>
            <w:noProof/>
          </w:rPr>
          <w:t>La estadidad y la convergencia económica de Puerto Rico con Estados Unidos</w:t>
        </w:r>
        <w:r w:rsidR="007538AA">
          <w:rPr>
            <w:noProof/>
            <w:webHidden/>
          </w:rPr>
          <w:tab/>
        </w:r>
        <w:r>
          <w:rPr>
            <w:noProof/>
            <w:webHidden/>
          </w:rPr>
          <w:fldChar w:fldCharType="begin"/>
        </w:r>
        <w:r w:rsidR="007538AA">
          <w:rPr>
            <w:noProof/>
            <w:webHidden/>
          </w:rPr>
          <w:instrText xml:space="preserve"> PAGEREF _Toc384769710 \h </w:instrText>
        </w:r>
        <w:r w:rsidR="002B5716">
          <w:rPr>
            <w:noProof/>
          </w:rPr>
        </w:r>
        <w:r>
          <w:rPr>
            <w:noProof/>
            <w:webHidden/>
          </w:rPr>
          <w:fldChar w:fldCharType="separate"/>
        </w:r>
        <w:r w:rsidR="00A226D8">
          <w:rPr>
            <w:noProof/>
            <w:webHidden/>
          </w:rPr>
          <w:t>12</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1" w:history="1">
        <w:r w:rsidR="007538AA" w:rsidRPr="00546390">
          <w:rPr>
            <w:rStyle w:val="Hyperlink"/>
            <w:noProof/>
          </w:rPr>
          <w:t>F.</w:t>
        </w:r>
        <w:r w:rsidR="007538AA">
          <w:rPr>
            <w:rFonts w:asciiTheme="minorHAnsi" w:eastAsiaTheme="minorEastAsia" w:hAnsiTheme="minorHAnsi" w:cstheme="minorBidi"/>
            <w:noProof/>
            <w:sz w:val="22"/>
            <w:lang w:val="en-US"/>
          </w:rPr>
          <w:tab/>
        </w:r>
        <w:r w:rsidR="007538AA" w:rsidRPr="00546390">
          <w:rPr>
            <w:rStyle w:val="Hyperlink"/>
            <w:noProof/>
          </w:rPr>
          <w:t>Conclusiones</w:t>
        </w:r>
        <w:r w:rsidR="007538AA">
          <w:rPr>
            <w:noProof/>
            <w:webHidden/>
          </w:rPr>
          <w:tab/>
        </w:r>
        <w:r>
          <w:rPr>
            <w:noProof/>
            <w:webHidden/>
          </w:rPr>
          <w:fldChar w:fldCharType="begin"/>
        </w:r>
        <w:r w:rsidR="007538AA">
          <w:rPr>
            <w:noProof/>
            <w:webHidden/>
          </w:rPr>
          <w:instrText xml:space="preserve"> PAGEREF _Toc384769711 \h </w:instrText>
        </w:r>
        <w:r w:rsidR="002B5716">
          <w:rPr>
            <w:noProof/>
          </w:rPr>
        </w:r>
        <w:r>
          <w:rPr>
            <w:noProof/>
            <w:webHidden/>
          </w:rPr>
          <w:fldChar w:fldCharType="separate"/>
        </w:r>
        <w:r w:rsidR="00A226D8">
          <w:rPr>
            <w:noProof/>
            <w:webHidden/>
          </w:rPr>
          <w:t>16</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2" w:history="1">
        <w:r w:rsidR="007538AA" w:rsidRPr="00546390">
          <w:rPr>
            <w:rStyle w:val="Hyperlink"/>
            <w:noProof/>
          </w:rPr>
          <w:t>G.</w:t>
        </w:r>
        <w:r w:rsidR="007538AA">
          <w:rPr>
            <w:rFonts w:asciiTheme="minorHAnsi" w:eastAsiaTheme="minorEastAsia" w:hAnsiTheme="minorHAnsi" w:cstheme="minorBidi"/>
            <w:noProof/>
            <w:sz w:val="22"/>
            <w:lang w:val="en-US"/>
          </w:rPr>
          <w:tab/>
        </w:r>
        <w:r w:rsidR="007538AA" w:rsidRPr="00546390">
          <w:rPr>
            <w:rStyle w:val="Hyperlink"/>
            <w:noProof/>
          </w:rPr>
          <w:t>Recomendaciones</w:t>
        </w:r>
        <w:r w:rsidR="007538AA">
          <w:rPr>
            <w:noProof/>
            <w:webHidden/>
          </w:rPr>
          <w:tab/>
        </w:r>
        <w:r>
          <w:rPr>
            <w:noProof/>
            <w:webHidden/>
          </w:rPr>
          <w:fldChar w:fldCharType="begin"/>
        </w:r>
        <w:r w:rsidR="007538AA">
          <w:rPr>
            <w:noProof/>
            <w:webHidden/>
          </w:rPr>
          <w:instrText xml:space="preserve"> PAGEREF _Toc384769712 \h </w:instrText>
        </w:r>
        <w:r w:rsidR="002B5716">
          <w:rPr>
            <w:noProof/>
          </w:rPr>
        </w:r>
        <w:r>
          <w:rPr>
            <w:noProof/>
            <w:webHidden/>
          </w:rPr>
          <w:fldChar w:fldCharType="separate"/>
        </w:r>
        <w:r w:rsidR="00A226D8">
          <w:rPr>
            <w:noProof/>
            <w:webHidden/>
          </w:rPr>
          <w:t>17</w:t>
        </w:r>
        <w:r>
          <w:rPr>
            <w:noProof/>
            <w:webHidden/>
          </w:rPr>
          <w:fldChar w:fldCharType="end"/>
        </w:r>
      </w:hyperlink>
    </w:p>
    <w:p w:rsidR="007538AA" w:rsidRDefault="008964A4" w:rsidP="007538AA">
      <w:pPr>
        <w:pStyle w:val="TOC1"/>
        <w:tabs>
          <w:tab w:val="left" w:pos="90"/>
        </w:tabs>
        <w:rPr>
          <w:rFonts w:asciiTheme="minorHAnsi" w:eastAsiaTheme="minorEastAsia" w:hAnsiTheme="minorHAnsi" w:cstheme="minorBidi"/>
          <w:b w:val="0"/>
          <w:noProof/>
          <w:sz w:val="22"/>
          <w:szCs w:val="22"/>
          <w:lang w:val="en-US"/>
        </w:rPr>
      </w:pPr>
      <w:hyperlink w:anchor="_Toc384769713" w:history="1">
        <w:r w:rsidR="007538AA" w:rsidRPr="00546390">
          <w:rPr>
            <w:rStyle w:val="Hyperlink"/>
            <w:noProof/>
            <w:lang w:val="es-ES_tradnl"/>
          </w:rPr>
          <w:t>Capítulo 1: El Congreso de Estados Unidos y los escenarios políticos del estatus: una evaluación crítica</w:t>
        </w:r>
        <w:r w:rsidR="007538AA">
          <w:rPr>
            <w:noProof/>
            <w:webHidden/>
          </w:rPr>
          <w:tab/>
        </w:r>
        <w:r>
          <w:rPr>
            <w:noProof/>
            <w:webHidden/>
          </w:rPr>
          <w:fldChar w:fldCharType="begin"/>
        </w:r>
        <w:r w:rsidR="007538AA">
          <w:rPr>
            <w:noProof/>
            <w:webHidden/>
          </w:rPr>
          <w:instrText xml:space="preserve"> PAGEREF _Toc384769713 \h </w:instrText>
        </w:r>
        <w:r w:rsidR="002B5716">
          <w:rPr>
            <w:noProof/>
          </w:rPr>
        </w:r>
        <w:r>
          <w:rPr>
            <w:noProof/>
            <w:webHidden/>
          </w:rPr>
          <w:fldChar w:fldCharType="separate"/>
        </w:r>
        <w:r w:rsidR="00A226D8">
          <w:rPr>
            <w:noProof/>
            <w:webHidden/>
          </w:rPr>
          <w:t>19</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4" w:history="1">
        <w:r w:rsidR="007538AA" w:rsidRPr="00546390">
          <w:rPr>
            <w:rStyle w:val="Hyperlink"/>
            <w:noProof/>
            <w:lang w:val="es-ES_tradnl"/>
          </w:rPr>
          <w:t>A.</w:t>
        </w:r>
        <w:r w:rsidR="007538AA">
          <w:rPr>
            <w:rFonts w:asciiTheme="minorHAnsi" w:eastAsiaTheme="minorEastAsia" w:hAnsiTheme="minorHAnsi" w:cstheme="minorBidi"/>
            <w:noProof/>
            <w:sz w:val="22"/>
            <w:lang w:val="en-US"/>
          </w:rPr>
          <w:tab/>
        </w:r>
        <w:r w:rsidR="007538AA" w:rsidRPr="00546390">
          <w:rPr>
            <w:rStyle w:val="Hyperlink"/>
            <w:noProof/>
            <w:lang w:val="es-ES_tradnl"/>
          </w:rPr>
          <w:t>Introducción</w:t>
        </w:r>
        <w:r w:rsidR="007538AA">
          <w:rPr>
            <w:noProof/>
            <w:webHidden/>
          </w:rPr>
          <w:tab/>
        </w:r>
        <w:r>
          <w:rPr>
            <w:noProof/>
            <w:webHidden/>
          </w:rPr>
          <w:fldChar w:fldCharType="begin"/>
        </w:r>
        <w:r w:rsidR="007538AA">
          <w:rPr>
            <w:noProof/>
            <w:webHidden/>
          </w:rPr>
          <w:instrText xml:space="preserve"> PAGEREF _Toc384769714 \h </w:instrText>
        </w:r>
        <w:r w:rsidR="002B5716">
          <w:rPr>
            <w:noProof/>
          </w:rPr>
        </w:r>
        <w:r>
          <w:rPr>
            <w:noProof/>
            <w:webHidden/>
          </w:rPr>
          <w:fldChar w:fldCharType="separate"/>
        </w:r>
        <w:r w:rsidR="00A226D8">
          <w:rPr>
            <w:noProof/>
            <w:webHidden/>
          </w:rPr>
          <w:t>19</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5" w:history="1">
        <w:r w:rsidR="007538AA" w:rsidRPr="00546390">
          <w:rPr>
            <w:rStyle w:val="Hyperlink"/>
            <w:noProof/>
            <w:lang w:val="es-ES_tradnl"/>
          </w:rPr>
          <w:t>B.</w:t>
        </w:r>
        <w:r w:rsidR="007538AA">
          <w:rPr>
            <w:rFonts w:asciiTheme="minorHAnsi" w:eastAsiaTheme="minorEastAsia" w:hAnsiTheme="minorHAnsi" w:cstheme="minorBidi"/>
            <w:noProof/>
            <w:sz w:val="22"/>
            <w:lang w:val="en-US"/>
          </w:rPr>
          <w:tab/>
        </w:r>
        <w:r w:rsidR="007538AA" w:rsidRPr="00546390">
          <w:rPr>
            <w:rStyle w:val="Hyperlink"/>
            <w:noProof/>
            <w:lang w:val="es-ES_tradnl"/>
          </w:rPr>
          <w:t>Definición del problema</w:t>
        </w:r>
        <w:r w:rsidR="007538AA">
          <w:rPr>
            <w:noProof/>
            <w:webHidden/>
          </w:rPr>
          <w:tab/>
        </w:r>
        <w:r>
          <w:rPr>
            <w:noProof/>
            <w:webHidden/>
          </w:rPr>
          <w:fldChar w:fldCharType="begin"/>
        </w:r>
        <w:r w:rsidR="007538AA">
          <w:rPr>
            <w:noProof/>
            <w:webHidden/>
          </w:rPr>
          <w:instrText xml:space="preserve"> PAGEREF _Toc384769715 \h </w:instrText>
        </w:r>
        <w:r w:rsidR="002B5716">
          <w:rPr>
            <w:noProof/>
          </w:rPr>
        </w:r>
        <w:r>
          <w:rPr>
            <w:noProof/>
            <w:webHidden/>
          </w:rPr>
          <w:fldChar w:fldCharType="separate"/>
        </w:r>
        <w:r w:rsidR="00A226D8">
          <w:rPr>
            <w:noProof/>
            <w:webHidden/>
          </w:rPr>
          <w:t>22</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6" w:history="1">
        <w:r w:rsidR="007538AA" w:rsidRPr="00546390">
          <w:rPr>
            <w:rStyle w:val="Hyperlink"/>
            <w:noProof/>
            <w:lang w:val="es-ES_tradnl"/>
          </w:rPr>
          <w:t>C.</w:t>
        </w:r>
        <w:r w:rsidR="007538AA">
          <w:rPr>
            <w:rFonts w:asciiTheme="minorHAnsi" w:eastAsiaTheme="minorEastAsia" w:hAnsiTheme="minorHAnsi" w:cstheme="minorBidi"/>
            <w:noProof/>
            <w:sz w:val="22"/>
            <w:lang w:val="en-US"/>
          </w:rPr>
          <w:tab/>
        </w:r>
        <w:r w:rsidR="007538AA" w:rsidRPr="00546390">
          <w:rPr>
            <w:rStyle w:val="Hyperlink"/>
            <w:noProof/>
            <w:lang w:val="es-ES_tradnl"/>
          </w:rPr>
          <w:t>Trasfondo general</w:t>
        </w:r>
        <w:r w:rsidR="007538AA">
          <w:rPr>
            <w:noProof/>
            <w:webHidden/>
          </w:rPr>
          <w:tab/>
        </w:r>
        <w:r>
          <w:rPr>
            <w:noProof/>
            <w:webHidden/>
          </w:rPr>
          <w:fldChar w:fldCharType="begin"/>
        </w:r>
        <w:r w:rsidR="007538AA">
          <w:rPr>
            <w:noProof/>
            <w:webHidden/>
          </w:rPr>
          <w:instrText xml:space="preserve"> PAGEREF _Toc384769716 \h </w:instrText>
        </w:r>
        <w:r w:rsidR="002B5716">
          <w:rPr>
            <w:noProof/>
          </w:rPr>
        </w:r>
        <w:r>
          <w:rPr>
            <w:noProof/>
            <w:webHidden/>
          </w:rPr>
          <w:fldChar w:fldCharType="separate"/>
        </w:r>
        <w:r w:rsidR="00A226D8">
          <w:rPr>
            <w:noProof/>
            <w:webHidden/>
          </w:rPr>
          <w:t>23</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7" w:history="1">
        <w:r w:rsidR="007538AA" w:rsidRPr="00546390">
          <w:rPr>
            <w:rStyle w:val="Hyperlink"/>
            <w:noProof/>
            <w:lang w:val="es-ES_tradnl"/>
          </w:rPr>
          <w:t>D.</w:t>
        </w:r>
        <w:r w:rsidR="007538AA">
          <w:rPr>
            <w:rFonts w:asciiTheme="minorHAnsi" w:eastAsiaTheme="minorEastAsia" w:hAnsiTheme="minorHAnsi" w:cstheme="minorBidi"/>
            <w:noProof/>
            <w:sz w:val="22"/>
            <w:lang w:val="en-US"/>
          </w:rPr>
          <w:tab/>
        </w:r>
        <w:r w:rsidR="007538AA" w:rsidRPr="00546390">
          <w:rPr>
            <w:rStyle w:val="Hyperlink"/>
            <w:noProof/>
            <w:lang w:val="es-ES_tradnl"/>
          </w:rPr>
          <w:t>El plebiscito de 2012</w:t>
        </w:r>
        <w:r w:rsidR="007538AA">
          <w:rPr>
            <w:noProof/>
            <w:webHidden/>
          </w:rPr>
          <w:tab/>
        </w:r>
        <w:r>
          <w:rPr>
            <w:noProof/>
            <w:webHidden/>
          </w:rPr>
          <w:fldChar w:fldCharType="begin"/>
        </w:r>
        <w:r w:rsidR="007538AA">
          <w:rPr>
            <w:noProof/>
            <w:webHidden/>
          </w:rPr>
          <w:instrText xml:space="preserve"> PAGEREF _Toc384769717 \h </w:instrText>
        </w:r>
        <w:r w:rsidR="002B5716">
          <w:rPr>
            <w:noProof/>
          </w:rPr>
        </w:r>
        <w:r>
          <w:rPr>
            <w:noProof/>
            <w:webHidden/>
          </w:rPr>
          <w:fldChar w:fldCharType="separate"/>
        </w:r>
        <w:r w:rsidR="00A226D8">
          <w:rPr>
            <w:noProof/>
            <w:webHidden/>
          </w:rPr>
          <w:t>27</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8" w:history="1">
        <w:r w:rsidR="007538AA" w:rsidRPr="00546390">
          <w:rPr>
            <w:rStyle w:val="Hyperlink"/>
            <w:noProof/>
            <w:lang w:val="es-ES_tradnl"/>
          </w:rPr>
          <w:t>E.</w:t>
        </w:r>
        <w:r w:rsidR="007538AA">
          <w:rPr>
            <w:rFonts w:asciiTheme="minorHAnsi" w:eastAsiaTheme="minorEastAsia" w:hAnsiTheme="minorHAnsi" w:cstheme="minorBidi"/>
            <w:noProof/>
            <w:sz w:val="22"/>
            <w:lang w:val="en-US"/>
          </w:rPr>
          <w:tab/>
        </w:r>
        <w:r w:rsidR="007538AA" w:rsidRPr="00546390">
          <w:rPr>
            <w:rStyle w:val="Hyperlink"/>
            <w:noProof/>
            <w:lang w:val="es-ES_tradnl"/>
          </w:rPr>
          <w:t>El HR 2000</w:t>
        </w:r>
        <w:r w:rsidR="007538AA">
          <w:rPr>
            <w:noProof/>
            <w:webHidden/>
          </w:rPr>
          <w:tab/>
        </w:r>
        <w:r>
          <w:rPr>
            <w:noProof/>
            <w:webHidden/>
          </w:rPr>
          <w:fldChar w:fldCharType="begin"/>
        </w:r>
        <w:r w:rsidR="007538AA">
          <w:rPr>
            <w:noProof/>
            <w:webHidden/>
          </w:rPr>
          <w:instrText xml:space="preserve"> PAGEREF _Toc384769718 \h </w:instrText>
        </w:r>
        <w:r w:rsidR="002B5716">
          <w:rPr>
            <w:noProof/>
          </w:rPr>
        </w:r>
        <w:r>
          <w:rPr>
            <w:noProof/>
            <w:webHidden/>
          </w:rPr>
          <w:fldChar w:fldCharType="separate"/>
        </w:r>
        <w:r w:rsidR="00A226D8">
          <w:rPr>
            <w:noProof/>
            <w:webHidden/>
          </w:rPr>
          <w:t>29</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19" w:history="1">
        <w:r w:rsidR="007538AA" w:rsidRPr="00546390">
          <w:rPr>
            <w:rStyle w:val="Hyperlink"/>
            <w:noProof/>
            <w:lang w:val="es-ES_tradnl"/>
          </w:rPr>
          <w:t>F.</w:t>
        </w:r>
        <w:r w:rsidR="007538AA">
          <w:rPr>
            <w:rFonts w:asciiTheme="minorHAnsi" w:eastAsiaTheme="minorEastAsia" w:hAnsiTheme="minorHAnsi" w:cstheme="minorBidi"/>
            <w:noProof/>
            <w:sz w:val="22"/>
            <w:lang w:val="en-US"/>
          </w:rPr>
          <w:tab/>
        </w:r>
        <w:r w:rsidR="007538AA" w:rsidRPr="00546390">
          <w:rPr>
            <w:rStyle w:val="Hyperlink"/>
            <w:noProof/>
            <w:lang w:val="es-ES_tradnl"/>
          </w:rPr>
          <w:t>El plan de Obama versus el HR 2000</w:t>
        </w:r>
        <w:r w:rsidR="007538AA">
          <w:rPr>
            <w:noProof/>
            <w:webHidden/>
          </w:rPr>
          <w:tab/>
        </w:r>
        <w:r>
          <w:rPr>
            <w:noProof/>
            <w:webHidden/>
          </w:rPr>
          <w:fldChar w:fldCharType="begin"/>
        </w:r>
        <w:r w:rsidR="007538AA">
          <w:rPr>
            <w:noProof/>
            <w:webHidden/>
          </w:rPr>
          <w:instrText xml:space="preserve"> PAGEREF _Toc384769719 \h </w:instrText>
        </w:r>
        <w:r w:rsidR="002B5716">
          <w:rPr>
            <w:noProof/>
          </w:rPr>
        </w:r>
        <w:r>
          <w:rPr>
            <w:noProof/>
            <w:webHidden/>
          </w:rPr>
          <w:fldChar w:fldCharType="separate"/>
        </w:r>
        <w:r w:rsidR="00A226D8">
          <w:rPr>
            <w:noProof/>
            <w:webHidden/>
          </w:rPr>
          <w:t>30</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20" w:history="1">
        <w:r w:rsidR="007538AA" w:rsidRPr="00546390">
          <w:rPr>
            <w:rStyle w:val="Hyperlink"/>
            <w:noProof/>
            <w:lang w:val="es-ES_tradnl"/>
          </w:rPr>
          <w:t>G.</w:t>
        </w:r>
        <w:r w:rsidR="007538AA">
          <w:rPr>
            <w:rFonts w:asciiTheme="minorHAnsi" w:eastAsiaTheme="minorEastAsia" w:hAnsiTheme="minorHAnsi" w:cstheme="minorBidi"/>
            <w:noProof/>
            <w:sz w:val="22"/>
            <w:lang w:val="en-US"/>
          </w:rPr>
          <w:tab/>
        </w:r>
        <w:r w:rsidR="007538AA" w:rsidRPr="00546390">
          <w:rPr>
            <w:rStyle w:val="Hyperlink"/>
            <w:noProof/>
            <w:lang w:val="es-ES_tradnl"/>
          </w:rPr>
          <w:t>La crisis fiscal de Puerto Rico</w:t>
        </w:r>
        <w:r w:rsidR="007538AA">
          <w:rPr>
            <w:noProof/>
            <w:webHidden/>
          </w:rPr>
          <w:tab/>
        </w:r>
        <w:r>
          <w:rPr>
            <w:noProof/>
            <w:webHidden/>
          </w:rPr>
          <w:fldChar w:fldCharType="begin"/>
        </w:r>
        <w:r w:rsidR="007538AA">
          <w:rPr>
            <w:noProof/>
            <w:webHidden/>
          </w:rPr>
          <w:instrText xml:space="preserve"> PAGEREF _Toc384769720 \h </w:instrText>
        </w:r>
        <w:r w:rsidR="002B5716">
          <w:rPr>
            <w:noProof/>
          </w:rPr>
        </w:r>
        <w:r>
          <w:rPr>
            <w:noProof/>
            <w:webHidden/>
          </w:rPr>
          <w:fldChar w:fldCharType="separate"/>
        </w:r>
        <w:r w:rsidR="00A226D8">
          <w:rPr>
            <w:noProof/>
            <w:webHidden/>
          </w:rPr>
          <w:t>32</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21" w:history="1">
        <w:r w:rsidR="007538AA" w:rsidRPr="00546390">
          <w:rPr>
            <w:rStyle w:val="Hyperlink"/>
            <w:noProof/>
            <w:lang w:val="es-ES_tradnl"/>
          </w:rPr>
          <w:t>H.</w:t>
        </w:r>
        <w:r w:rsidR="007538AA">
          <w:rPr>
            <w:rFonts w:asciiTheme="minorHAnsi" w:eastAsiaTheme="minorEastAsia" w:hAnsiTheme="minorHAnsi" w:cstheme="minorBidi"/>
            <w:noProof/>
            <w:sz w:val="22"/>
            <w:lang w:val="en-US"/>
          </w:rPr>
          <w:tab/>
        </w:r>
        <w:r w:rsidR="007538AA" w:rsidRPr="00546390">
          <w:rPr>
            <w:rStyle w:val="Hyperlink"/>
            <w:noProof/>
            <w:lang w:val="es-ES_tradnl"/>
          </w:rPr>
          <w:t>El estatus en el complicado escenario del Congreso</w:t>
        </w:r>
        <w:r w:rsidR="007538AA">
          <w:rPr>
            <w:noProof/>
            <w:webHidden/>
          </w:rPr>
          <w:tab/>
        </w:r>
        <w:r>
          <w:rPr>
            <w:noProof/>
            <w:webHidden/>
          </w:rPr>
          <w:fldChar w:fldCharType="begin"/>
        </w:r>
        <w:r w:rsidR="007538AA">
          <w:rPr>
            <w:noProof/>
            <w:webHidden/>
          </w:rPr>
          <w:instrText xml:space="preserve"> PAGEREF _Toc384769721 \h </w:instrText>
        </w:r>
        <w:r w:rsidR="002B5716">
          <w:rPr>
            <w:noProof/>
          </w:rPr>
        </w:r>
        <w:r>
          <w:rPr>
            <w:noProof/>
            <w:webHidden/>
          </w:rPr>
          <w:fldChar w:fldCharType="separate"/>
        </w:r>
        <w:r w:rsidR="00A226D8">
          <w:rPr>
            <w:noProof/>
            <w:webHidden/>
          </w:rPr>
          <w:t>36</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22" w:history="1">
        <w:r w:rsidR="007538AA" w:rsidRPr="00546390">
          <w:rPr>
            <w:rStyle w:val="Hyperlink"/>
            <w:noProof/>
            <w:lang w:val="es-ES_tradnl"/>
          </w:rPr>
          <w:t>I.</w:t>
        </w:r>
        <w:r w:rsidR="007538AA">
          <w:rPr>
            <w:rFonts w:asciiTheme="minorHAnsi" w:eastAsiaTheme="minorEastAsia" w:hAnsiTheme="minorHAnsi" w:cstheme="minorBidi"/>
            <w:noProof/>
            <w:sz w:val="22"/>
            <w:lang w:val="en-US"/>
          </w:rPr>
          <w:tab/>
        </w:r>
        <w:r w:rsidR="007538AA" w:rsidRPr="00546390">
          <w:rPr>
            <w:rStyle w:val="Hyperlink"/>
            <w:noProof/>
            <w:lang w:val="es-ES_tradnl"/>
          </w:rPr>
          <w:t>El escenario del Congreso y las presiones electorales</w:t>
        </w:r>
        <w:r w:rsidR="007538AA">
          <w:rPr>
            <w:noProof/>
            <w:webHidden/>
          </w:rPr>
          <w:tab/>
        </w:r>
        <w:r>
          <w:rPr>
            <w:noProof/>
            <w:webHidden/>
          </w:rPr>
          <w:fldChar w:fldCharType="begin"/>
        </w:r>
        <w:r w:rsidR="007538AA">
          <w:rPr>
            <w:noProof/>
            <w:webHidden/>
          </w:rPr>
          <w:instrText xml:space="preserve"> PAGEREF _Toc384769722 \h </w:instrText>
        </w:r>
        <w:r w:rsidR="002B5716">
          <w:rPr>
            <w:noProof/>
          </w:rPr>
        </w:r>
        <w:r>
          <w:rPr>
            <w:noProof/>
            <w:webHidden/>
          </w:rPr>
          <w:fldChar w:fldCharType="separate"/>
        </w:r>
        <w:r w:rsidR="00A226D8">
          <w:rPr>
            <w:noProof/>
            <w:webHidden/>
          </w:rPr>
          <w:t>40</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23" w:history="1">
        <w:r w:rsidR="007538AA" w:rsidRPr="00546390">
          <w:rPr>
            <w:rStyle w:val="Hyperlink"/>
            <w:noProof/>
            <w:lang w:val="es-ES_tradnl"/>
          </w:rPr>
          <w:t>J.</w:t>
        </w:r>
        <w:r w:rsidR="007538AA">
          <w:rPr>
            <w:rFonts w:asciiTheme="minorHAnsi" w:eastAsiaTheme="minorEastAsia" w:hAnsiTheme="minorHAnsi" w:cstheme="minorBidi"/>
            <w:noProof/>
            <w:sz w:val="22"/>
            <w:lang w:val="en-US"/>
          </w:rPr>
          <w:tab/>
        </w:r>
        <w:r w:rsidR="007538AA" w:rsidRPr="00546390">
          <w:rPr>
            <w:rStyle w:val="Hyperlink"/>
            <w:noProof/>
            <w:lang w:val="es-ES_tradnl"/>
          </w:rPr>
          <w:t xml:space="preserve">El </w:t>
        </w:r>
        <w:r w:rsidR="007538AA" w:rsidRPr="00546390">
          <w:rPr>
            <w:rStyle w:val="Hyperlink"/>
            <w:i/>
            <w:noProof/>
            <w:lang w:val="es-ES_tradnl"/>
          </w:rPr>
          <w:t>Tea Party</w:t>
        </w:r>
        <w:r w:rsidR="007538AA">
          <w:rPr>
            <w:noProof/>
            <w:webHidden/>
          </w:rPr>
          <w:tab/>
        </w:r>
        <w:r>
          <w:rPr>
            <w:noProof/>
            <w:webHidden/>
          </w:rPr>
          <w:fldChar w:fldCharType="begin"/>
        </w:r>
        <w:r w:rsidR="007538AA">
          <w:rPr>
            <w:noProof/>
            <w:webHidden/>
          </w:rPr>
          <w:instrText xml:space="preserve"> PAGEREF _Toc384769723 \h </w:instrText>
        </w:r>
        <w:r w:rsidR="002B5716">
          <w:rPr>
            <w:noProof/>
          </w:rPr>
        </w:r>
        <w:r>
          <w:rPr>
            <w:noProof/>
            <w:webHidden/>
          </w:rPr>
          <w:fldChar w:fldCharType="separate"/>
        </w:r>
        <w:r w:rsidR="00A226D8">
          <w:rPr>
            <w:noProof/>
            <w:webHidden/>
          </w:rPr>
          <w:t>42</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24" w:history="1">
        <w:r w:rsidR="007538AA" w:rsidRPr="00546390">
          <w:rPr>
            <w:rStyle w:val="Hyperlink"/>
            <w:noProof/>
            <w:lang w:val="es-ES_tradnl"/>
          </w:rPr>
          <w:t>K.</w:t>
        </w:r>
        <w:r w:rsidR="007538AA">
          <w:rPr>
            <w:rFonts w:asciiTheme="minorHAnsi" w:eastAsiaTheme="minorEastAsia" w:hAnsiTheme="minorHAnsi" w:cstheme="minorBidi"/>
            <w:noProof/>
            <w:sz w:val="22"/>
            <w:lang w:val="en-US"/>
          </w:rPr>
          <w:tab/>
        </w:r>
        <w:r w:rsidR="007538AA" w:rsidRPr="00546390">
          <w:rPr>
            <w:rStyle w:val="Hyperlink"/>
            <w:noProof/>
            <w:lang w:val="es-ES_tradnl"/>
          </w:rPr>
          <w:t>A modo de conclusión</w:t>
        </w:r>
        <w:r w:rsidR="007538AA">
          <w:rPr>
            <w:noProof/>
            <w:webHidden/>
          </w:rPr>
          <w:tab/>
        </w:r>
        <w:r>
          <w:rPr>
            <w:noProof/>
            <w:webHidden/>
          </w:rPr>
          <w:fldChar w:fldCharType="begin"/>
        </w:r>
        <w:r w:rsidR="007538AA">
          <w:rPr>
            <w:noProof/>
            <w:webHidden/>
          </w:rPr>
          <w:instrText xml:space="preserve"> PAGEREF _Toc384769724 \h </w:instrText>
        </w:r>
        <w:r w:rsidR="002B5716">
          <w:rPr>
            <w:noProof/>
          </w:rPr>
        </w:r>
        <w:r>
          <w:rPr>
            <w:noProof/>
            <w:webHidden/>
          </w:rPr>
          <w:fldChar w:fldCharType="separate"/>
        </w:r>
        <w:r w:rsidR="00A226D8">
          <w:rPr>
            <w:noProof/>
            <w:webHidden/>
          </w:rPr>
          <w:t>44</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25" w:history="1">
        <w:r w:rsidR="007538AA" w:rsidRPr="00546390">
          <w:rPr>
            <w:rStyle w:val="Hyperlink"/>
            <w:noProof/>
          </w:rPr>
          <w:t>Referencias</w:t>
        </w:r>
        <w:r w:rsidR="007538AA">
          <w:rPr>
            <w:noProof/>
            <w:webHidden/>
          </w:rPr>
          <w:tab/>
        </w:r>
        <w:r>
          <w:rPr>
            <w:noProof/>
            <w:webHidden/>
          </w:rPr>
          <w:fldChar w:fldCharType="begin"/>
        </w:r>
        <w:r w:rsidR="007538AA">
          <w:rPr>
            <w:noProof/>
            <w:webHidden/>
          </w:rPr>
          <w:instrText xml:space="preserve"> PAGEREF _Toc384769725 \h </w:instrText>
        </w:r>
        <w:r w:rsidR="002B5716">
          <w:rPr>
            <w:noProof/>
          </w:rPr>
        </w:r>
        <w:r>
          <w:rPr>
            <w:noProof/>
            <w:webHidden/>
          </w:rPr>
          <w:fldChar w:fldCharType="separate"/>
        </w:r>
        <w:r w:rsidR="00A226D8">
          <w:rPr>
            <w:noProof/>
            <w:webHidden/>
          </w:rPr>
          <w:t>46</w:t>
        </w:r>
        <w:r>
          <w:rPr>
            <w:noProof/>
            <w:webHidden/>
          </w:rPr>
          <w:fldChar w:fldCharType="end"/>
        </w:r>
      </w:hyperlink>
    </w:p>
    <w:p w:rsidR="007538AA" w:rsidRDefault="008964A4" w:rsidP="007538AA">
      <w:pPr>
        <w:pStyle w:val="TOC1"/>
        <w:tabs>
          <w:tab w:val="left" w:pos="90"/>
        </w:tabs>
        <w:rPr>
          <w:rFonts w:asciiTheme="minorHAnsi" w:eastAsiaTheme="minorEastAsia" w:hAnsiTheme="minorHAnsi" w:cstheme="minorBidi"/>
          <w:b w:val="0"/>
          <w:noProof/>
          <w:sz w:val="22"/>
          <w:szCs w:val="22"/>
          <w:lang w:val="en-US"/>
        </w:rPr>
      </w:pPr>
      <w:hyperlink w:anchor="_Toc384769727" w:history="1">
        <w:r w:rsidR="007538AA" w:rsidRPr="00546390">
          <w:rPr>
            <w:rStyle w:val="Hyperlink"/>
            <w:noProof/>
          </w:rPr>
          <w:t>Capítulo 2: Reseña de la literatura</w:t>
        </w:r>
        <w:r w:rsidR="007538AA">
          <w:rPr>
            <w:noProof/>
            <w:webHidden/>
          </w:rPr>
          <w:tab/>
        </w:r>
        <w:r>
          <w:rPr>
            <w:noProof/>
            <w:webHidden/>
          </w:rPr>
          <w:fldChar w:fldCharType="begin"/>
        </w:r>
        <w:r w:rsidR="007538AA">
          <w:rPr>
            <w:noProof/>
            <w:webHidden/>
          </w:rPr>
          <w:instrText xml:space="preserve"> PAGEREF _Toc384769727 \h </w:instrText>
        </w:r>
        <w:r w:rsidR="002B5716">
          <w:rPr>
            <w:noProof/>
          </w:rPr>
        </w:r>
        <w:r>
          <w:rPr>
            <w:noProof/>
            <w:webHidden/>
          </w:rPr>
          <w:fldChar w:fldCharType="separate"/>
        </w:r>
        <w:r w:rsidR="00A226D8">
          <w:rPr>
            <w:noProof/>
            <w:webHidden/>
          </w:rPr>
          <w:t>66</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28" w:history="1">
        <w:r w:rsidR="007538AA" w:rsidRPr="00546390">
          <w:rPr>
            <w:rStyle w:val="Hyperlink"/>
            <w:noProof/>
          </w:rPr>
          <w:t>A.</w:t>
        </w:r>
        <w:r w:rsidR="007538AA">
          <w:rPr>
            <w:rFonts w:asciiTheme="minorHAnsi" w:eastAsiaTheme="minorEastAsia" w:hAnsiTheme="minorHAnsi" w:cstheme="minorBidi"/>
            <w:noProof/>
            <w:sz w:val="22"/>
            <w:lang w:val="en-US"/>
          </w:rPr>
          <w:tab/>
        </w:r>
        <w:r w:rsidR="007538AA" w:rsidRPr="00546390">
          <w:rPr>
            <w:rStyle w:val="Hyperlink"/>
            <w:noProof/>
          </w:rPr>
          <w:t>Introducción</w:t>
        </w:r>
        <w:r w:rsidR="007538AA">
          <w:rPr>
            <w:noProof/>
            <w:webHidden/>
          </w:rPr>
          <w:tab/>
        </w:r>
        <w:r>
          <w:rPr>
            <w:noProof/>
            <w:webHidden/>
          </w:rPr>
          <w:fldChar w:fldCharType="begin"/>
        </w:r>
        <w:r w:rsidR="007538AA">
          <w:rPr>
            <w:noProof/>
            <w:webHidden/>
          </w:rPr>
          <w:instrText xml:space="preserve"> PAGEREF _Toc384769728 \h </w:instrText>
        </w:r>
        <w:r w:rsidR="002B5716">
          <w:rPr>
            <w:noProof/>
          </w:rPr>
        </w:r>
        <w:r>
          <w:rPr>
            <w:noProof/>
            <w:webHidden/>
          </w:rPr>
          <w:fldChar w:fldCharType="separate"/>
        </w:r>
        <w:r w:rsidR="00A226D8">
          <w:rPr>
            <w:noProof/>
            <w:webHidden/>
          </w:rPr>
          <w:t>66</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29" w:history="1">
        <w:r w:rsidR="007538AA" w:rsidRPr="00546390">
          <w:rPr>
            <w:rStyle w:val="Hyperlink"/>
            <w:noProof/>
          </w:rPr>
          <w:t>B.</w:t>
        </w:r>
        <w:r w:rsidR="007538AA">
          <w:rPr>
            <w:rFonts w:asciiTheme="minorHAnsi" w:eastAsiaTheme="minorEastAsia" w:hAnsiTheme="minorHAnsi" w:cstheme="minorBidi"/>
            <w:noProof/>
            <w:sz w:val="22"/>
            <w:lang w:val="en-US"/>
          </w:rPr>
          <w:tab/>
        </w:r>
        <w:r w:rsidR="007538AA" w:rsidRPr="00546390">
          <w:rPr>
            <w:rStyle w:val="Hyperlink"/>
            <w:noProof/>
          </w:rPr>
          <w:t>Impactos fiscales</w:t>
        </w:r>
        <w:r w:rsidR="007538AA">
          <w:rPr>
            <w:noProof/>
            <w:webHidden/>
          </w:rPr>
          <w:tab/>
        </w:r>
        <w:r>
          <w:rPr>
            <w:noProof/>
            <w:webHidden/>
          </w:rPr>
          <w:fldChar w:fldCharType="begin"/>
        </w:r>
        <w:r w:rsidR="007538AA">
          <w:rPr>
            <w:noProof/>
            <w:webHidden/>
          </w:rPr>
          <w:instrText xml:space="preserve"> PAGEREF _Toc384769729 \h </w:instrText>
        </w:r>
        <w:r w:rsidR="002B5716">
          <w:rPr>
            <w:noProof/>
          </w:rPr>
        </w:r>
        <w:r>
          <w:rPr>
            <w:noProof/>
            <w:webHidden/>
          </w:rPr>
          <w:fldChar w:fldCharType="separate"/>
        </w:r>
        <w:r w:rsidR="00A226D8">
          <w:rPr>
            <w:noProof/>
            <w:webHidden/>
          </w:rPr>
          <w:t>67</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30" w:history="1">
        <w:r w:rsidR="007538AA" w:rsidRPr="00546390">
          <w:rPr>
            <w:rStyle w:val="Hyperlink"/>
            <w:noProof/>
          </w:rPr>
          <w:t>C.</w:t>
        </w:r>
        <w:r w:rsidR="007538AA">
          <w:rPr>
            <w:rFonts w:asciiTheme="minorHAnsi" w:eastAsiaTheme="minorEastAsia" w:hAnsiTheme="minorHAnsi" w:cstheme="minorBidi"/>
            <w:noProof/>
            <w:sz w:val="22"/>
            <w:lang w:val="en-US"/>
          </w:rPr>
          <w:tab/>
        </w:r>
        <w:r w:rsidR="007538AA" w:rsidRPr="00546390">
          <w:rPr>
            <w:rStyle w:val="Hyperlink"/>
            <w:noProof/>
          </w:rPr>
          <w:t>Las opciones políticas y su relación con el desarrollo económico</w:t>
        </w:r>
        <w:r w:rsidR="007538AA">
          <w:rPr>
            <w:noProof/>
            <w:webHidden/>
          </w:rPr>
          <w:tab/>
        </w:r>
        <w:r>
          <w:rPr>
            <w:noProof/>
            <w:webHidden/>
          </w:rPr>
          <w:fldChar w:fldCharType="begin"/>
        </w:r>
        <w:r w:rsidR="007538AA">
          <w:rPr>
            <w:noProof/>
            <w:webHidden/>
          </w:rPr>
          <w:instrText xml:space="preserve"> PAGEREF _Toc384769730 \h </w:instrText>
        </w:r>
        <w:r w:rsidR="002B5716">
          <w:rPr>
            <w:noProof/>
          </w:rPr>
        </w:r>
        <w:r>
          <w:rPr>
            <w:noProof/>
            <w:webHidden/>
          </w:rPr>
          <w:fldChar w:fldCharType="separate"/>
        </w:r>
        <w:r w:rsidR="00A226D8">
          <w:rPr>
            <w:noProof/>
            <w:webHidden/>
          </w:rPr>
          <w:t>76</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31" w:history="1">
        <w:r w:rsidR="007538AA" w:rsidRPr="00546390">
          <w:rPr>
            <w:rStyle w:val="Hyperlink"/>
            <w:noProof/>
          </w:rPr>
          <w:t>D.</w:t>
        </w:r>
        <w:r w:rsidR="007538AA">
          <w:rPr>
            <w:rFonts w:asciiTheme="minorHAnsi" w:eastAsiaTheme="minorEastAsia" w:hAnsiTheme="minorHAnsi" w:cstheme="minorBidi"/>
            <w:noProof/>
            <w:sz w:val="22"/>
            <w:lang w:val="en-US"/>
          </w:rPr>
          <w:tab/>
        </w:r>
        <w:r w:rsidR="007538AA" w:rsidRPr="00546390">
          <w:rPr>
            <w:rStyle w:val="Hyperlink"/>
            <w:noProof/>
          </w:rPr>
          <w:t>Cuantificación de impactos</w:t>
        </w:r>
        <w:r w:rsidR="007538AA">
          <w:rPr>
            <w:noProof/>
            <w:webHidden/>
          </w:rPr>
          <w:tab/>
        </w:r>
        <w:r>
          <w:rPr>
            <w:noProof/>
            <w:webHidden/>
          </w:rPr>
          <w:fldChar w:fldCharType="begin"/>
        </w:r>
        <w:r w:rsidR="007538AA">
          <w:rPr>
            <w:noProof/>
            <w:webHidden/>
          </w:rPr>
          <w:instrText xml:space="preserve"> PAGEREF _Toc384769731 \h </w:instrText>
        </w:r>
        <w:r w:rsidR="002B5716">
          <w:rPr>
            <w:noProof/>
          </w:rPr>
        </w:r>
        <w:r>
          <w:rPr>
            <w:noProof/>
            <w:webHidden/>
          </w:rPr>
          <w:fldChar w:fldCharType="separate"/>
        </w:r>
        <w:r w:rsidR="00A226D8">
          <w:rPr>
            <w:noProof/>
            <w:webHidden/>
          </w:rPr>
          <w:t>77</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32" w:history="1">
        <w:r w:rsidR="007538AA" w:rsidRPr="00546390">
          <w:rPr>
            <w:rStyle w:val="Hyperlink"/>
            <w:noProof/>
          </w:rPr>
          <w:t>E.</w:t>
        </w:r>
        <w:r w:rsidR="007538AA">
          <w:rPr>
            <w:rFonts w:asciiTheme="minorHAnsi" w:eastAsiaTheme="minorEastAsia" w:hAnsiTheme="minorHAnsi" w:cstheme="minorBidi"/>
            <w:noProof/>
            <w:sz w:val="22"/>
            <w:lang w:val="en-US"/>
          </w:rPr>
          <w:tab/>
        </w:r>
        <w:r w:rsidR="007538AA" w:rsidRPr="00546390">
          <w:rPr>
            <w:rStyle w:val="Hyperlink"/>
            <w:noProof/>
          </w:rPr>
          <w:t>Desarrollo económico</w:t>
        </w:r>
        <w:r w:rsidR="007538AA">
          <w:rPr>
            <w:noProof/>
            <w:webHidden/>
          </w:rPr>
          <w:tab/>
        </w:r>
        <w:r>
          <w:rPr>
            <w:noProof/>
            <w:webHidden/>
          </w:rPr>
          <w:fldChar w:fldCharType="begin"/>
        </w:r>
        <w:r w:rsidR="007538AA">
          <w:rPr>
            <w:noProof/>
            <w:webHidden/>
          </w:rPr>
          <w:instrText xml:space="preserve"> PAGEREF _Toc384769732 \h </w:instrText>
        </w:r>
        <w:r w:rsidR="002B5716">
          <w:rPr>
            <w:noProof/>
          </w:rPr>
        </w:r>
        <w:r>
          <w:rPr>
            <w:noProof/>
            <w:webHidden/>
          </w:rPr>
          <w:fldChar w:fldCharType="separate"/>
        </w:r>
        <w:r w:rsidR="00A226D8">
          <w:rPr>
            <w:noProof/>
            <w:webHidden/>
          </w:rPr>
          <w:t>79</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33" w:history="1">
        <w:r w:rsidR="007538AA" w:rsidRPr="00546390">
          <w:rPr>
            <w:rStyle w:val="Hyperlink"/>
            <w:noProof/>
          </w:rPr>
          <w:t>F.</w:t>
        </w:r>
        <w:r w:rsidR="007538AA">
          <w:rPr>
            <w:rFonts w:asciiTheme="minorHAnsi" w:eastAsiaTheme="minorEastAsia" w:hAnsiTheme="minorHAnsi" w:cstheme="minorBidi"/>
            <w:noProof/>
            <w:sz w:val="22"/>
            <w:lang w:val="en-US"/>
          </w:rPr>
          <w:tab/>
        </w:r>
        <w:r w:rsidR="007538AA" w:rsidRPr="00546390">
          <w:rPr>
            <w:rStyle w:val="Hyperlink"/>
            <w:noProof/>
          </w:rPr>
          <w:t>Visión de los partidos políticos</w:t>
        </w:r>
        <w:r w:rsidR="007538AA">
          <w:rPr>
            <w:noProof/>
            <w:webHidden/>
          </w:rPr>
          <w:tab/>
        </w:r>
        <w:r>
          <w:rPr>
            <w:noProof/>
            <w:webHidden/>
          </w:rPr>
          <w:fldChar w:fldCharType="begin"/>
        </w:r>
        <w:r w:rsidR="007538AA">
          <w:rPr>
            <w:noProof/>
            <w:webHidden/>
          </w:rPr>
          <w:instrText xml:space="preserve"> PAGEREF _Toc384769733 \h </w:instrText>
        </w:r>
        <w:r w:rsidR="002B5716">
          <w:rPr>
            <w:noProof/>
          </w:rPr>
        </w:r>
        <w:r>
          <w:rPr>
            <w:noProof/>
            <w:webHidden/>
          </w:rPr>
          <w:fldChar w:fldCharType="separate"/>
        </w:r>
        <w:r w:rsidR="00A226D8">
          <w:rPr>
            <w:noProof/>
            <w:webHidden/>
          </w:rPr>
          <w:t>83</w:t>
        </w:r>
        <w:r>
          <w:rPr>
            <w:noProof/>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34" w:history="1">
        <w:r w:rsidR="007538AA" w:rsidRPr="00546390">
          <w:rPr>
            <w:rStyle w:val="Hyperlink"/>
          </w:rPr>
          <w:t xml:space="preserve">F.1 </w:t>
        </w:r>
        <w:r w:rsidR="007538AA">
          <w:rPr>
            <w:rFonts w:asciiTheme="minorHAnsi" w:eastAsiaTheme="minorEastAsia" w:hAnsiTheme="minorHAnsi" w:cstheme="minorBidi"/>
            <w:sz w:val="22"/>
            <w:szCs w:val="22"/>
            <w:lang w:val="en-US"/>
          </w:rPr>
          <w:tab/>
        </w:r>
        <w:r w:rsidR="007538AA" w:rsidRPr="00546390">
          <w:rPr>
            <w:rStyle w:val="Hyperlink"/>
          </w:rPr>
          <w:t>Independencia</w:t>
        </w:r>
        <w:r w:rsidR="007538AA">
          <w:rPr>
            <w:webHidden/>
          </w:rPr>
          <w:tab/>
        </w:r>
        <w:r>
          <w:rPr>
            <w:webHidden/>
          </w:rPr>
          <w:fldChar w:fldCharType="begin"/>
        </w:r>
        <w:r w:rsidR="007538AA">
          <w:rPr>
            <w:webHidden/>
          </w:rPr>
          <w:instrText xml:space="preserve"> PAGEREF _Toc384769734 \h </w:instrText>
        </w:r>
        <w:r>
          <w:rPr>
            <w:webHidden/>
          </w:rPr>
          <w:fldChar w:fldCharType="separate"/>
        </w:r>
        <w:r w:rsidR="00A226D8">
          <w:rPr>
            <w:webHidden/>
          </w:rPr>
          <w:t>83</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35" w:history="1">
        <w:r w:rsidR="007538AA" w:rsidRPr="00546390">
          <w:rPr>
            <w:rStyle w:val="Hyperlink"/>
          </w:rPr>
          <w:t xml:space="preserve">F.2 </w:t>
        </w:r>
        <w:r w:rsidR="007538AA">
          <w:rPr>
            <w:rFonts w:asciiTheme="minorHAnsi" w:eastAsiaTheme="minorEastAsia" w:hAnsiTheme="minorHAnsi" w:cstheme="minorBidi"/>
            <w:sz w:val="22"/>
            <w:szCs w:val="22"/>
            <w:lang w:val="en-US"/>
          </w:rPr>
          <w:tab/>
        </w:r>
        <w:r w:rsidR="007538AA" w:rsidRPr="00546390">
          <w:rPr>
            <w:rStyle w:val="Hyperlink"/>
          </w:rPr>
          <w:t>Estadidad</w:t>
        </w:r>
        <w:r w:rsidR="007538AA">
          <w:rPr>
            <w:webHidden/>
          </w:rPr>
          <w:tab/>
        </w:r>
        <w:r>
          <w:rPr>
            <w:webHidden/>
          </w:rPr>
          <w:fldChar w:fldCharType="begin"/>
        </w:r>
        <w:r w:rsidR="007538AA">
          <w:rPr>
            <w:webHidden/>
          </w:rPr>
          <w:instrText xml:space="preserve"> PAGEREF _Toc384769735 \h </w:instrText>
        </w:r>
        <w:r>
          <w:rPr>
            <w:webHidden/>
          </w:rPr>
          <w:fldChar w:fldCharType="separate"/>
        </w:r>
        <w:r w:rsidR="00A226D8">
          <w:rPr>
            <w:webHidden/>
          </w:rPr>
          <w:t>85</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36" w:history="1">
        <w:r w:rsidR="007538AA" w:rsidRPr="00546390">
          <w:rPr>
            <w:rStyle w:val="Hyperlink"/>
          </w:rPr>
          <w:t xml:space="preserve">F.3 </w:t>
        </w:r>
        <w:r w:rsidR="007538AA">
          <w:rPr>
            <w:rFonts w:asciiTheme="minorHAnsi" w:eastAsiaTheme="minorEastAsia" w:hAnsiTheme="minorHAnsi" w:cstheme="minorBidi"/>
            <w:sz w:val="22"/>
            <w:szCs w:val="22"/>
            <w:lang w:val="en-US"/>
          </w:rPr>
          <w:tab/>
        </w:r>
        <w:r w:rsidR="007538AA" w:rsidRPr="00546390">
          <w:rPr>
            <w:rStyle w:val="Hyperlink"/>
          </w:rPr>
          <w:t>Estado Libre Asociado</w:t>
        </w:r>
        <w:r w:rsidR="007538AA">
          <w:rPr>
            <w:webHidden/>
          </w:rPr>
          <w:tab/>
        </w:r>
        <w:r>
          <w:rPr>
            <w:webHidden/>
          </w:rPr>
          <w:fldChar w:fldCharType="begin"/>
        </w:r>
        <w:r w:rsidR="007538AA">
          <w:rPr>
            <w:webHidden/>
          </w:rPr>
          <w:instrText xml:space="preserve"> PAGEREF _Toc384769736 \h </w:instrText>
        </w:r>
        <w:r>
          <w:rPr>
            <w:webHidden/>
          </w:rPr>
          <w:fldChar w:fldCharType="separate"/>
        </w:r>
        <w:r w:rsidR="00A226D8">
          <w:rPr>
            <w:webHidden/>
          </w:rPr>
          <w:t>92</w:t>
        </w:r>
        <w:r>
          <w:rPr>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37" w:history="1">
        <w:r w:rsidR="007538AA" w:rsidRPr="00546390">
          <w:rPr>
            <w:rStyle w:val="Hyperlink"/>
            <w:noProof/>
          </w:rPr>
          <w:t>G.</w:t>
        </w:r>
        <w:r w:rsidR="007538AA">
          <w:rPr>
            <w:rFonts w:asciiTheme="minorHAnsi" w:eastAsiaTheme="minorEastAsia" w:hAnsiTheme="minorHAnsi" w:cstheme="minorBidi"/>
            <w:noProof/>
            <w:sz w:val="22"/>
            <w:lang w:val="en-US"/>
          </w:rPr>
          <w:tab/>
        </w:r>
        <w:r w:rsidR="007538AA" w:rsidRPr="00546390">
          <w:rPr>
            <w:rStyle w:val="Hyperlink"/>
            <w:noProof/>
          </w:rPr>
          <w:t>Impactos sobre la migración</w:t>
        </w:r>
        <w:r w:rsidR="007538AA">
          <w:rPr>
            <w:noProof/>
            <w:webHidden/>
          </w:rPr>
          <w:tab/>
        </w:r>
        <w:r>
          <w:rPr>
            <w:noProof/>
            <w:webHidden/>
          </w:rPr>
          <w:fldChar w:fldCharType="begin"/>
        </w:r>
        <w:r w:rsidR="007538AA">
          <w:rPr>
            <w:noProof/>
            <w:webHidden/>
          </w:rPr>
          <w:instrText xml:space="preserve"> PAGEREF _Toc384769737 \h </w:instrText>
        </w:r>
        <w:r w:rsidR="002B5716">
          <w:rPr>
            <w:noProof/>
          </w:rPr>
        </w:r>
        <w:r>
          <w:rPr>
            <w:noProof/>
            <w:webHidden/>
          </w:rPr>
          <w:fldChar w:fldCharType="separate"/>
        </w:r>
        <w:r w:rsidR="00A226D8">
          <w:rPr>
            <w:noProof/>
            <w:webHidden/>
          </w:rPr>
          <w:t>93</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38" w:history="1">
        <w:r w:rsidR="007538AA" w:rsidRPr="00546390">
          <w:rPr>
            <w:rStyle w:val="Hyperlink"/>
            <w:noProof/>
          </w:rPr>
          <w:t>H.</w:t>
        </w:r>
        <w:r w:rsidR="007538AA">
          <w:rPr>
            <w:rFonts w:asciiTheme="minorHAnsi" w:eastAsiaTheme="minorEastAsia" w:hAnsiTheme="minorHAnsi" w:cstheme="minorBidi"/>
            <w:noProof/>
            <w:sz w:val="22"/>
            <w:lang w:val="en-US"/>
          </w:rPr>
          <w:tab/>
        </w:r>
        <w:r w:rsidR="007538AA" w:rsidRPr="00546390">
          <w:rPr>
            <w:rStyle w:val="Hyperlink"/>
            <w:noProof/>
          </w:rPr>
          <w:t>Políticas públicas y desarrollo económico</w:t>
        </w:r>
        <w:r w:rsidR="007538AA">
          <w:rPr>
            <w:noProof/>
            <w:webHidden/>
          </w:rPr>
          <w:tab/>
        </w:r>
        <w:r>
          <w:rPr>
            <w:noProof/>
            <w:webHidden/>
          </w:rPr>
          <w:fldChar w:fldCharType="begin"/>
        </w:r>
        <w:r w:rsidR="007538AA">
          <w:rPr>
            <w:noProof/>
            <w:webHidden/>
          </w:rPr>
          <w:instrText xml:space="preserve"> PAGEREF _Toc384769738 \h </w:instrText>
        </w:r>
        <w:r w:rsidR="002B5716">
          <w:rPr>
            <w:noProof/>
          </w:rPr>
        </w:r>
        <w:r>
          <w:rPr>
            <w:noProof/>
            <w:webHidden/>
          </w:rPr>
          <w:fldChar w:fldCharType="separate"/>
        </w:r>
        <w:r w:rsidR="00A226D8">
          <w:rPr>
            <w:noProof/>
            <w:webHidden/>
          </w:rPr>
          <w:t>98</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39" w:history="1">
        <w:r w:rsidR="007538AA" w:rsidRPr="00546390">
          <w:rPr>
            <w:rStyle w:val="Hyperlink"/>
            <w:noProof/>
          </w:rPr>
          <w:t>I.</w:t>
        </w:r>
        <w:r w:rsidR="007538AA">
          <w:rPr>
            <w:rFonts w:asciiTheme="minorHAnsi" w:eastAsiaTheme="minorEastAsia" w:hAnsiTheme="minorHAnsi" w:cstheme="minorBidi"/>
            <w:noProof/>
            <w:sz w:val="22"/>
            <w:lang w:val="en-US"/>
          </w:rPr>
          <w:tab/>
        </w:r>
        <w:r w:rsidR="007538AA" w:rsidRPr="00546390">
          <w:rPr>
            <w:rStyle w:val="Hyperlink"/>
            <w:noProof/>
          </w:rPr>
          <w:t>Impactos en Estados Unidos</w:t>
        </w:r>
        <w:r w:rsidR="007538AA">
          <w:rPr>
            <w:noProof/>
            <w:webHidden/>
          </w:rPr>
          <w:tab/>
        </w:r>
        <w:r>
          <w:rPr>
            <w:noProof/>
            <w:webHidden/>
          </w:rPr>
          <w:fldChar w:fldCharType="begin"/>
        </w:r>
        <w:r w:rsidR="007538AA">
          <w:rPr>
            <w:noProof/>
            <w:webHidden/>
          </w:rPr>
          <w:instrText xml:space="preserve"> PAGEREF _Toc384769739 \h </w:instrText>
        </w:r>
        <w:r w:rsidR="002B5716">
          <w:rPr>
            <w:noProof/>
          </w:rPr>
        </w:r>
        <w:r>
          <w:rPr>
            <w:noProof/>
            <w:webHidden/>
          </w:rPr>
          <w:fldChar w:fldCharType="separate"/>
        </w:r>
        <w:r w:rsidR="00A226D8">
          <w:rPr>
            <w:noProof/>
            <w:webHidden/>
          </w:rPr>
          <w:t>103</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40" w:history="1">
        <w:r w:rsidR="007538AA" w:rsidRPr="00546390">
          <w:rPr>
            <w:rStyle w:val="Hyperlink"/>
            <w:noProof/>
          </w:rPr>
          <w:t>J.</w:t>
        </w:r>
        <w:r w:rsidR="007538AA">
          <w:rPr>
            <w:rFonts w:asciiTheme="minorHAnsi" w:eastAsiaTheme="minorEastAsia" w:hAnsiTheme="minorHAnsi" w:cstheme="minorBidi"/>
            <w:noProof/>
            <w:sz w:val="22"/>
            <w:lang w:val="en-US"/>
          </w:rPr>
          <w:tab/>
        </w:r>
        <w:r w:rsidR="007538AA" w:rsidRPr="00546390">
          <w:rPr>
            <w:rStyle w:val="Hyperlink"/>
            <w:noProof/>
          </w:rPr>
          <w:t>Competitividad</w:t>
        </w:r>
        <w:r w:rsidR="007538AA">
          <w:rPr>
            <w:noProof/>
            <w:webHidden/>
          </w:rPr>
          <w:tab/>
        </w:r>
        <w:r>
          <w:rPr>
            <w:noProof/>
            <w:webHidden/>
          </w:rPr>
          <w:fldChar w:fldCharType="begin"/>
        </w:r>
        <w:r w:rsidR="007538AA">
          <w:rPr>
            <w:noProof/>
            <w:webHidden/>
          </w:rPr>
          <w:instrText xml:space="preserve"> PAGEREF _Toc384769740 \h </w:instrText>
        </w:r>
        <w:r w:rsidR="002B5716">
          <w:rPr>
            <w:noProof/>
          </w:rPr>
        </w:r>
        <w:r>
          <w:rPr>
            <w:noProof/>
            <w:webHidden/>
          </w:rPr>
          <w:fldChar w:fldCharType="separate"/>
        </w:r>
        <w:r w:rsidR="00A226D8">
          <w:rPr>
            <w:noProof/>
            <w:webHidden/>
          </w:rPr>
          <w:t>105</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41" w:history="1">
        <w:r w:rsidR="007538AA" w:rsidRPr="00546390">
          <w:rPr>
            <w:rStyle w:val="Hyperlink"/>
            <w:noProof/>
          </w:rPr>
          <w:t>K.</w:t>
        </w:r>
        <w:r w:rsidR="007538AA">
          <w:rPr>
            <w:rFonts w:asciiTheme="minorHAnsi" w:eastAsiaTheme="minorEastAsia" w:hAnsiTheme="minorHAnsi" w:cstheme="minorBidi"/>
            <w:noProof/>
            <w:sz w:val="22"/>
            <w:lang w:val="en-US"/>
          </w:rPr>
          <w:tab/>
        </w:r>
        <w:r w:rsidR="007538AA" w:rsidRPr="00546390">
          <w:rPr>
            <w:rStyle w:val="Hyperlink"/>
            <w:noProof/>
          </w:rPr>
          <w:t>Productividad y competitividad</w:t>
        </w:r>
        <w:r w:rsidR="007538AA">
          <w:rPr>
            <w:noProof/>
            <w:webHidden/>
          </w:rPr>
          <w:tab/>
        </w:r>
        <w:r>
          <w:rPr>
            <w:noProof/>
            <w:webHidden/>
          </w:rPr>
          <w:fldChar w:fldCharType="begin"/>
        </w:r>
        <w:r w:rsidR="007538AA">
          <w:rPr>
            <w:noProof/>
            <w:webHidden/>
          </w:rPr>
          <w:instrText xml:space="preserve"> PAGEREF _Toc384769741 \h </w:instrText>
        </w:r>
        <w:r w:rsidR="002B5716">
          <w:rPr>
            <w:noProof/>
          </w:rPr>
        </w:r>
        <w:r>
          <w:rPr>
            <w:noProof/>
            <w:webHidden/>
          </w:rPr>
          <w:fldChar w:fldCharType="separate"/>
        </w:r>
        <w:r w:rsidR="00A226D8">
          <w:rPr>
            <w:noProof/>
            <w:webHidden/>
          </w:rPr>
          <w:t>108</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42" w:history="1">
        <w:r w:rsidR="007538AA" w:rsidRPr="00546390">
          <w:rPr>
            <w:rStyle w:val="Hyperlink"/>
            <w:noProof/>
          </w:rPr>
          <w:t>L.</w:t>
        </w:r>
        <w:r w:rsidR="007538AA">
          <w:rPr>
            <w:rFonts w:asciiTheme="minorHAnsi" w:eastAsiaTheme="minorEastAsia" w:hAnsiTheme="minorHAnsi" w:cstheme="minorBidi"/>
            <w:noProof/>
            <w:sz w:val="22"/>
            <w:lang w:val="en-US"/>
          </w:rPr>
          <w:tab/>
        </w:r>
        <w:r w:rsidR="007538AA" w:rsidRPr="00546390">
          <w:rPr>
            <w:rStyle w:val="Hyperlink"/>
            <w:noProof/>
          </w:rPr>
          <w:t>Conclusiones generales</w:t>
        </w:r>
        <w:r w:rsidR="007538AA">
          <w:rPr>
            <w:noProof/>
            <w:webHidden/>
          </w:rPr>
          <w:tab/>
        </w:r>
        <w:r>
          <w:rPr>
            <w:noProof/>
            <w:webHidden/>
          </w:rPr>
          <w:fldChar w:fldCharType="begin"/>
        </w:r>
        <w:r w:rsidR="007538AA">
          <w:rPr>
            <w:noProof/>
            <w:webHidden/>
          </w:rPr>
          <w:instrText xml:space="preserve"> PAGEREF _Toc384769742 \h </w:instrText>
        </w:r>
        <w:r w:rsidR="002B5716">
          <w:rPr>
            <w:noProof/>
          </w:rPr>
        </w:r>
        <w:r>
          <w:rPr>
            <w:noProof/>
            <w:webHidden/>
          </w:rPr>
          <w:fldChar w:fldCharType="separate"/>
        </w:r>
        <w:r w:rsidR="00A226D8">
          <w:rPr>
            <w:noProof/>
            <w:webHidden/>
          </w:rPr>
          <w:t>109</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43" w:history="1">
        <w:r w:rsidR="007538AA" w:rsidRPr="00546390">
          <w:rPr>
            <w:rStyle w:val="Hyperlink"/>
            <w:noProof/>
            <w:lang w:val="en-US"/>
          </w:rPr>
          <w:t>Referencias</w:t>
        </w:r>
        <w:r w:rsidR="007538AA">
          <w:rPr>
            <w:noProof/>
            <w:webHidden/>
          </w:rPr>
          <w:tab/>
        </w:r>
        <w:r>
          <w:rPr>
            <w:noProof/>
            <w:webHidden/>
          </w:rPr>
          <w:fldChar w:fldCharType="begin"/>
        </w:r>
        <w:r w:rsidR="007538AA">
          <w:rPr>
            <w:noProof/>
            <w:webHidden/>
          </w:rPr>
          <w:instrText xml:space="preserve"> PAGEREF _Toc384769743 \h </w:instrText>
        </w:r>
        <w:r w:rsidR="002B5716">
          <w:rPr>
            <w:noProof/>
          </w:rPr>
        </w:r>
        <w:r>
          <w:rPr>
            <w:noProof/>
            <w:webHidden/>
          </w:rPr>
          <w:fldChar w:fldCharType="separate"/>
        </w:r>
        <w:r w:rsidR="00A226D8">
          <w:rPr>
            <w:noProof/>
            <w:webHidden/>
          </w:rPr>
          <w:t>113</w:t>
        </w:r>
        <w:r>
          <w:rPr>
            <w:noProof/>
            <w:webHidden/>
          </w:rPr>
          <w:fldChar w:fldCharType="end"/>
        </w:r>
      </w:hyperlink>
    </w:p>
    <w:p w:rsidR="007538AA" w:rsidRDefault="008964A4" w:rsidP="007538AA">
      <w:pPr>
        <w:pStyle w:val="TOC1"/>
        <w:tabs>
          <w:tab w:val="left" w:pos="90"/>
        </w:tabs>
        <w:rPr>
          <w:rFonts w:asciiTheme="minorHAnsi" w:eastAsiaTheme="minorEastAsia" w:hAnsiTheme="minorHAnsi" w:cstheme="minorBidi"/>
          <w:b w:val="0"/>
          <w:noProof/>
          <w:sz w:val="22"/>
          <w:szCs w:val="22"/>
          <w:lang w:val="en-US"/>
        </w:rPr>
      </w:pPr>
      <w:hyperlink w:anchor="_Toc384769745" w:history="1">
        <w:r w:rsidR="007538AA" w:rsidRPr="00546390">
          <w:rPr>
            <w:rStyle w:val="Hyperlink"/>
            <w:noProof/>
          </w:rPr>
          <w:t>Capítulo 3: Impactos de la estadidad en el régimen fiscal de Puerto Rico</w:t>
        </w:r>
        <w:r w:rsidR="007538AA">
          <w:rPr>
            <w:noProof/>
            <w:webHidden/>
          </w:rPr>
          <w:tab/>
        </w:r>
        <w:r>
          <w:rPr>
            <w:noProof/>
            <w:webHidden/>
          </w:rPr>
          <w:fldChar w:fldCharType="begin"/>
        </w:r>
        <w:r w:rsidR="007538AA">
          <w:rPr>
            <w:noProof/>
            <w:webHidden/>
          </w:rPr>
          <w:instrText xml:space="preserve"> PAGEREF _Toc384769745 \h </w:instrText>
        </w:r>
        <w:r w:rsidR="002B5716">
          <w:rPr>
            <w:noProof/>
          </w:rPr>
        </w:r>
        <w:r>
          <w:rPr>
            <w:noProof/>
            <w:webHidden/>
          </w:rPr>
          <w:fldChar w:fldCharType="separate"/>
        </w:r>
        <w:r w:rsidR="00A226D8">
          <w:rPr>
            <w:noProof/>
            <w:webHidden/>
          </w:rPr>
          <w:t>121</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46" w:history="1">
        <w:r w:rsidR="007538AA" w:rsidRPr="00546390">
          <w:rPr>
            <w:rStyle w:val="Hyperlink"/>
            <w:noProof/>
            <w:lang w:eastAsia="ar-SA"/>
          </w:rPr>
          <w:t>A.</w:t>
        </w:r>
        <w:r w:rsidR="007538AA">
          <w:rPr>
            <w:rFonts w:asciiTheme="minorHAnsi" w:eastAsiaTheme="minorEastAsia" w:hAnsiTheme="minorHAnsi" w:cstheme="minorBidi"/>
            <w:noProof/>
            <w:sz w:val="22"/>
            <w:lang w:val="en-US"/>
          </w:rPr>
          <w:tab/>
        </w:r>
        <w:r w:rsidR="007538AA" w:rsidRPr="00546390">
          <w:rPr>
            <w:rStyle w:val="Hyperlink"/>
            <w:noProof/>
            <w:lang w:eastAsia="ar-SA"/>
          </w:rPr>
          <w:t>Introducción</w:t>
        </w:r>
        <w:r w:rsidR="007538AA">
          <w:rPr>
            <w:noProof/>
            <w:webHidden/>
          </w:rPr>
          <w:tab/>
        </w:r>
        <w:r>
          <w:rPr>
            <w:noProof/>
            <w:webHidden/>
          </w:rPr>
          <w:fldChar w:fldCharType="begin"/>
        </w:r>
        <w:r w:rsidR="007538AA">
          <w:rPr>
            <w:noProof/>
            <w:webHidden/>
          </w:rPr>
          <w:instrText xml:space="preserve"> PAGEREF _Toc384769746 \h </w:instrText>
        </w:r>
        <w:r w:rsidR="002B5716">
          <w:rPr>
            <w:noProof/>
          </w:rPr>
        </w:r>
        <w:r>
          <w:rPr>
            <w:noProof/>
            <w:webHidden/>
          </w:rPr>
          <w:fldChar w:fldCharType="separate"/>
        </w:r>
        <w:r w:rsidR="00A226D8">
          <w:rPr>
            <w:noProof/>
            <w:webHidden/>
          </w:rPr>
          <w:t>121</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47" w:history="1">
        <w:r w:rsidR="007538AA" w:rsidRPr="00546390">
          <w:rPr>
            <w:rStyle w:val="Hyperlink"/>
            <w:noProof/>
            <w:lang w:eastAsia="ar-SA"/>
          </w:rPr>
          <w:t>B.</w:t>
        </w:r>
        <w:r w:rsidR="007538AA">
          <w:rPr>
            <w:rFonts w:asciiTheme="minorHAnsi" w:eastAsiaTheme="minorEastAsia" w:hAnsiTheme="minorHAnsi" w:cstheme="minorBidi"/>
            <w:noProof/>
            <w:sz w:val="22"/>
            <w:lang w:val="en-US"/>
          </w:rPr>
          <w:tab/>
        </w:r>
        <w:r w:rsidR="007538AA" w:rsidRPr="00546390">
          <w:rPr>
            <w:rStyle w:val="Hyperlink"/>
            <w:noProof/>
            <w:lang w:eastAsia="ar-SA"/>
          </w:rPr>
          <w:t>Comparación de las fuentes de ingresos fiscales</w:t>
        </w:r>
        <w:r w:rsidR="007538AA">
          <w:rPr>
            <w:noProof/>
            <w:webHidden/>
          </w:rPr>
          <w:tab/>
        </w:r>
        <w:r>
          <w:rPr>
            <w:noProof/>
            <w:webHidden/>
          </w:rPr>
          <w:fldChar w:fldCharType="begin"/>
        </w:r>
        <w:r w:rsidR="007538AA">
          <w:rPr>
            <w:noProof/>
            <w:webHidden/>
          </w:rPr>
          <w:instrText xml:space="preserve"> PAGEREF _Toc384769747 \h </w:instrText>
        </w:r>
        <w:r w:rsidR="002B5716">
          <w:rPr>
            <w:noProof/>
          </w:rPr>
        </w:r>
        <w:r>
          <w:rPr>
            <w:noProof/>
            <w:webHidden/>
          </w:rPr>
          <w:fldChar w:fldCharType="separate"/>
        </w:r>
        <w:r w:rsidR="00A226D8">
          <w:rPr>
            <w:noProof/>
            <w:webHidden/>
          </w:rPr>
          <w:t>121</w:t>
        </w:r>
        <w:r>
          <w:rPr>
            <w:noProof/>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48" w:history="1">
        <w:r w:rsidR="007538AA" w:rsidRPr="00546390">
          <w:rPr>
            <w:rStyle w:val="Hyperlink"/>
          </w:rPr>
          <w:t>B.1</w:t>
        </w:r>
        <w:r w:rsidR="007538AA">
          <w:rPr>
            <w:rFonts w:asciiTheme="minorHAnsi" w:eastAsiaTheme="minorEastAsia" w:hAnsiTheme="minorHAnsi" w:cstheme="minorBidi"/>
            <w:sz w:val="22"/>
            <w:szCs w:val="22"/>
            <w:lang w:val="en-US"/>
          </w:rPr>
          <w:tab/>
        </w:r>
        <w:r w:rsidR="007538AA" w:rsidRPr="00546390">
          <w:rPr>
            <w:rStyle w:val="Hyperlink"/>
          </w:rPr>
          <w:t>Aportaciones federales</w:t>
        </w:r>
        <w:r w:rsidR="007538AA">
          <w:rPr>
            <w:webHidden/>
          </w:rPr>
          <w:tab/>
        </w:r>
        <w:r>
          <w:rPr>
            <w:webHidden/>
          </w:rPr>
          <w:fldChar w:fldCharType="begin"/>
        </w:r>
        <w:r w:rsidR="007538AA">
          <w:rPr>
            <w:webHidden/>
          </w:rPr>
          <w:instrText xml:space="preserve"> PAGEREF _Toc384769748 \h </w:instrText>
        </w:r>
        <w:r>
          <w:rPr>
            <w:webHidden/>
          </w:rPr>
          <w:fldChar w:fldCharType="separate"/>
        </w:r>
        <w:r w:rsidR="00A226D8">
          <w:rPr>
            <w:webHidden/>
          </w:rPr>
          <w:t>124</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49" w:history="1">
        <w:r w:rsidR="007538AA" w:rsidRPr="00546390">
          <w:rPr>
            <w:rStyle w:val="Hyperlink"/>
            <w:lang w:val="es-ES_tradnl"/>
          </w:rPr>
          <w:t xml:space="preserve">B.2 </w:t>
        </w:r>
        <w:r w:rsidR="007538AA">
          <w:rPr>
            <w:rFonts w:asciiTheme="minorHAnsi" w:eastAsiaTheme="minorEastAsia" w:hAnsiTheme="minorHAnsi" w:cstheme="minorBidi"/>
            <w:sz w:val="22"/>
            <w:szCs w:val="22"/>
            <w:lang w:val="en-US"/>
          </w:rPr>
          <w:tab/>
        </w:r>
        <w:r w:rsidR="007538AA" w:rsidRPr="00546390">
          <w:rPr>
            <w:rStyle w:val="Hyperlink"/>
            <w:lang w:val="es-ES_tradnl"/>
          </w:rPr>
          <w:t>Fuentes de ingreso contributivas</w:t>
        </w:r>
        <w:r w:rsidR="007538AA">
          <w:rPr>
            <w:webHidden/>
          </w:rPr>
          <w:tab/>
        </w:r>
        <w:r>
          <w:rPr>
            <w:webHidden/>
          </w:rPr>
          <w:fldChar w:fldCharType="begin"/>
        </w:r>
        <w:r w:rsidR="007538AA">
          <w:rPr>
            <w:webHidden/>
          </w:rPr>
          <w:instrText xml:space="preserve"> PAGEREF _Toc384769749 \h </w:instrText>
        </w:r>
        <w:r>
          <w:rPr>
            <w:webHidden/>
          </w:rPr>
          <w:fldChar w:fldCharType="separate"/>
        </w:r>
        <w:r w:rsidR="00A226D8">
          <w:rPr>
            <w:webHidden/>
          </w:rPr>
          <w:t>128</w:t>
        </w:r>
        <w:r>
          <w:rPr>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0" w:history="1">
        <w:r w:rsidR="007538AA" w:rsidRPr="00546390">
          <w:rPr>
            <w:rStyle w:val="Hyperlink"/>
            <w:noProof/>
          </w:rPr>
          <w:t xml:space="preserve">C. </w:t>
        </w:r>
        <w:r w:rsidR="007538AA">
          <w:rPr>
            <w:rStyle w:val="Hyperlink"/>
            <w:noProof/>
          </w:rPr>
          <w:tab/>
        </w:r>
        <w:r w:rsidR="007538AA" w:rsidRPr="00546390">
          <w:rPr>
            <w:rStyle w:val="Hyperlink"/>
            <w:noProof/>
          </w:rPr>
          <w:t>Comparación de la carga tributaria</w:t>
        </w:r>
        <w:r w:rsidR="007538AA">
          <w:rPr>
            <w:noProof/>
            <w:webHidden/>
          </w:rPr>
          <w:tab/>
        </w:r>
        <w:r>
          <w:rPr>
            <w:noProof/>
            <w:webHidden/>
          </w:rPr>
          <w:fldChar w:fldCharType="begin"/>
        </w:r>
        <w:r w:rsidR="007538AA">
          <w:rPr>
            <w:noProof/>
            <w:webHidden/>
          </w:rPr>
          <w:instrText xml:space="preserve"> PAGEREF _Toc384769750 \h </w:instrText>
        </w:r>
        <w:r w:rsidR="002B5716">
          <w:rPr>
            <w:noProof/>
          </w:rPr>
        </w:r>
        <w:r>
          <w:rPr>
            <w:noProof/>
            <w:webHidden/>
          </w:rPr>
          <w:fldChar w:fldCharType="separate"/>
        </w:r>
        <w:r w:rsidR="00A226D8">
          <w:rPr>
            <w:noProof/>
            <w:webHidden/>
          </w:rPr>
          <w:t>131</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1" w:history="1">
        <w:r w:rsidR="007538AA" w:rsidRPr="00546390">
          <w:rPr>
            <w:rStyle w:val="Hyperlink"/>
            <w:noProof/>
            <w:lang w:eastAsia="ar-SA"/>
          </w:rPr>
          <w:t xml:space="preserve">D. </w:t>
        </w:r>
        <w:r w:rsidR="007538AA">
          <w:rPr>
            <w:rStyle w:val="Hyperlink"/>
            <w:noProof/>
            <w:lang w:eastAsia="ar-SA"/>
          </w:rPr>
          <w:tab/>
        </w:r>
        <w:r w:rsidR="007538AA" w:rsidRPr="00546390">
          <w:rPr>
            <w:rStyle w:val="Hyperlink"/>
            <w:rFonts w:eastAsia="+mn-ea"/>
            <w:noProof/>
            <w:lang w:eastAsia="ar-SA"/>
          </w:rPr>
          <w:t>Estimaciones del pago de impuestos federales bajo la estadidad</w:t>
        </w:r>
        <w:r w:rsidR="007538AA">
          <w:rPr>
            <w:noProof/>
            <w:webHidden/>
          </w:rPr>
          <w:tab/>
        </w:r>
        <w:r>
          <w:rPr>
            <w:noProof/>
            <w:webHidden/>
          </w:rPr>
          <w:fldChar w:fldCharType="begin"/>
        </w:r>
        <w:r w:rsidR="007538AA">
          <w:rPr>
            <w:noProof/>
            <w:webHidden/>
          </w:rPr>
          <w:instrText xml:space="preserve"> PAGEREF _Toc384769751 \h </w:instrText>
        </w:r>
        <w:r w:rsidR="002B5716">
          <w:rPr>
            <w:noProof/>
          </w:rPr>
        </w:r>
        <w:r>
          <w:rPr>
            <w:noProof/>
            <w:webHidden/>
          </w:rPr>
          <w:fldChar w:fldCharType="separate"/>
        </w:r>
        <w:r w:rsidR="00A226D8">
          <w:rPr>
            <w:noProof/>
            <w:webHidden/>
          </w:rPr>
          <w:t>136</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2" w:history="1">
        <w:r w:rsidR="007538AA" w:rsidRPr="00546390">
          <w:rPr>
            <w:rStyle w:val="Hyperlink"/>
            <w:noProof/>
            <w:lang w:eastAsia="ar-SA"/>
          </w:rPr>
          <w:t>E.</w:t>
        </w:r>
        <w:r w:rsidR="007538AA">
          <w:rPr>
            <w:rFonts w:asciiTheme="minorHAnsi" w:eastAsiaTheme="minorEastAsia" w:hAnsiTheme="minorHAnsi" w:cstheme="minorBidi"/>
            <w:noProof/>
            <w:sz w:val="22"/>
            <w:lang w:val="en-US"/>
          </w:rPr>
          <w:t xml:space="preserve">  </w:t>
        </w:r>
        <w:r w:rsidR="007538AA">
          <w:rPr>
            <w:rFonts w:asciiTheme="minorHAnsi" w:eastAsiaTheme="minorEastAsia" w:hAnsiTheme="minorHAnsi" w:cstheme="minorBidi"/>
            <w:noProof/>
            <w:sz w:val="22"/>
            <w:lang w:val="en-US"/>
          </w:rPr>
          <w:tab/>
        </w:r>
        <w:r w:rsidR="007538AA" w:rsidRPr="00546390">
          <w:rPr>
            <w:rStyle w:val="Hyperlink"/>
            <w:noProof/>
            <w:lang w:eastAsia="ar-SA"/>
          </w:rPr>
          <w:t>Simulaciones de cambios al sistema contributivo bajo la estadidad</w:t>
        </w:r>
        <w:r w:rsidR="007538AA">
          <w:rPr>
            <w:noProof/>
            <w:webHidden/>
          </w:rPr>
          <w:tab/>
        </w:r>
        <w:r>
          <w:rPr>
            <w:noProof/>
            <w:webHidden/>
          </w:rPr>
          <w:fldChar w:fldCharType="begin"/>
        </w:r>
        <w:r w:rsidR="007538AA">
          <w:rPr>
            <w:noProof/>
            <w:webHidden/>
          </w:rPr>
          <w:instrText xml:space="preserve"> PAGEREF _Toc384769752 \h </w:instrText>
        </w:r>
        <w:r w:rsidR="002B5716">
          <w:rPr>
            <w:noProof/>
          </w:rPr>
        </w:r>
        <w:r>
          <w:rPr>
            <w:noProof/>
            <w:webHidden/>
          </w:rPr>
          <w:fldChar w:fldCharType="separate"/>
        </w:r>
        <w:r w:rsidR="00A226D8">
          <w:rPr>
            <w:noProof/>
            <w:webHidden/>
          </w:rPr>
          <w:t>142</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3" w:history="1">
        <w:r w:rsidR="007538AA" w:rsidRPr="00546390">
          <w:rPr>
            <w:rStyle w:val="Hyperlink"/>
            <w:rFonts w:eastAsia="+mn-ea"/>
            <w:noProof/>
            <w:lang w:eastAsia="ar-SA"/>
          </w:rPr>
          <w:t>F.</w:t>
        </w:r>
        <w:r w:rsidR="007538AA">
          <w:rPr>
            <w:rFonts w:asciiTheme="minorHAnsi" w:eastAsiaTheme="minorEastAsia" w:hAnsiTheme="minorHAnsi" w:cstheme="minorBidi"/>
            <w:noProof/>
            <w:sz w:val="22"/>
            <w:lang w:val="en-US"/>
          </w:rPr>
          <w:t xml:space="preserve">  </w:t>
        </w:r>
        <w:r w:rsidR="007538AA">
          <w:rPr>
            <w:rFonts w:asciiTheme="minorHAnsi" w:eastAsiaTheme="minorEastAsia" w:hAnsiTheme="minorHAnsi" w:cstheme="minorBidi"/>
            <w:noProof/>
            <w:sz w:val="22"/>
            <w:lang w:val="en-US"/>
          </w:rPr>
          <w:tab/>
        </w:r>
        <w:r w:rsidR="007538AA" w:rsidRPr="00546390">
          <w:rPr>
            <w:rStyle w:val="Hyperlink"/>
            <w:rFonts w:eastAsia="+mn-ea"/>
            <w:noProof/>
            <w:lang w:eastAsia="ar-SA"/>
          </w:rPr>
          <w:t>Comparación de la deuda pública</w:t>
        </w:r>
        <w:r w:rsidR="007538AA">
          <w:rPr>
            <w:noProof/>
            <w:webHidden/>
          </w:rPr>
          <w:tab/>
        </w:r>
        <w:r>
          <w:rPr>
            <w:noProof/>
            <w:webHidden/>
          </w:rPr>
          <w:fldChar w:fldCharType="begin"/>
        </w:r>
        <w:r w:rsidR="007538AA">
          <w:rPr>
            <w:noProof/>
            <w:webHidden/>
          </w:rPr>
          <w:instrText xml:space="preserve"> PAGEREF _Toc384769753 \h </w:instrText>
        </w:r>
        <w:r w:rsidR="002B5716">
          <w:rPr>
            <w:noProof/>
          </w:rPr>
        </w:r>
        <w:r>
          <w:rPr>
            <w:noProof/>
            <w:webHidden/>
          </w:rPr>
          <w:fldChar w:fldCharType="separate"/>
        </w:r>
        <w:r w:rsidR="00A226D8">
          <w:rPr>
            <w:noProof/>
            <w:webHidden/>
          </w:rPr>
          <w:t>145</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4" w:history="1">
        <w:r w:rsidR="007538AA" w:rsidRPr="00546390">
          <w:rPr>
            <w:rStyle w:val="Hyperlink"/>
            <w:rFonts w:eastAsia="+mn-ea"/>
            <w:noProof/>
            <w:lang w:eastAsia="ar-SA"/>
          </w:rPr>
          <w:t>G.</w:t>
        </w:r>
        <w:r w:rsidR="007538AA">
          <w:rPr>
            <w:rFonts w:asciiTheme="minorHAnsi" w:eastAsiaTheme="minorEastAsia" w:hAnsiTheme="minorHAnsi" w:cstheme="minorBidi"/>
            <w:noProof/>
            <w:sz w:val="22"/>
            <w:lang w:val="en-US"/>
          </w:rPr>
          <w:t xml:space="preserve">  </w:t>
        </w:r>
        <w:r w:rsidR="007538AA">
          <w:rPr>
            <w:rFonts w:asciiTheme="minorHAnsi" w:eastAsiaTheme="minorEastAsia" w:hAnsiTheme="minorHAnsi" w:cstheme="minorBidi"/>
            <w:noProof/>
            <w:sz w:val="22"/>
            <w:lang w:val="en-US"/>
          </w:rPr>
          <w:tab/>
        </w:r>
        <w:r w:rsidR="007538AA" w:rsidRPr="00546390">
          <w:rPr>
            <w:rStyle w:val="Hyperlink"/>
            <w:rFonts w:eastAsia="+mn-ea"/>
            <w:noProof/>
            <w:lang w:eastAsia="ar-SA"/>
          </w:rPr>
          <w:t>Comparación de las partidas del gasto público</w:t>
        </w:r>
        <w:r w:rsidR="007538AA">
          <w:rPr>
            <w:noProof/>
            <w:webHidden/>
          </w:rPr>
          <w:tab/>
        </w:r>
        <w:r>
          <w:rPr>
            <w:noProof/>
            <w:webHidden/>
          </w:rPr>
          <w:fldChar w:fldCharType="begin"/>
        </w:r>
        <w:r w:rsidR="007538AA">
          <w:rPr>
            <w:noProof/>
            <w:webHidden/>
          </w:rPr>
          <w:instrText xml:space="preserve"> PAGEREF _Toc384769754 \h </w:instrText>
        </w:r>
        <w:r w:rsidR="002B5716">
          <w:rPr>
            <w:noProof/>
          </w:rPr>
        </w:r>
        <w:r>
          <w:rPr>
            <w:noProof/>
            <w:webHidden/>
          </w:rPr>
          <w:fldChar w:fldCharType="separate"/>
        </w:r>
        <w:r w:rsidR="00A226D8">
          <w:rPr>
            <w:noProof/>
            <w:webHidden/>
          </w:rPr>
          <w:t>147</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5" w:history="1">
        <w:r w:rsidR="007538AA" w:rsidRPr="00546390">
          <w:rPr>
            <w:rStyle w:val="Hyperlink"/>
            <w:noProof/>
            <w:lang w:eastAsia="ar-SA"/>
          </w:rPr>
          <w:t>H.</w:t>
        </w:r>
        <w:r w:rsidR="007538AA">
          <w:rPr>
            <w:rFonts w:asciiTheme="minorHAnsi" w:eastAsiaTheme="minorEastAsia" w:hAnsiTheme="minorHAnsi" w:cstheme="minorBidi"/>
            <w:noProof/>
            <w:sz w:val="22"/>
            <w:lang w:val="en-US"/>
          </w:rPr>
          <w:t xml:space="preserve">  </w:t>
        </w:r>
        <w:r w:rsidR="007538AA">
          <w:rPr>
            <w:rFonts w:asciiTheme="minorHAnsi" w:eastAsiaTheme="minorEastAsia" w:hAnsiTheme="minorHAnsi" w:cstheme="minorBidi"/>
            <w:noProof/>
            <w:sz w:val="22"/>
            <w:lang w:val="en-US"/>
          </w:rPr>
          <w:tab/>
        </w:r>
        <w:r w:rsidR="007538AA" w:rsidRPr="00546390">
          <w:rPr>
            <w:rStyle w:val="Hyperlink"/>
            <w:noProof/>
            <w:lang w:eastAsia="ar-SA"/>
          </w:rPr>
          <w:t>Comparación del tamaño del Gobierno</w:t>
        </w:r>
        <w:r w:rsidR="007538AA">
          <w:rPr>
            <w:noProof/>
            <w:webHidden/>
          </w:rPr>
          <w:tab/>
        </w:r>
        <w:r>
          <w:rPr>
            <w:noProof/>
            <w:webHidden/>
          </w:rPr>
          <w:fldChar w:fldCharType="begin"/>
        </w:r>
        <w:r w:rsidR="007538AA">
          <w:rPr>
            <w:noProof/>
            <w:webHidden/>
          </w:rPr>
          <w:instrText xml:space="preserve"> PAGEREF _Toc384769755 \h </w:instrText>
        </w:r>
        <w:r w:rsidR="002B5716">
          <w:rPr>
            <w:noProof/>
          </w:rPr>
        </w:r>
        <w:r>
          <w:rPr>
            <w:noProof/>
            <w:webHidden/>
          </w:rPr>
          <w:fldChar w:fldCharType="separate"/>
        </w:r>
        <w:r w:rsidR="00A226D8">
          <w:rPr>
            <w:noProof/>
            <w:webHidden/>
          </w:rPr>
          <w:t>152</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6" w:history="1">
        <w:r w:rsidR="007538AA" w:rsidRPr="00546390">
          <w:rPr>
            <w:rStyle w:val="Hyperlink"/>
            <w:noProof/>
            <w:lang w:eastAsia="ar-SA"/>
          </w:rPr>
          <w:t>I.</w:t>
        </w:r>
        <w:r w:rsidR="007538AA">
          <w:rPr>
            <w:rFonts w:asciiTheme="minorHAnsi" w:eastAsiaTheme="minorEastAsia" w:hAnsiTheme="minorHAnsi" w:cstheme="minorBidi"/>
            <w:noProof/>
            <w:sz w:val="22"/>
            <w:lang w:val="en-US"/>
          </w:rPr>
          <w:t xml:space="preserve">  </w:t>
        </w:r>
        <w:r w:rsidR="007538AA">
          <w:rPr>
            <w:rFonts w:asciiTheme="minorHAnsi" w:eastAsiaTheme="minorEastAsia" w:hAnsiTheme="minorHAnsi" w:cstheme="minorBidi"/>
            <w:noProof/>
            <w:sz w:val="22"/>
            <w:lang w:val="en-US"/>
          </w:rPr>
          <w:tab/>
        </w:r>
        <w:r w:rsidR="007538AA" w:rsidRPr="00546390">
          <w:rPr>
            <w:rStyle w:val="Hyperlink"/>
            <w:noProof/>
            <w:lang w:eastAsia="ar-SA"/>
          </w:rPr>
          <w:t>Conclusiones</w:t>
        </w:r>
        <w:r w:rsidR="007538AA">
          <w:rPr>
            <w:noProof/>
            <w:webHidden/>
          </w:rPr>
          <w:tab/>
        </w:r>
        <w:r>
          <w:rPr>
            <w:noProof/>
            <w:webHidden/>
          </w:rPr>
          <w:fldChar w:fldCharType="begin"/>
        </w:r>
        <w:r w:rsidR="007538AA">
          <w:rPr>
            <w:noProof/>
            <w:webHidden/>
          </w:rPr>
          <w:instrText xml:space="preserve"> PAGEREF _Toc384769756 \h </w:instrText>
        </w:r>
        <w:r w:rsidR="002B5716">
          <w:rPr>
            <w:noProof/>
          </w:rPr>
        </w:r>
        <w:r>
          <w:rPr>
            <w:noProof/>
            <w:webHidden/>
          </w:rPr>
          <w:fldChar w:fldCharType="separate"/>
        </w:r>
        <w:r w:rsidR="00A226D8">
          <w:rPr>
            <w:noProof/>
            <w:webHidden/>
          </w:rPr>
          <w:t>153</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7" w:history="1">
        <w:r w:rsidR="007538AA" w:rsidRPr="00546390">
          <w:rPr>
            <w:rStyle w:val="Hyperlink"/>
            <w:noProof/>
            <w:lang w:val="en-US" w:eastAsia="ar-SA"/>
          </w:rPr>
          <w:t>Referencias</w:t>
        </w:r>
        <w:r w:rsidR="007538AA">
          <w:rPr>
            <w:noProof/>
            <w:webHidden/>
          </w:rPr>
          <w:tab/>
        </w:r>
        <w:r>
          <w:rPr>
            <w:noProof/>
            <w:webHidden/>
          </w:rPr>
          <w:fldChar w:fldCharType="begin"/>
        </w:r>
        <w:r w:rsidR="007538AA">
          <w:rPr>
            <w:noProof/>
            <w:webHidden/>
          </w:rPr>
          <w:instrText xml:space="preserve"> PAGEREF _Toc384769757 \h </w:instrText>
        </w:r>
        <w:r w:rsidR="002B5716">
          <w:rPr>
            <w:noProof/>
          </w:rPr>
        </w:r>
        <w:r>
          <w:rPr>
            <w:noProof/>
            <w:webHidden/>
          </w:rPr>
          <w:fldChar w:fldCharType="separate"/>
        </w:r>
        <w:r w:rsidR="00A226D8">
          <w:rPr>
            <w:noProof/>
            <w:webHidden/>
          </w:rPr>
          <w:t>156</w:t>
        </w:r>
        <w:r>
          <w:rPr>
            <w:noProof/>
            <w:webHidden/>
          </w:rPr>
          <w:fldChar w:fldCharType="end"/>
        </w:r>
      </w:hyperlink>
    </w:p>
    <w:p w:rsidR="007538AA" w:rsidRDefault="008964A4" w:rsidP="007538AA">
      <w:pPr>
        <w:pStyle w:val="TOC1"/>
        <w:tabs>
          <w:tab w:val="left" w:pos="90"/>
        </w:tabs>
        <w:rPr>
          <w:rFonts w:asciiTheme="minorHAnsi" w:eastAsiaTheme="minorEastAsia" w:hAnsiTheme="minorHAnsi" w:cstheme="minorBidi"/>
          <w:b w:val="0"/>
          <w:noProof/>
          <w:sz w:val="22"/>
          <w:szCs w:val="22"/>
          <w:lang w:val="en-US"/>
        </w:rPr>
      </w:pPr>
      <w:hyperlink w:anchor="_Toc384769758" w:history="1">
        <w:r w:rsidR="007538AA" w:rsidRPr="00546390">
          <w:rPr>
            <w:rStyle w:val="Hyperlink"/>
            <w:noProof/>
          </w:rPr>
          <w:t>Capítulo 4: Implicaciones de la estadidad para el comercio exterior y el sector empresarial</w:t>
        </w:r>
        <w:r w:rsidR="007538AA">
          <w:rPr>
            <w:noProof/>
            <w:webHidden/>
          </w:rPr>
          <w:tab/>
        </w:r>
        <w:r>
          <w:rPr>
            <w:noProof/>
            <w:webHidden/>
          </w:rPr>
          <w:fldChar w:fldCharType="begin"/>
        </w:r>
        <w:r w:rsidR="007538AA">
          <w:rPr>
            <w:noProof/>
            <w:webHidden/>
          </w:rPr>
          <w:instrText xml:space="preserve"> PAGEREF _Toc384769758 \h </w:instrText>
        </w:r>
        <w:r w:rsidR="002B5716">
          <w:rPr>
            <w:noProof/>
          </w:rPr>
        </w:r>
        <w:r>
          <w:rPr>
            <w:noProof/>
            <w:webHidden/>
          </w:rPr>
          <w:fldChar w:fldCharType="separate"/>
        </w:r>
        <w:r w:rsidR="00A226D8">
          <w:rPr>
            <w:noProof/>
            <w:webHidden/>
          </w:rPr>
          <w:t>161</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59" w:history="1">
        <w:r w:rsidR="007538AA" w:rsidRPr="00546390">
          <w:rPr>
            <w:rStyle w:val="Hyperlink"/>
            <w:noProof/>
          </w:rPr>
          <w:t>A.</w:t>
        </w:r>
        <w:r w:rsidR="007538AA">
          <w:rPr>
            <w:rFonts w:asciiTheme="minorHAnsi" w:eastAsiaTheme="minorEastAsia" w:hAnsiTheme="minorHAnsi" w:cstheme="minorBidi"/>
            <w:noProof/>
            <w:sz w:val="22"/>
            <w:lang w:val="en-US"/>
          </w:rPr>
          <w:tab/>
        </w:r>
        <w:r w:rsidR="007538AA" w:rsidRPr="00546390">
          <w:rPr>
            <w:rStyle w:val="Hyperlink"/>
            <w:noProof/>
          </w:rPr>
          <w:t>Introducción</w:t>
        </w:r>
        <w:r w:rsidR="007538AA">
          <w:rPr>
            <w:noProof/>
            <w:webHidden/>
          </w:rPr>
          <w:tab/>
        </w:r>
        <w:r>
          <w:rPr>
            <w:noProof/>
            <w:webHidden/>
          </w:rPr>
          <w:fldChar w:fldCharType="begin"/>
        </w:r>
        <w:r w:rsidR="007538AA">
          <w:rPr>
            <w:noProof/>
            <w:webHidden/>
          </w:rPr>
          <w:instrText xml:space="preserve"> PAGEREF _Toc384769759 \h </w:instrText>
        </w:r>
        <w:r w:rsidR="002B5716">
          <w:rPr>
            <w:noProof/>
          </w:rPr>
        </w:r>
        <w:r>
          <w:rPr>
            <w:noProof/>
            <w:webHidden/>
          </w:rPr>
          <w:fldChar w:fldCharType="separate"/>
        </w:r>
        <w:r w:rsidR="00A226D8">
          <w:rPr>
            <w:noProof/>
            <w:webHidden/>
          </w:rPr>
          <w:t>161</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60" w:history="1">
        <w:r w:rsidR="007538AA" w:rsidRPr="00546390">
          <w:rPr>
            <w:rStyle w:val="Hyperlink"/>
            <w:noProof/>
          </w:rPr>
          <w:t>B.</w:t>
        </w:r>
        <w:r w:rsidR="007538AA">
          <w:rPr>
            <w:rFonts w:asciiTheme="minorHAnsi" w:eastAsiaTheme="minorEastAsia" w:hAnsiTheme="minorHAnsi" w:cstheme="minorBidi"/>
            <w:noProof/>
            <w:sz w:val="22"/>
            <w:lang w:val="en-US"/>
          </w:rPr>
          <w:tab/>
        </w:r>
        <w:r w:rsidR="007538AA" w:rsidRPr="00546390">
          <w:rPr>
            <w:rStyle w:val="Hyperlink"/>
            <w:noProof/>
          </w:rPr>
          <w:t>Tendencias en las exportaciones de Puerto Rico</w:t>
        </w:r>
        <w:r w:rsidR="007538AA">
          <w:rPr>
            <w:noProof/>
            <w:webHidden/>
          </w:rPr>
          <w:tab/>
        </w:r>
        <w:r>
          <w:rPr>
            <w:noProof/>
            <w:webHidden/>
          </w:rPr>
          <w:fldChar w:fldCharType="begin"/>
        </w:r>
        <w:r w:rsidR="007538AA">
          <w:rPr>
            <w:noProof/>
            <w:webHidden/>
          </w:rPr>
          <w:instrText xml:space="preserve"> PAGEREF _Toc384769760 \h </w:instrText>
        </w:r>
        <w:r w:rsidR="002B5716">
          <w:rPr>
            <w:noProof/>
          </w:rPr>
        </w:r>
        <w:r>
          <w:rPr>
            <w:noProof/>
            <w:webHidden/>
          </w:rPr>
          <w:fldChar w:fldCharType="separate"/>
        </w:r>
        <w:r w:rsidR="00A226D8">
          <w:rPr>
            <w:noProof/>
            <w:webHidden/>
          </w:rPr>
          <w:t>162</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61" w:history="1">
        <w:r w:rsidR="007538AA" w:rsidRPr="00546390">
          <w:rPr>
            <w:rStyle w:val="Hyperlink"/>
            <w:noProof/>
          </w:rPr>
          <w:t>C.</w:t>
        </w:r>
        <w:r w:rsidR="007538AA">
          <w:rPr>
            <w:rFonts w:asciiTheme="minorHAnsi" w:eastAsiaTheme="minorEastAsia" w:hAnsiTheme="minorHAnsi" w:cstheme="minorBidi"/>
            <w:noProof/>
            <w:sz w:val="22"/>
            <w:lang w:val="en-US"/>
          </w:rPr>
          <w:tab/>
        </w:r>
        <w:r w:rsidR="007538AA" w:rsidRPr="00546390">
          <w:rPr>
            <w:rStyle w:val="Hyperlink"/>
            <w:noProof/>
          </w:rPr>
          <w:t>Tendencias en las importaciones de Puerto Rico</w:t>
        </w:r>
        <w:r w:rsidR="007538AA">
          <w:rPr>
            <w:noProof/>
            <w:webHidden/>
          </w:rPr>
          <w:tab/>
        </w:r>
        <w:r>
          <w:rPr>
            <w:noProof/>
            <w:webHidden/>
          </w:rPr>
          <w:fldChar w:fldCharType="begin"/>
        </w:r>
        <w:r w:rsidR="007538AA">
          <w:rPr>
            <w:noProof/>
            <w:webHidden/>
          </w:rPr>
          <w:instrText xml:space="preserve"> PAGEREF _Toc384769761 \h </w:instrText>
        </w:r>
        <w:r w:rsidR="002B5716">
          <w:rPr>
            <w:noProof/>
          </w:rPr>
        </w:r>
        <w:r>
          <w:rPr>
            <w:noProof/>
            <w:webHidden/>
          </w:rPr>
          <w:fldChar w:fldCharType="separate"/>
        </w:r>
        <w:r w:rsidR="00A226D8">
          <w:rPr>
            <w:noProof/>
            <w:webHidden/>
          </w:rPr>
          <w:t>166</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62" w:history="1">
        <w:r w:rsidR="007538AA" w:rsidRPr="00546390">
          <w:rPr>
            <w:rStyle w:val="Hyperlink"/>
            <w:noProof/>
          </w:rPr>
          <w:t>D.</w:t>
        </w:r>
        <w:r w:rsidR="007538AA">
          <w:rPr>
            <w:rFonts w:asciiTheme="minorHAnsi" w:eastAsiaTheme="minorEastAsia" w:hAnsiTheme="minorHAnsi" w:cstheme="minorBidi"/>
            <w:noProof/>
            <w:sz w:val="22"/>
            <w:lang w:val="en-US"/>
          </w:rPr>
          <w:tab/>
        </w:r>
        <w:r w:rsidR="007538AA" w:rsidRPr="00546390">
          <w:rPr>
            <w:rStyle w:val="Hyperlink"/>
            <w:noProof/>
          </w:rPr>
          <w:t>Los tratados comerciales de Estados Unidos y su efecto en Puerto Rico</w:t>
        </w:r>
        <w:r w:rsidR="007538AA">
          <w:rPr>
            <w:noProof/>
            <w:webHidden/>
          </w:rPr>
          <w:tab/>
        </w:r>
        <w:r>
          <w:rPr>
            <w:noProof/>
            <w:webHidden/>
          </w:rPr>
          <w:fldChar w:fldCharType="begin"/>
        </w:r>
        <w:r w:rsidR="007538AA">
          <w:rPr>
            <w:noProof/>
            <w:webHidden/>
          </w:rPr>
          <w:instrText xml:space="preserve"> PAGEREF _Toc384769762 \h </w:instrText>
        </w:r>
        <w:r w:rsidR="002B5716">
          <w:rPr>
            <w:noProof/>
          </w:rPr>
        </w:r>
        <w:r>
          <w:rPr>
            <w:noProof/>
            <w:webHidden/>
          </w:rPr>
          <w:fldChar w:fldCharType="separate"/>
        </w:r>
        <w:r w:rsidR="00A226D8">
          <w:rPr>
            <w:noProof/>
            <w:webHidden/>
          </w:rPr>
          <w:t>167</w:t>
        </w:r>
        <w:r>
          <w:rPr>
            <w:noProof/>
            <w:webHidden/>
          </w:rPr>
          <w:fldChar w:fldCharType="end"/>
        </w:r>
      </w:hyperlink>
    </w:p>
    <w:p w:rsidR="007538AA" w:rsidRDefault="008964A4" w:rsidP="007538AA">
      <w:pPr>
        <w:pStyle w:val="TOC2"/>
        <w:tabs>
          <w:tab w:val="left" w:pos="90"/>
        </w:tabs>
        <w:rPr>
          <w:rFonts w:asciiTheme="minorHAnsi" w:eastAsiaTheme="minorEastAsia" w:hAnsiTheme="minorHAnsi" w:cstheme="minorBidi"/>
          <w:noProof/>
          <w:sz w:val="22"/>
          <w:lang w:val="en-US"/>
        </w:rPr>
      </w:pPr>
      <w:hyperlink w:anchor="_Toc384769763" w:history="1">
        <w:r w:rsidR="007538AA" w:rsidRPr="00546390">
          <w:rPr>
            <w:rStyle w:val="Hyperlink"/>
            <w:noProof/>
          </w:rPr>
          <w:t>E.</w:t>
        </w:r>
        <w:r w:rsidR="007538AA">
          <w:rPr>
            <w:rFonts w:asciiTheme="minorHAnsi" w:eastAsiaTheme="minorEastAsia" w:hAnsiTheme="minorHAnsi" w:cstheme="minorBidi"/>
            <w:noProof/>
            <w:sz w:val="22"/>
            <w:lang w:val="en-US"/>
          </w:rPr>
          <w:tab/>
        </w:r>
        <w:r w:rsidR="007538AA" w:rsidRPr="00546390">
          <w:rPr>
            <w:rStyle w:val="Hyperlink"/>
            <w:noProof/>
          </w:rPr>
          <w:t>Internacionalización y diversificación</w:t>
        </w:r>
        <w:r w:rsidR="007538AA">
          <w:rPr>
            <w:noProof/>
            <w:webHidden/>
          </w:rPr>
          <w:tab/>
        </w:r>
        <w:r>
          <w:rPr>
            <w:noProof/>
            <w:webHidden/>
          </w:rPr>
          <w:fldChar w:fldCharType="begin"/>
        </w:r>
        <w:r w:rsidR="007538AA">
          <w:rPr>
            <w:noProof/>
            <w:webHidden/>
          </w:rPr>
          <w:instrText xml:space="preserve"> PAGEREF _Toc384769763 \h </w:instrText>
        </w:r>
        <w:r w:rsidR="002B5716">
          <w:rPr>
            <w:noProof/>
          </w:rPr>
        </w:r>
        <w:r>
          <w:rPr>
            <w:noProof/>
            <w:webHidden/>
          </w:rPr>
          <w:fldChar w:fldCharType="separate"/>
        </w:r>
        <w:r w:rsidR="00A226D8">
          <w:rPr>
            <w:noProof/>
            <w:webHidden/>
          </w:rPr>
          <w:t>172</w:t>
        </w:r>
        <w:r>
          <w:rPr>
            <w:noProof/>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64" w:history="1">
        <w:r w:rsidR="007538AA" w:rsidRPr="00546390">
          <w:rPr>
            <w:rStyle w:val="Hyperlink"/>
            <w:lang w:val="es-AR"/>
          </w:rPr>
          <w:t xml:space="preserve">E.1. </w:t>
        </w:r>
        <w:r w:rsidR="007538AA">
          <w:rPr>
            <w:rFonts w:asciiTheme="minorHAnsi" w:eastAsiaTheme="minorEastAsia" w:hAnsiTheme="minorHAnsi" w:cstheme="minorBidi"/>
            <w:sz w:val="22"/>
            <w:szCs w:val="22"/>
            <w:lang w:val="en-US"/>
          </w:rPr>
          <w:tab/>
        </w:r>
        <w:r w:rsidR="007538AA" w:rsidRPr="00546390">
          <w:rPr>
            <w:rStyle w:val="Hyperlink"/>
            <w:lang w:val="es-AR"/>
          </w:rPr>
          <w:t>Tratados Comerciales en Las Américas: pertinencia y posibilidades para Puerto Rico</w:t>
        </w:r>
        <w:r w:rsidR="007538AA">
          <w:rPr>
            <w:webHidden/>
          </w:rPr>
          <w:tab/>
        </w:r>
        <w:r>
          <w:rPr>
            <w:webHidden/>
          </w:rPr>
          <w:fldChar w:fldCharType="begin"/>
        </w:r>
        <w:r w:rsidR="007538AA">
          <w:rPr>
            <w:webHidden/>
          </w:rPr>
          <w:instrText xml:space="preserve"> PAGEREF _Toc384769764 \h </w:instrText>
        </w:r>
        <w:r>
          <w:rPr>
            <w:webHidden/>
          </w:rPr>
          <w:fldChar w:fldCharType="separate"/>
        </w:r>
        <w:r w:rsidR="00A226D8">
          <w:rPr>
            <w:webHidden/>
          </w:rPr>
          <w:t>172</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65" w:history="1">
        <w:r w:rsidR="007538AA" w:rsidRPr="00546390">
          <w:rPr>
            <w:rStyle w:val="Hyperlink"/>
            <w:shd w:val="clear" w:color="auto" w:fill="FFFFFF"/>
          </w:rPr>
          <w:t xml:space="preserve">E.2. </w:t>
        </w:r>
        <w:r w:rsidR="007538AA">
          <w:rPr>
            <w:rFonts w:asciiTheme="minorHAnsi" w:eastAsiaTheme="minorEastAsia" w:hAnsiTheme="minorHAnsi" w:cstheme="minorBidi"/>
            <w:sz w:val="22"/>
            <w:szCs w:val="22"/>
            <w:lang w:val="en-US"/>
          </w:rPr>
          <w:tab/>
        </w:r>
        <w:r w:rsidR="007538AA" w:rsidRPr="00546390">
          <w:rPr>
            <w:rStyle w:val="Hyperlink"/>
            <w:shd w:val="clear" w:color="auto" w:fill="FFFFFF"/>
          </w:rPr>
          <w:t xml:space="preserve"> Exportaciones de Puerto Rico a diversos bloques regionales</w:t>
        </w:r>
        <w:r w:rsidR="007538AA">
          <w:rPr>
            <w:webHidden/>
          </w:rPr>
          <w:tab/>
        </w:r>
        <w:r>
          <w:rPr>
            <w:webHidden/>
          </w:rPr>
          <w:fldChar w:fldCharType="begin"/>
        </w:r>
        <w:r w:rsidR="007538AA">
          <w:rPr>
            <w:webHidden/>
          </w:rPr>
          <w:instrText xml:space="preserve"> PAGEREF _Toc384769765 \h </w:instrText>
        </w:r>
        <w:r>
          <w:rPr>
            <w:webHidden/>
          </w:rPr>
          <w:fldChar w:fldCharType="separate"/>
        </w:r>
        <w:r w:rsidR="00A226D8">
          <w:rPr>
            <w:webHidden/>
          </w:rPr>
          <w:t>176</w:t>
        </w:r>
        <w:r>
          <w:rPr>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66" w:history="1">
        <w:r w:rsidR="007538AA" w:rsidRPr="00546390">
          <w:rPr>
            <w:rStyle w:val="Hyperlink"/>
            <w:noProof/>
          </w:rPr>
          <w:t>F.</w:t>
        </w:r>
        <w:r w:rsidR="007538AA">
          <w:rPr>
            <w:rFonts w:asciiTheme="minorHAnsi" w:eastAsiaTheme="minorEastAsia" w:hAnsiTheme="minorHAnsi" w:cstheme="minorBidi"/>
            <w:noProof/>
            <w:sz w:val="22"/>
            <w:lang w:val="en-US"/>
          </w:rPr>
          <w:tab/>
        </w:r>
        <w:r w:rsidR="007538AA" w:rsidRPr="00546390">
          <w:rPr>
            <w:rStyle w:val="Hyperlink"/>
            <w:noProof/>
          </w:rPr>
          <w:t>Una estrategia para Puerto Rico</w:t>
        </w:r>
        <w:r w:rsidR="007538AA">
          <w:rPr>
            <w:noProof/>
            <w:webHidden/>
          </w:rPr>
          <w:tab/>
        </w:r>
        <w:r>
          <w:rPr>
            <w:noProof/>
            <w:webHidden/>
          </w:rPr>
          <w:fldChar w:fldCharType="begin"/>
        </w:r>
        <w:r w:rsidR="007538AA">
          <w:rPr>
            <w:noProof/>
            <w:webHidden/>
          </w:rPr>
          <w:instrText xml:space="preserve"> PAGEREF _Toc384769766 \h </w:instrText>
        </w:r>
        <w:r w:rsidR="002B5716">
          <w:rPr>
            <w:noProof/>
          </w:rPr>
        </w:r>
        <w:r>
          <w:rPr>
            <w:noProof/>
            <w:webHidden/>
          </w:rPr>
          <w:fldChar w:fldCharType="separate"/>
        </w:r>
        <w:r w:rsidR="00A226D8">
          <w:rPr>
            <w:noProof/>
            <w:webHidden/>
          </w:rPr>
          <w:t>178</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67" w:history="1">
        <w:r w:rsidR="007538AA" w:rsidRPr="00546390">
          <w:rPr>
            <w:rStyle w:val="Hyperlink"/>
            <w:noProof/>
          </w:rPr>
          <w:t>Referencias:</w:t>
        </w:r>
        <w:r w:rsidR="007538AA">
          <w:rPr>
            <w:noProof/>
            <w:webHidden/>
          </w:rPr>
          <w:tab/>
        </w:r>
        <w:r>
          <w:rPr>
            <w:noProof/>
            <w:webHidden/>
          </w:rPr>
          <w:fldChar w:fldCharType="begin"/>
        </w:r>
        <w:r w:rsidR="007538AA">
          <w:rPr>
            <w:noProof/>
            <w:webHidden/>
          </w:rPr>
          <w:instrText xml:space="preserve"> PAGEREF _Toc384769767 \h </w:instrText>
        </w:r>
        <w:r w:rsidR="002B5716">
          <w:rPr>
            <w:noProof/>
          </w:rPr>
        </w:r>
        <w:r>
          <w:rPr>
            <w:noProof/>
            <w:webHidden/>
          </w:rPr>
          <w:fldChar w:fldCharType="separate"/>
        </w:r>
        <w:r w:rsidR="00A226D8">
          <w:rPr>
            <w:noProof/>
            <w:webHidden/>
          </w:rPr>
          <w:t>180</w:t>
        </w:r>
        <w:r>
          <w:rPr>
            <w:noProof/>
            <w:webHidden/>
          </w:rPr>
          <w:fldChar w:fldCharType="end"/>
        </w:r>
      </w:hyperlink>
    </w:p>
    <w:p w:rsidR="007538AA" w:rsidRDefault="008964A4">
      <w:pPr>
        <w:pStyle w:val="TOC1"/>
        <w:rPr>
          <w:rFonts w:asciiTheme="minorHAnsi" w:eastAsiaTheme="minorEastAsia" w:hAnsiTheme="minorHAnsi" w:cstheme="minorBidi"/>
          <w:b w:val="0"/>
          <w:noProof/>
          <w:sz w:val="22"/>
          <w:szCs w:val="22"/>
          <w:lang w:val="en-US"/>
        </w:rPr>
      </w:pPr>
      <w:hyperlink w:anchor="_Toc384769768" w:history="1">
        <w:r w:rsidR="007538AA" w:rsidRPr="00546390">
          <w:rPr>
            <w:rStyle w:val="Hyperlink"/>
            <w:noProof/>
          </w:rPr>
          <w:t>Capítulo 5: La perspectiva de la competitividad en el tema de la estadidad</w:t>
        </w:r>
        <w:r w:rsidR="007538AA">
          <w:rPr>
            <w:noProof/>
            <w:webHidden/>
          </w:rPr>
          <w:tab/>
        </w:r>
        <w:r>
          <w:rPr>
            <w:noProof/>
            <w:webHidden/>
          </w:rPr>
          <w:fldChar w:fldCharType="begin"/>
        </w:r>
        <w:r w:rsidR="007538AA">
          <w:rPr>
            <w:noProof/>
            <w:webHidden/>
          </w:rPr>
          <w:instrText xml:space="preserve"> PAGEREF _Toc384769768 \h </w:instrText>
        </w:r>
        <w:r w:rsidR="002B5716">
          <w:rPr>
            <w:noProof/>
          </w:rPr>
        </w:r>
        <w:r>
          <w:rPr>
            <w:noProof/>
            <w:webHidden/>
          </w:rPr>
          <w:fldChar w:fldCharType="separate"/>
        </w:r>
        <w:r w:rsidR="00A226D8">
          <w:rPr>
            <w:noProof/>
            <w:webHidden/>
          </w:rPr>
          <w:t>184</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69" w:history="1">
        <w:r w:rsidR="007538AA" w:rsidRPr="00546390">
          <w:rPr>
            <w:rStyle w:val="Hyperlink"/>
            <w:rFonts w:eastAsia="Calibri"/>
            <w:noProof/>
          </w:rPr>
          <w:t>A.</w:t>
        </w:r>
        <w:r w:rsidR="007538AA">
          <w:rPr>
            <w:rFonts w:asciiTheme="minorHAnsi" w:eastAsiaTheme="minorEastAsia" w:hAnsiTheme="minorHAnsi" w:cstheme="minorBidi"/>
            <w:noProof/>
            <w:sz w:val="22"/>
            <w:lang w:val="en-US"/>
          </w:rPr>
          <w:tab/>
        </w:r>
        <w:r w:rsidR="007538AA" w:rsidRPr="00546390">
          <w:rPr>
            <w:rStyle w:val="Hyperlink"/>
            <w:rFonts w:eastAsia="Calibri"/>
            <w:noProof/>
          </w:rPr>
          <w:t>Introducción</w:t>
        </w:r>
        <w:r w:rsidR="007538AA">
          <w:rPr>
            <w:noProof/>
            <w:webHidden/>
          </w:rPr>
          <w:tab/>
        </w:r>
        <w:r>
          <w:rPr>
            <w:noProof/>
            <w:webHidden/>
          </w:rPr>
          <w:fldChar w:fldCharType="begin"/>
        </w:r>
        <w:r w:rsidR="007538AA">
          <w:rPr>
            <w:noProof/>
            <w:webHidden/>
          </w:rPr>
          <w:instrText xml:space="preserve"> PAGEREF _Toc384769769 \h </w:instrText>
        </w:r>
        <w:r w:rsidR="002B5716">
          <w:rPr>
            <w:noProof/>
          </w:rPr>
        </w:r>
        <w:r>
          <w:rPr>
            <w:noProof/>
            <w:webHidden/>
          </w:rPr>
          <w:fldChar w:fldCharType="separate"/>
        </w:r>
        <w:r w:rsidR="00A226D8">
          <w:rPr>
            <w:noProof/>
            <w:webHidden/>
          </w:rPr>
          <w:t>184</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70" w:history="1">
        <w:r w:rsidR="007538AA" w:rsidRPr="00546390">
          <w:rPr>
            <w:rStyle w:val="Hyperlink"/>
            <w:noProof/>
          </w:rPr>
          <w:t>B.</w:t>
        </w:r>
        <w:r w:rsidR="007538AA">
          <w:rPr>
            <w:rFonts w:asciiTheme="minorHAnsi" w:eastAsiaTheme="minorEastAsia" w:hAnsiTheme="minorHAnsi" w:cstheme="minorBidi"/>
            <w:noProof/>
            <w:sz w:val="22"/>
            <w:lang w:val="en-US"/>
          </w:rPr>
          <w:tab/>
        </w:r>
        <w:r w:rsidR="007538AA" w:rsidRPr="00546390">
          <w:rPr>
            <w:rStyle w:val="Hyperlink"/>
            <w:noProof/>
          </w:rPr>
          <w:t>¿Qué es la competitividad?</w:t>
        </w:r>
        <w:r w:rsidR="007538AA">
          <w:rPr>
            <w:noProof/>
            <w:webHidden/>
          </w:rPr>
          <w:tab/>
        </w:r>
        <w:r>
          <w:rPr>
            <w:noProof/>
            <w:webHidden/>
          </w:rPr>
          <w:fldChar w:fldCharType="begin"/>
        </w:r>
        <w:r w:rsidR="007538AA">
          <w:rPr>
            <w:noProof/>
            <w:webHidden/>
          </w:rPr>
          <w:instrText xml:space="preserve"> PAGEREF _Toc384769770 \h </w:instrText>
        </w:r>
        <w:r w:rsidR="002B5716">
          <w:rPr>
            <w:noProof/>
          </w:rPr>
        </w:r>
        <w:r>
          <w:rPr>
            <w:noProof/>
            <w:webHidden/>
          </w:rPr>
          <w:fldChar w:fldCharType="separate"/>
        </w:r>
        <w:r w:rsidR="00A226D8">
          <w:rPr>
            <w:noProof/>
            <w:webHidden/>
          </w:rPr>
          <w:t>184</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71" w:history="1">
        <w:r w:rsidR="007538AA" w:rsidRPr="00546390">
          <w:rPr>
            <w:rStyle w:val="Hyperlink"/>
            <w:rFonts w:eastAsia="Calibri"/>
            <w:noProof/>
          </w:rPr>
          <w:t>C.</w:t>
        </w:r>
        <w:r w:rsidR="007538AA">
          <w:rPr>
            <w:rFonts w:asciiTheme="minorHAnsi" w:eastAsiaTheme="minorEastAsia" w:hAnsiTheme="minorHAnsi" w:cstheme="minorBidi"/>
            <w:noProof/>
            <w:sz w:val="22"/>
            <w:lang w:val="en-US"/>
          </w:rPr>
          <w:tab/>
        </w:r>
        <w:r w:rsidR="007538AA" w:rsidRPr="00546390">
          <w:rPr>
            <w:rStyle w:val="Hyperlink"/>
            <w:rFonts w:eastAsia="Calibri"/>
            <w:noProof/>
          </w:rPr>
          <w:t>La competitividad de Puerto Rico</w:t>
        </w:r>
        <w:r w:rsidR="007538AA">
          <w:rPr>
            <w:noProof/>
            <w:webHidden/>
          </w:rPr>
          <w:tab/>
        </w:r>
        <w:r>
          <w:rPr>
            <w:noProof/>
            <w:webHidden/>
          </w:rPr>
          <w:fldChar w:fldCharType="begin"/>
        </w:r>
        <w:r w:rsidR="007538AA">
          <w:rPr>
            <w:noProof/>
            <w:webHidden/>
          </w:rPr>
          <w:instrText xml:space="preserve"> PAGEREF _Toc384769771 \h </w:instrText>
        </w:r>
        <w:r w:rsidR="002B5716">
          <w:rPr>
            <w:noProof/>
          </w:rPr>
        </w:r>
        <w:r>
          <w:rPr>
            <w:noProof/>
            <w:webHidden/>
          </w:rPr>
          <w:fldChar w:fldCharType="separate"/>
        </w:r>
        <w:r w:rsidR="00A226D8">
          <w:rPr>
            <w:noProof/>
            <w:webHidden/>
          </w:rPr>
          <w:t>185</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72" w:history="1">
        <w:r w:rsidR="007538AA" w:rsidRPr="00546390">
          <w:rPr>
            <w:rStyle w:val="Hyperlink"/>
            <w:rFonts w:eastAsia="Calibri"/>
            <w:noProof/>
          </w:rPr>
          <w:t>D.</w:t>
        </w:r>
        <w:r w:rsidR="007538AA">
          <w:rPr>
            <w:rFonts w:asciiTheme="minorHAnsi" w:eastAsiaTheme="minorEastAsia" w:hAnsiTheme="minorHAnsi" w:cstheme="minorBidi"/>
            <w:noProof/>
            <w:sz w:val="22"/>
            <w:lang w:val="en-US"/>
          </w:rPr>
          <w:tab/>
        </w:r>
        <w:r w:rsidR="007538AA" w:rsidRPr="00546390">
          <w:rPr>
            <w:rStyle w:val="Hyperlink"/>
            <w:rFonts w:eastAsia="Calibri"/>
            <w:noProof/>
          </w:rPr>
          <w:t>Retos a la competitividad de Puerto Rico</w:t>
        </w:r>
        <w:r w:rsidR="007538AA">
          <w:rPr>
            <w:noProof/>
            <w:webHidden/>
          </w:rPr>
          <w:tab/>
        </w:r>
        <w:r>
          <w:rPr>
            <w:noProof/>
            <w:webHidden/>
          </w:rPr>
          <w:fldChar w:fldCharType="begin"/>
        </w:r>
        <w:r w:rsidR="007538AA">
          <w:rPr>
            <w:noProof/>
            <w:webHidden/>
          </w:rPr>
          <w:instrText xml:space="preserve"> PAGEREF _Toc384769772 \h </w:instrText>
        </w:r>
        <w:r w:rsidR="002B5716">
          <w:rPr>
            <w:noProof/>
          </w:rPr>
        </w:r>
        <w:r>
          <w:rPr>
            <w:noProof/>
            <w:webHidden/>
          </w:rPr>
          <w:fldChar w:fldCharType="separate"/>
        </w:r>
        <w:r w:rsidR="00A226D8">
          <w:rPr>
            <w:noProof/>
            <w:webHidden/>
          </w:rPr>
          <w:t>186</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73" w:history="1">
        <w:r w:rsidR="007538AA" w:rsidRPr="00546390">
          <w:rPr>
            <w:rStyle w:val="Hyperlink"/>
            <w:rFonts w:eastAsia="Calibri"/>
            <w:noProof/>
          </w:rPr>
          <w:t>E.</w:t>
        </w:r>
        <w:r w:rsidR="007538AA">
          <w:rPr>
            <w:rFonts w:asciiTheme="minorHAnsi" w:eastAsiaTheme="minorEastAsia" w:hAnsiTheme="minorHAnsi" w:cstheme="minorBidi"/>
            <w:noProof/>
            <w:sz w:val="22"/>
            <w:lang w:val="en-US"/>
          </w:rPr>
          <w:tab/>
        </w:r>
        <w:r w:rsidR="007538AA" w:rsidRPr="00546390">
          <w:rPr>
            <w:rStyle w:val="Hyperlink"/>
            <w:rFonts w:eastAsia="Calibri"/>
            <w:noProof/>
          </w:rPr>
          <w:t>Competitividad y convergencia</w:t>
        </w:r>
        <w:r w:rsidR="007538AA">
          <w:rPr>
            <w:noProof/>
            <w:webHidden/>
          </w:rPr>
          <w:tab/>
        </w:r>
        <w:r>
          <w:rPr>
            <w:noProof/>
            <w:webHidden/>
          </w:rPr>
          <w:fldChar w:fldCharType="begin"/>
        </w:r>
        <w:r w:rsidR="007538AA">
          <w:rPr>
            <w:noProof/>
            <w:webHidden/>
          </w:rPr>
          <w:instrText xml:space="preserve"> PAGEREF _Toc384769773 \h </w:instrText>
        </w:r>
        <w:r w:rsidR="002B5716">
          <w:rPr>
            <w:noProof/>
          </w:rPr>
        </w:r>
        <w:r>
          <w:rPr>
            <w:noProof/>
            <w:webHidden/>
          </w:rPr>
          <w:fldChar w:fldCharType="separate"/>
        </w:r>
        <w:r w:rsidR="00A226D8">
          <w:rPr>
            <w:noProof/>
            <w:webHidden/>
          </w:rPr>
          <w:t>187</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74" w:history="1">
        <w:r w:rsidR="007538AA" w:rsidRPr="00546390">
          <w:rPr>
            <w:rStyle w:val="Hyperlink"/>
            <w:rFonts w:eastAsia="Calibri"/>
            <w:noProof/>
          </w:rPr>
          <w:t>F.</w:t>
        </w:r>
        <w:r w:rsidR="007538AA">
          <w:rPr>
            <w:rFonts w:asciiTheme="minorHAnsi" w:eastAsiaTheme="minorEastAsia" w:hAnsiTheme="minorHAnsi" w:cstheme="minorBidi"/>
            <w:noProof/>
            <w:sz w:val="22"/>
            <w:lang w:val="en-US"/>
          </w:rPr>
          <w:tab/>
        </w:r>
        <w:r w:rsidR="007538AA" w:rsidRPr="00546390">
          <w:rPr>
            <w:rStyle w:val="Hyperlink"/>
            <w:rFonts w:eastAsia="Calibri"/>
            <w:noProof/>
          </w:rPr>
          <w:t>La competitividad y la trampa del ingreso mediano</w:t>
        </w:r>
        <w:r w:rsidR="007538AA">
          <w:rPr>
            <w:noProof/>
            <w:webHidden/>
          </w:rPr>
          <w:tab/>
        </w:r>
        <w:r>
          <w:rPr>
            <w:noProof/>
            <w:webHidden/>
          </w:rPr>
          <w:fldChar w:fldCharType="begin"/>
        </w:r>
        <w:r w:rsidR="007538AA">
          <w:rPr>
            <w:noProof/>
            <w:webHidden/>
          </w:rPr>
          <w:instrText xml:space="preserve"> PAGEREF _Toc384769774 \h </w:instrText>
        </w:r>
        <w:r w:rsidR="002B5716">
          <w:rPr>
            <w:noProof/>
          </w:rPr>
        </w:r>
        <w:r>
          <w:rPr>
            <w:noProof/>
            <w:webHidden/>
          </w:rPr>
          <w:fldChar w:fldCharType="separate"/>
        </w:r>
        <w:r w:rsidR="00A226D8">
          <w:rPr>
            <w:noProof/>
            <w:webHidden/>
          </w:rPr>
          <w:t>189</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75" w:history="1">
        <w:r w:rsidR="007538AA" w:rsidRPr="00546390">
          <w:rPr>
            <w:rStyle w:val="Hyperlink"/>
            <w:rFonts w:eastAsia="Calibri"/>
            <w:noProof/>
          </w:rPr>
          <w:t>G.</w:t>
        </w:r>
        <w:r w:rsidR="007538AA">
          <w:rPr>
            <w:rFonts w:asciiTheme="minorHAnsi" w:eastAsiaTheme="minorEastAsia" w:hAnsiTheme="minorHAnsi" w:cstheme="minorBidi"/>
            <w:noProof/>
            <w:sz w:val="22"/>
            <w:lang w:val="en-US"/>
          </w:rPr>
          <w:tab/>
        </w:r>
        <w:r w:rsidR="007538AA" w:rsidRPr="00546390">
          <w:rPr>
            <w:rStyle w:val="Hyperlink"/>
            <w:rFonts w:eastAsia="Calibri"/>
            <w:noProof/>
          </w:rPr>
          <w:t>Cómo medir la competitividad: índices de variables clave</w:t>
        </w:r>
        <w:r w:rsidR="007538AA">
          <w:rPr>
            <w:noProof/>
            <w:webHidden/>
          </w:rPr>
          <w:tab/>
        </w:r>
        <w:r>
          <w:rPr>
            <w:noProof/>
            <w:webHidden/>
          </w:rPr>
          <w:fldChar w:fldCharType="begin"/>
        </w:r>
        <w:r w:rsidR="007538AA">
          <w:rPr>
            <w:noProof/>
            <w:webHidden/>
          </w:rPr>
          <w:instrText xml:space="preserve"> PAGEREF _Toc384769775 \h </w:instrText>
        </w:r>
        <w:r w:rsidR="002B5716">
          <w:rPr>
            <w:noProof/>
          </w:rPr>
        </w:r>
        <w:r>
          <w:rPr>
            <w:noProof/>
            <w:webHidden/>
          </w:rPr>
          <w:fldChar w:fldCharType="separate"/>
        </w:r>
        <w:r w:rsidR="00A226D8">
          <w:rPr>
            <w:noProof/>
            <w:webHidden/>
          </w:rPr>
          <w:t>190</w:t>
        </w:r>
        <w:r>
          <w:rPr>
            <w:noProof/>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76" w:history="1">
        <w:r w:rsidR="007538AA" w:rsidRPr="00546390">
          <w:rPr>
            <w:rStyle w:val="Hyperlink"/>
            <w:rFonts w:eastAsia="Calibri"/>
          </w:rPr>
          <w:t>G.1</w:t>
        </w:r>
        <w:r w:rsidR="007538AA">
          <w:rPr>
            <w:rFonts w:asciiTheme="minorHAnsi" w:eastAsiaTheme="minorEastAsia" w:hAnsiTheme="minorHAnsi" w:cstheme="minorBidi"/>
            <w:sz w:val="22"/>
            <w:szCs w:val="22"/>
            <w:lang w:val="en-US"/>
          </w:rPr>
          <w:tab/>
        </w:r>
        <w:r w:rsidR="007538AA" w:rsidRPr="00546390">
          <w:rPr>
            <w:rStyle w:val="Hyperlink"/>
            <w:rFonts w:eastAsia="Calibri"/>
          </w:rPr>
          <w:t>El Índice de Competitividad Global del World Economic Forum (WEF)</w:t>
        </w:r>
        <w:r w:rsidR="007538AA">
          <w:rPr>
            <w:webHidden/>
          </w:rPr>
          <w:tab/>
        </w:r>
        <w:r>
          <w:rPr>
            <w:webHidden/>
          </w:rPr>
          <w:fldChar w:fldCharType="begin"/>
        </w:r>
        <w:r w:rsidR="007538AA">
          <w:rPr>
            <w:webHidden/>
          </w:rPr>
          <w:instrText xml:space="preserve"> PAGEREF _Toc384769776 \h </w:instrText>
        </w:r>
        <w:r>
          <w:rPr>
            <w:webHidden/>
          </w:rPr>
          <w:fldChar w:fldCharType="separate"/>
        </w:r>
        <w:r w:rsidR="00A226D8">
          <w:rPr>
            <w:webHidden/>
          </w:rPr>
          <w:t>190</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77" w:history="1">
        <w:r w:rsidR="007538AA" w:rsidRPr="00546390">
          <w:rPr>
            <w:rStyle w:val="Hyperlink"/>
            <w:rFonts w:eastAsia="Calibri"/>
          </w:rPr>
          <w:t>G.2</w:t>
        </w:r>
        <w:r w:rsidR="007538AA">
          <w:rPr>
            <w:rFonts w:asciiTheme="minorHAnsi" w:eastAsiaTheme="minorEastAsia" w:hAnsiTheme="minorHAnsi" w:cstheme="minorBidi"/>
            <w:sz w:val="22"/>
            <w:szCs w:val="22"/>
            <w:lang w:val="en-US"/>
          </w:rPr>
          <w:tab/>
        </w:r>
        <w:r w:rsidR="007538AA" w:rsidRPr="00546390">
          <w:rPr>
            <w:rStyle w:val="Hyperlink"/>
            <w:rFonts w:eastAsia="Calibri"/>
          </w:rPr>
          <w:t xml:space="preserve"> Índice Doing Business, de la International Finance Corporation y el Banco Mundial</w:t>
        </w:r>
        <w:r w:rsidR="007538AA">
          <w:rPr>
            <w:webHidden/>
          </w:rPr>
          <w:tab/>
        </w:r>
        <w:r>
          <w:rPr>
            <w:webHidden/>
          </w:rPr>
          <w:fldChar w:fldCharType="begin"/>
        </w:r>
        <w:r w:rsidR="007538AA">
          <w:rPr>
            <w:webHidden/>
          </w:rPr>
          <w:instrText xml:space="preserve"> PAGEREF _Toc384769777 \h </w:instrText>
        </w:r>
        <w:r>
          <w:rPr>
            <w:webHidden/>
          </w:rPr>
          <w:fldChar w:fldCharType="separate"/>
        </w:r>
        <w:r w:rsidR="00A226D8">
          <w:rPr>
            <w:webHidden/>
          </w:rPr>
          <w:t>191</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78" w:history="1">
        <w:r w:rsidR="007538AA" w:rsidRPr="00546390">
          <w:rPr>
            <w:rStyle w:val="Hyperlink"/>
            <w:rFonts w:eastAsia="Calibri"/>
            <w:lang w:val="en-US"/>
          </w:rPr>
          <w:t xml:space="preserve">G.3 </w:t>
        </w:r>
        <w:r w:rsidR="007538AA">
          <w:rPr>
            <w:rFonts w:asciiTheme="minorHAnsi" w:eastAsiaTheme="minorEastAsia" w:hAnsiTheme="minorHAnsi" w:cstheme="minorBidi"/>
            <w:sz w:val="22"/>
            <w:szCs w:val="22"/>
            <w:lang w:val="en-US"/>
          </w:rPr>
          <w:tab/>
        </w:r>
        <w:r w:rsidR="007538AA" w:rsidRPr="00546390">
          <w:rPr>
            <w:rStyle w:val="Hyperlink"/>
            <w:rFonts w:eastAsia="Calibri"/>
            <w:lang w:val="en-US"/>
          </w:rPr>
          <w:t>El Índice del World Competitiveness Yearbook- International Institute for Management Development (IMD)</w:t>
        </w:r>
        <w:r w:rsidR="007538AA">
          <w:rPr>
            <w:webHidden/>
          </w:rPr>
          <w:tab/>
        </w:r>
        <w:r>
          <w:rPr>
            <w:webHidden/>
          </w:rPr>
          <w:fldChar w:fldCharType="begin"/>
        </w:r>
        <w:r w:rsidR="007538AA">
          <w:rPr>
            <w:webHidden/>
          </w:rPr>
          <w:instrText xml:space="preserve"> PAGEREF _Toc384769778 \h </w:instrText>
        </w:r>
        <w:r>
          <w:rPr>
            <w:webHidden/>
          </w:rPr>
          <w:fldChar w:fldCharType="separate"/>
        </w:r>
        <w:r w:rsidR="00A226D8">
          <w:rPr>
            <w:webHidden/>
          </w:rPr>
          <w:t>191</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79" w:history="1">
        <w:r w:rsidR="007538AA" w:rsidRPr="00546390">
          <w:rPr>
            <w:rStyle w:val="Hyperlink"/>
            <w:rFonts w:eastAsia="Calibri"/>
          </w:rPr>
          <w:t xml:space="preserve">G.4 </w:t>
        </w:r>
        <w:r w:rsidR="007538AA">
          <w:rPr>
            <w:rFonts w:asciiTheme="minorHAnsi" w:eastAsiaTheme="minorEastAsia" w:hAnsiTheme="minorHAnsi" w:cstheme="minorBidi"/>
            <w:sz w:val="22"/>
            <w:szCs w:val="22"/>
            <w:lang w:val="en-US"/>
          </w:rPr>
          <w:tab/>
        </w:r>
        <w:r w:rsidR="007538AA" w:rsidRPr="00546390">
          <w:rPr>
            <w:rStyle w:val="Hyperlink"/>
            <w:rFonts w:eastAsia="Calibri"/>
          </w:rPr>
          <w:t>El Índice de Competitividad Internacional del Instituto Mexicano para la Competitividad</w:t>
        </w:r>
        <w:r w:rsidR="007538AA">
          <w:rPr>
            <w:webHidden/>
          </w:rPr>
          <w:tab/>
        </w:r>
        <w:r>
          <w:rPr>
            <w:webHidden/>
          </w:rPr>
          <w:fldChar w:fldCharType="begin"/>
        </w:r>
        <w:r w:rsidR="007538AA">
          <w:rPr>
            <w:webHidden/>
          </w:rPr>
          <w:instrText xml:space="preserve"> PAGEREF _Toc384769779 \h </w:instrText>
        </w:r>
        <w:r>
          <w:rPr>
            <w:webHidden/>
          </w:rPr>
          <w:fldChar w:fldCharType="separate"/>
        </w:r>
        <w:r w:rsidR="00A226D8">
          <w:rPr>
            <w:webHidden/>
          </w:rPr>
          <w:t>192</w:t>
        </w:r>
        <w:r>
          <w:rPr>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80" w:history="1">
        <w:r w:rsidR="007538AA" w:rsidRPr="00546390">
          <w:rPr>
            <w:rStyle w:val="Hyperlink"/>
            <w:noProof/>
          </w:rPr>
          <w:t>H.</w:t>
        </w:r>
        <w:r w:rsidR="007538AA">
          <w:rPr>
            <w:rFonts w:asciiTheme="minorHAnsi" w:eastAsiaTheme="minorEastAsia" w:hAnsiTheme="minorHAnsi" w:cstheme="minorBidi"/>
            <w:noProof/>
            <w:sz w:val="22"/>
            <w:lang w:val="en-US"/>
          </w:rPr>
          <w:tab/>
        </w:r>
        <w:r w:rsidR="007538AA" w:rsidRPr="00546390">
          <w:rPr>
            <w:rStyle w:val="Hyperlink"/>
            <w:noProof/>
          </w:rPr>
          <w:t>La competitividad de Puerto Rico según el Índice de Competitividad del WEF</w:t>
        </w:r>
        <w:r w:rsidR="007538AA">
          <w:rPr>
            <w:noProof/>
            <w:webHidden/>
          </w:rPr>
          <w:tab/>
        </w:r>
        <w:r>
          <w:rPr>
            <w:noProof/>
            <w:webHidden/>
          </w:rPr>
          <w:fldChar w:fldCharType="begin"/>
        </w:r>
        <w:r w:rsidR="007538AA">
          <w:rPr>
            <w:noProof/>
            <w:webHidden/>
          </w:rPr>
          <w:instrText xml:space="preserve"> PAGEREF _Toc384769780 \h </w:instrText>
        </w:r>
        <w:r w:rsidR="002B5716">
          <w:rPr>
            <w:noProof/>
          </w:rPr>
        </w:r>
        <w:r>
          <w:rPr>
            <w:noProof/>
            <w:webHidden/>
          </w:rPr>
          <w:fldChar w:fldCharType="separate"/>
        </w:r>
        <w:r w:rsidR="00A226D8">
          <w:rPr>
            <w:noProof/>
            <w:webHidden/>
          </w:rPr>
          <w:t>192</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81" w:history="1">
        <w:r w:rsidR="007538AA" w:rsidRPr="00546390">
          <w:rPr>
            <w:rStyle w:val="Hyperlink"/>
            <w:rFonts w:eastAsia="Calibri"/>
            <w:noProof/>
          </w:rPr>
          <w:t>I.</w:t>
        </w:r>
        <w:r w:rsidR="007538AA">
          <w:rPr>
            <w:rFonts w:asciiTheme="minorHAnsi" w:eastAsiaTheme="minorEastAsia" w:hAnsiTheme="minorHAnsi" w:cstheme="minorBidi"/>
            <w:noProof/>
            <w:sz w:val="22"/>
            <w:lang w:val="en-US"/>
          </w:rPr>
          <w:tab/>
        </w:r>
        <w:r w:rsidR="007538AA" w:rsidRPr="00546390">
          <w:rPr>
            <w:rStyle w:val="Hyperlink"/>
            <w:rFonts w:eastAsia="Calibri"/>
            <w:noProof/>
          </w:rPr>
          <w:t>Estadidad, convergencia y competitividad: un análisis cualitativo</w:t>
        </w:r>
        <w:r w:rsidR="007538AA">
          <w:rPr>
            <w:noProof/>
            <w:webHidden/>
          </w:rPr>
          <w:tab/>
        </w:r>
        <w:r>
          <w:rPr>
            <w:noProof/>
            <w:webHidden/>
          </w:rPr>
          <w:fldChar w:fldCharType="begin"/>
        </w:r>
        <w:r w:rsidR="007538AA">
          <w:rPr>
            <w:noProof/>
            <w:webHidden/>
          </w:rPr>
          <w:instrText xml:space="preserve"> PAGEREF _Toc384769781 \h </w:instrText>
        </w:r>
        <w:r w:rsidR="002B5716">
          <w:rPr>
            <w:noProof/>
          </w:rPr>
        </w:r>
        <w:r>
          <w:rPr>
            <w:noProof/>
            <w:webHidden/>
          </w:rPr>
          <w:fldChar w:fldCharType="separate"/>
        </w:r>
        <w:r w:rsidR="00A226D8">
          <w:rPr>
            <w:noProof/>
            <w:webHidden/>
          </w:rPr>
          <w:t>194</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82" w:history="1">
        <w:r w:rsidR="007538AA" w:rsidRPr="00546390">
          <w:rPr>
            <w:rStyle w:val="Hyperlink"/>
            <w:rFonts w:eastAsia="Calibri"/>
            <w:noProof/>
          </w:rPr>
          <w:t>R</w:t>
        </w:r>
        <w:r w:rsidR="007538AA" w:rsidRPr="00546390">
          <w:rPr>
            <w:rStyle w:val="Hyperlink"/>
            <w:noProof/>
          </w:rPr>
          <w:t>eferencias</w:t>
        </w:r>
        <w:r w:rsidR="007538AA">
          <w:rPr>
            <w:noProof/>
            <w:webHidden/>
          </w:rPr>
          <w:tab/>
        </w:r>
        <w:r>
          <w:rPr>
            <w:noProof/>
            <w:webHidden/>
          </w:rPr>
          <w:fldChar w:fldCharType="begin"/>
        </w:r>
        <w:r w:rsidR="007538AA">
          <w:rPr>
            <w:noProof/>
            <w:webHidden/>
          </w:rPr>
          <w:instrText xml:space="preserve"> PAGEREF _Toc384769782 \h </w:instrText>
        </w:r>
        <w:r w:rsidR="002B5716">
          <w:rPr>
            <w:noProof/>
          </w:rPr>
        </w:r>
        <w:r>
          <w:rPr>
            <w:noProof/>
            <w:webHidden/>
          </w:rPr>
          <w:fldChar w:fldCharType="separate"/>
        </w:r>
        <w:r w:rsidR="00A226D8">
          <w:rPr>
            <w:noProof/>
            <w:webHidden/>
          </w:rPr>
          <w:t>195</w:t>
        </w:r>
        <w:r>
          <w:rPr>
            <w:noProof/>
            <w:webHidden/>
          </w:rPr>
          <w:fldChar w:fldCharType="end"/>
        </w:r>
      </w:hyperlink>
    </w:p>
    <w:p w:rsidR="007538AA" w:rsidRDefault="008964A4">
      <w:pPr>
        <w:pStyle w:val="TOC1"/>
        <w:rPr>
          <w:rFonts w:asciiTheme="minorHAnsi" w:eastAsiaTheme="minorEastAsia" w:hAnsiTheme="minorHAnsi" w:cstheme="minorBidi"/>
          <w:b w:val="0"/>
          <w:noProof/>
          <w:sz w:val="22"/>
          <w:szCs w:val="22"/>
          <w:lang w:val="en-US"/>
        </w:rPr>
      </w:pPr>
      <w:hyperlink w:anchor="_Toc384769783" w:history="1">
        <w:r w:rsidR="007538AA" w:rsidRPr="00546390">
          <w:rPr>
            <w:rStyle w:val="Hyperlink"/>
            <w:noProof/>
          </w:rPr>
          <w:t>Capítulo 6: El debate sobre la estadidad como vehículo de convergencia en crecimiento económico</w:t>
        </w:r>
        <w:r w:rsidR="007538AA">
          <w:rPr>
            <w:noProof/>
            <w:webHidden/>
          </w:rPr>
          <w:tab/>
        </w:r>
        <w:r>
          <w:rPr>
            <w:noProof/>
            <w:webHidden/>
          </w:rPr>
          <w:fldChar w:fldCharType="begin"/>
        </w:r>
        <w:r w:rsidR="007538AA">
          <w:rPr>
            <w:noProof/>
            <w:webHidden/>
          </w:rPr>
          <w:instrText xml:space="preserve"> PAGEREF _Toc384769783 \h </w:instrText>
        </w:r>
        <w:r w:rsidR="002B5716">
          <w:rPr>
            <w:noProof/>
          </w:rPr>
        </w:r>
        <w:r>
          <w:rPr>
            <w:noProof/>
            <w:webHidden/>
          </w:rPr>
          <w:fldChar w:fldCharType="separate"/>
        </w:r>
        <w:r w:rsidR="00A226D8">
          <w:rPr>
            <w:noProof/>
            <w:webHidden/>
          </w:rPr>
          <w:t>206</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84" w:history="1">
        <w:r w:rsidR="007538AA" w:rsidRPr="00546390">
          <w:rPr>
            <w:rStyle w:val="Hyperlink"/>
            <w:noProof/>
          </w:rPr>
          <w:t>A.</w:t>
        </w:r>
        <w:r w:rsidR="007538AA">
          <w:rPr>
            <w:rFonts w:asciiTheme="minorHAnsi" w:eastAsiaTheme="minorEastAsia" w:hAnsiTheme="minorHAnsi" w:cstheme="minorBidi"/>
            <w:noProof/>
            <w:sz w:val="22"/>
            <w:lang w:val="en-US"/>
          </w:rPr>
          <w:tab/>
        </w:r>
        <w:r w:rsidR="007538AA" w:rsidRPr="00546390">
          <w:rPr>
            <w:rStyle w:val="Hyperlink"/>
            <w:noProof/>
          </w:rPr>
          <w:t>Introducción</w:t>
        </w:r>
        <w:r w:rsidR="007538AA">
          <w:rPr>
            <w:noProof/>
            <w:webHidden/>
          </w:rPr>
          <w:tab/>
        </w:r>
        <w:r>
          <w:rPr>
            <w:noProof/>
            <w:webHidden/>
          </w:rPr>
          <w:fldChar w:fldCharType="begin"/>
        </w:r>
        <w:r w:rsidR="007538AA">
          <w:rPr>
            <w:noProof/>
            <w:webHidden/>
          </w:rPr>
          <w:instrText xml:space="preserve"> PAGEREF _Toc384769784 \h </w:instrText>
        </w:r>
        <w:r w:rsidR="002B5716">
          <w:rPr>
            <w:noProof/>
          </w:rPr>
        </w:r>
        <w:r>
          <w:rPr>
            <w:noProof/>
            <w:webHidden/>
          </w:rPr>
          <w:fldChar w:fldCharType="separate"/>
        </w:r>
        <w:r w:rsidR="00A226D8">
          <w:rPr>
            <w:noProof/>
            <w:webHidden/>
          </w:rPr>
          <w:t>206</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85" w:history="1">
        <w:r w:rsidR="007538AA" w:rsidRPr="00546390">
          <w:rPr>
            <w:rStyle w:val="Hyperlink"/>
            <w:noProof/>
          </w:rPr>
          <w:t>B.</w:t>
        </w:r>
        <w:r w:rsidR="007538AA">
          <w:rPr>
            <w:rFonts w:asciiTheme="minorHAnsi" w:eastAsiaTheme="minorEastAsia" w:hAnsiTheme="minorHAnsi" w:cstheme="minorBidi"/>
            <w:noProof/>
            <w:sz w:val="22"/>
            <w:lang w:val="en-US"/>
          </w:rPr>
          <w:tab/>
        </w:r>
        <w:r w:rsidR="007538AA" w:rsidRPr="00546390">
          <w:rPr>
            <w:rStyle w:val="Hyperlink"/>
            <w:noProof/>
          </w:rPr>
          <w:t>Discusión teórica sobre la convergencia</w:t>
        </w:r>
        <w:r w:rsidR="007538AA">
          <w:rPr>
            <w:noProof/>
            <w:webHidden/>
          </w:rPr>
          <w:tab/>
        </w:r>
        <w:r>
          <w:rPr>
            <w:noProof/>
            <w:webHidden/>
          </w:rPr>
          <w:fldChar w:fldCharType="begin"/>
        </w:r>
        <w:r w:rsidR="007538AA">
          <w:rPr>
            <w:noProof/>
            <w:webHidden/>
          </w:rPr>
          <w:instrText xml:space="preserve"> PAGEREF _Toc384769785 \h </w:instrText>
        </w:r>
        <w:r w:rsidR="002B5716">
          <w:rPr>
            <w:noProof/>
          </w:rPr>
        </w:r>
        <w:r>
          <w:rPr>
            <w:noProof/>
            <w:webHidden/>
          </w:rPr>
          <w:fldChar w:fldCharType="separate"/>
        </w:r>
        <w:r w:rsidR="00A226D8">
          <w:rPr>
            <w:noProof/>
            <w:webHidden/>
          </w:rPr>
          <w:t>207</w:t>
        </w:r>
        <w:r>
          <w:rPr>
            <w:noProof/>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86" w:history="1">
        <w:r w:rsidR="007538AA" w:rsidRPr="00546390">
          <w:rPr>
            <w:rStyle w:val="Hyperlink"/>
          </w:rPr>
          <w:t>B.1</w:t>
        </w:r>
        <w:r w:rsidR="007538AA">
          <w:rPr>
            <w:rFonts w:asciiTheme="minorHAnsi" w:eastAsiaTheme="minorEastAsia" w:hAnsiTheme="minorHAnsi" w:cstheme="minorBidi"/>
            <w:sz w:val="22"/>
            <w:szCs w:val="22"/>
            <w:lang w:val="en-US"/>
          </w:rPr>
          <w:tab/>
        </w:r>
        <w:r w:rsidR="007538AA" w:rsidRPr="00546390">
          <w:rPr>
            <w:rStyle w:val="Hyperlink"/>
          </w:rPr>
          <w:t>¿Qué es la convergencia?</w:t>
        </w:r>
        <w:r w:rsidR="007538AA">
          <w:rPr>
            <w:webHidden/>
          </w:rPr>
          <w:tab/>
        </w:r>
        <w:r>
          <w:rPr>
            <w:webHidden/>
          </w:rPr>
          <w:fldChar w:fldCharType="begin"/>
        </w:r>
        <w:r w:rsidR="007538AA">
          <w:rPr>
            <w:webHidden/>
          </w:rPr>
          <w:instrText xml:space="preserve"> PAGEREF _Toc384769786 \h </w:instrText>
        </w:r>
        <w:r>
          <w:rPr>
            <w:webHidden/>
          </w:rPr>
          <w:fldChar w:fldCharType="separate"/>
        </w:r>
        <w:r w:rsidR="00A226D8">
          <w:rPr>
            <w:webHidden/>
          </w:rPr>
          <w:t>207</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87" w:history="1">
        <w:r w:rsidR="007538AA" w:rsidRPr="00546390">
          <w:rPr>
            <w:rStyle w:val="Hyperlink"/>
          </w:rPr>
          <w:t>B.2</w:t>
        </w:r>
        <w:r w:rsidR="007538AA">
          <w:rPr>
            <w:rFonts w:asciiTheme="minorHAnsi" w:eastAsiaTheme="minorEastAsia" w:hAnsiTheme="minorHAnsi" w:cstheme="minorBidi"/>
            <w:sz w:val="22"/>
            <w:szCs w:val="22"/>
            <w:lang w:val="en-US"/>
          </w:rPr>
          <w:tab/>
        </w:r>
        <w:r w:rsidR="007538AA" w:rsidRPr="00546390">
          <w:rPr>
            <w:rStyle w:val="Hyperlink"/>
          </w:rPr>
          <w:t>Enfoque neoclásico de crecimiento económico y convergencia</w:t>
        </w:r>
        <w:r w:rsidR="007538AA">
          <w:rPr>
            <w:webHidden/>
          </w:rPr>
          <w:tab/>
        </w:r>
        <w:r>
          <w:rPr>
            <w:webHidden/>
          </w:rPr>
          <w:fldChar w:fldCharType="begin"/>
        </w:r>
        <w:r w:rsidR="007538AA">
          <w:rPr>
            <w:webHidden/>
          </w:rPr>
          <w:instrText xml:space="preserve"> PAGEREF _Toc384769787 \h </w:instrText>
        </w:r>
        <w:r>
          <w:rPr>
            <w:webHidden/>
          </w:rPr>
          <w:fldChar w:fldCharType="separate"/>
        </w:r>
        <w:r w:rsidR="00A226D8">
          <w:rPr>
            <w:webHidden/>
          </w:rPr>
          <w:t>209</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88" w:history="1">
        <w:r w:rsidR="007538AA" w:rsidRPr="00546390">
          <w:rPr>
            <w:rStyle w:val="Hyperlink"/>
          </w:rPr>
          <w:t>B.3</w:t>
        </w:r>
        <w:r w:rsidR="007538AA">
          <w:rPr>
            <w:rFonts w:asciiTheme="minorHAnsi" w:eastAsiaTheme="minorEastAsia" w:hAnsiTheme="minorHAnsi" w:cstheme="minorBidi"/>
            <w:sz w:val="22"/>
            <w:szCs w:val="22"/>
            <w:lang w:val="en-US"/>
          </w:rPr>
          <w:tab/>
        </w:r>
        <w:r w:rsidR="007538AA" w:rsidRPr="00546390">
          <w:rPr>
            <w:rStyle w:val="Hyperlink"/>
          </w:rPr>
          <w:t>Nuevas teorías de crecimiento</w:t>
        </w:r>
        <w:r w:rsidR="007538AA">
          <w:rPr>
            <w:webHidden/>
          </w:rPr>
          <w:tab/>
        </w:r>
        <w:r>
          <w:rPr>
            <w:webHidden/>
          </w:rPr>
          <w:fldChar w:fldCharType="begin"/>
        </w:r>
        <w:r w:rsidR="007538AA">
          <w:rPr>
            <w:webHidden/>
          </w:rPr>
          <w:instrText xml:space="preserve"> PAGEREF _Toc384769788 \h </w:instrText>
        </w:r>
        <w:r>
          <w:rPr>
            <w:webHidden/>
          </w:rPr>
          <w:fldChar w:fldCharType="separate"/>
        </w:r>
        <w:r w:rsidR="00A226D8">
          <w:rPr>
            <w:webHidden/>
          </w:rPr>
          <w:t>210</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89" w:history="1">
        <w:r w:rsidR="007538AA" w:rsidRPr="00546390">
          <w:rPr>
            <w:rStyle w:val="Hyperlink"/>
          </w:rPr>
          <w:t>B.4</w:t>
        </w:r>
        <w:r w:rsidR="007538AA">
          <w:rPr>
            <w:rFonts w:asciiTheme="minorHAnsi" w:eastAsiaTheme="minorEastAsia" w:hAnsiTheme="minorHAnsi" w:cstheme="minorBidi"/>
            <w:sz w:val="22"/>
            <w:szCs w:val="22"/>
            <w:lang w:val="en-US"/>
          </w:rPr>
          <w:tab/>
        </w:r>
        <w:r w:rsidR="007538AA" w:rsidRPr="00546390">
          <w:rPr>
            <w:rStyle w:val="Hyperlink"/>
          </w:rPr>
          <w:t>Interpretaciones de convergencia según los trabajos aplicados</w:t>
        </w:r>
        <w:r w:rsidR="007538AA">
          <w:rPr>
            <w:webHidden/>
          </w:rPr>
          <w:tab/>
        </w:r>
        <w:r>
          <w:rPr>
            <w:webHidden/>
          </w:rPr>
          <w:fldChar w:fldCharType="begin"/>
        </w:r>
        <w:r w:rsidR="007538AA">
          <w:rPr>
            <w:webHidden/>
          </w:rPr>
          <w:instrText xml:space="preserve"> PAGEREF _Toc384769789 \h </w:instrText>
        </w:r>
        <w:r>
          <w:rPr>
            <w:webHidden/>
          </w:rPr>
          <w:fldChar w:fldCharType="separate"/>
        </w:r>
        <w:r w:rsidR="00A226D8">
          <w:rPr>
            <w:webHidden/>
          </w:rPr>
          <w:t>211</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90" w:history="1">
        <w:r w:rsidR="007538AA" w:rsidRPr="00546390">
          <w:rPr>
            <w:rStyle w:val="Hyperlink"/>
          </w:rPr>
          <w:t>B.5</w:t>
        </w:r>
        <w:r w:rsidR="007538AA">
          <w:rPr>
            <w:rFonts w:asciiTheme="minorHAnsi" w:eastAsiaTheme="minorEastAsia" w:hAnsiTheme="minorHAnsi" w:cstheme="minorBidi"/>
            <w:sz w:val="22"/>
            <w:szCs w:val="22"/>
            <w:lang w:val="en-US"/>
          </w:rPr>
          <w:tab/>
        </w:r>
        <w:r w:rsidR="007538AA" w:rsidRPr="00546390">
          <w:rPr>
            <w:rStyle w:val="Hyperlink"/>
          </w:rPr>
          <w:t>Método de análisis en los trabajos aplicados y su vínculo con el desarrollo teórico</w:t>
        </w:r>
        <w:r w:rsidR="007538AA">
          <w:rPr>
            <w:webHidden/>
          </w:rPr>
          <w:tab/>
        </w:r>
        <w:r>
          <w:rPr>
            <w:webHidden/>
          </w:rPr>
          <w:fldChar w:fldCharType="begin"/>
        </w:r>
        <w:r w:rsidR="007538AA">
          <w:rPr>
            <w:webHidden/>
          </w:rPr>
          <w:instrText xml:space="preserve"> PAGEREF _Toc384769790 \h </w:instrText>
        </w:r>
        <w:r>
          <w:rPr>
            <w:webHidden/>
          </w:rPr>
          <w:fldChar w:fldCharType="separate"/>
        </w:r>
        <w:r w:rsidR="00A226D8">
          <w:rPr>
            <w:webHidden/>
          </w:rPr>
          <w:t>212</w:t>
        </w:r>
        <w:r>
          <w:rPr>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91" w:history="1">
        <w:r w:rsidR="007538AA" w:rsidRPr="00546390">
          <w:rPr>
            <w:rStyle w:val="Hyperlink"/>
            <w:noProof/>
          </w:rPr>
          <w:t>C.</w:t>
        </w:r>
        <w:r w:rsidR="007538AA">
          <w:rPr>
            <w:rFonts w:asciiTheme="minorHAnsi" w:eastAsiaTheme="minorEastAsia" w:hAnsiTheme="minorHAnsi" w:cstheme="minorBidi"/>
            <w:noProof/>
            <w:sz w:val="22"/>
            <w:lang w:val="en-US"/>
          </w:rPr>
          <w:tab/>
        </w:r>
        <w:r w:rsidR="007538AA" w:rsidRPr="00546390">
          <w:rPr>
            <w:rStyle w:val="Hyperlink"/>
            <w:noProof/>
          </w:rPr>
          <w:t>Pertinencia del tema de la convergencia para el tema del estatus</w:t>
        </w:r>
        <w:r w:rsidR="007538AA">
          <w:rPr>
            <w:noProof/>
            <w:webHidden/>
          </w:rPr>
          <w:tab/>
        </w:r>
        <w:r>
          <w:rPr>
            <w:noProof/>
            <w:webHidden/>
          </w:rPr>
          <w:fldChar w:fldCharType="begin"/>
        </w:r>
        <w:r w:rsidR="007538AA">
          <w:rPr>
            <w:noProof/>
            <w:webHidden/>
          </w:rPr>
          <w:instrText xml:space="preserve"> PAGEREF _Toc384769791 \h </w:instrText>
        </w:r>
        <w:r w:rsidR="002B5716">
          <w:rPr>
            <w:noProof/>
          </w:rPr>
        </w:r>
        <w:r>
          <w:rPr>
            <w:noProof/>
            <w:webHidden/>
          </w:rPr>
          <w:fldChar w:fldCharType="separate"/>
        </w:r>
        <w:r w:rsidR="00A226D8">
          <w:rPr>
            <w:noProof/>
            <w:webHidden/>
          </w:rPr>
          <w:t>213</w:t>
        </w:r>
        <w:r>
          <w:rPr>
            <w:noProof/>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92" w:history="1">
        <w:r w:rsidR="007538AA" w:rsidRPr="00546390">
          <w:rPr>
            <w:rStyle w:val="Hyperlink"/>
          </w:rPr>
          <w:t>C.1</w:t>
        </w:r>
        <w:r w:rsidR="007538AA">
          <w:rPr>
            <w:rFonts w:asciiTheme="minorHAnsi" w:eastAsiaTheme="minorEastAsia" w:hAnsiTheme="minorHAnsi" w:cstheme="minorBidi"/>
            <w:sz w:val="22"/>
            <w:szCs w:val="22"/>
            <w:lang w:val="en-US"/>
          </w:rPr>
          <w:tab/>
        </w:r>
        <w:r w:rsidR="007538AA" w:rsidRPr="00546390">
          <w:rPr>
            <w:rStyle w:val="Hyperlink"/>
          </w:rPr>
          <w:t>Los ciclos económicos de Puerto Rico</w:t>
        </w:r>
        <w:r w:rsidR="007538AA">
          <w:rPr>
            <w:webHidden/>
          </w:rPr>
          <w:tab/>
        </w:r>
        <w:r>
          <w:rPr>
            <w:webHidden/>
          </w:rPr>
          <w:fldChar w:fldCharType="begin"/>
        </w:r>
        <w:r w:rsidR="007538AA">
          <w:rPr>
            <w:webHidden/>
          </w:rPr>
          <w:instrText xml:space="preserve"> PAGEREF _Toc384769792 \h </w:instrText>
        </w:r>
        <w:r>
          <w:rPr>
            <w:webHidden/>
          </w:rPr>
          <w:fldChar w:fldCharType="separate"/>
        </w:r>
        <w:r w:rsidR="00A226D8">
          <w:rPr>
            <w:webHidden/>
          </w:rPr>
          <w:t>214</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93" w:history="1">
        <w:r w:rsidR="007538AA" w:rsidRPr="00546390">
          <w:rPr>
            <w:rStyle w:val="Hyperlink"/>
          </w:rPr>
          <w:t xml:space="preserve">C.2 </w:t>
        </w:r>
        <w:r w:rsidR="007538AA">
          <w:rPr>
            <w:rFonts w:asciiTheme="minorHAnsi" w:eastAsiaTheme="minorEastAsia" w:hAnsiTheme="minorHAnsi" w:cstheme="minorBidi"/>
            <w:sz w:val="22"/>
            <w:szCs w:val="22"/>
            <w:lang w:val="en-US"/>
          </w:rPr>
          <w:tab/>
        </w:r>
        <w:r w:rsidR="007538AA" w:rsidRPr="00546390">
          <w:rPr>
            <w:rStyle w:val="Hyperlink"/>
          </w:rPr>
          <w:t>El debate de la convergencia en Puerto Rico</w:t>
        </w:r>
        <w:r w:rsidR="007538AA">
          <w:rPr>
            <w:webHidden/>
          </w:rPr>
          <w:tab/>
        </w:r>
        <w:r>
          <w:rPr>
            <w:webHidden/>
          </w:rPr>
          <w:fldChar w:fldCharType="begin"/>
        </w:r>
        <w:r w:rsidR="007538AA">
          <w:rPr>
            <w:webHidden/>
          </w:rPr>
          <w:instrText xml:space="preserve"> PAGEREF _Toc384769793 \h </w:instrText>
        </w:r>
        <w:r>
          <w:rPr>
            <w:webHidden/>
          </w:rPr>
          <w:fldChar w:fldCharType="separate"/>
        </w:r>
        <w:r w:rsidR="00A226D8">
          <w:rPr>
            <w:webHidden/>
          </w:rPr>
          <w:t>217</w:t>
        </w:r>
        <w:r>
          <w:rPr>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94" w:history="1">
        <w:r w:rsidR="007538AA" w:rsidRPr="00546390">
          <w:rPr>
            <w:rStyle w:val="Hyperlink"/>
            <w:noProof/>
          </w:rPr>
          <w:t>D.</w:t>
        </w:r>
        <w:r w:rsidR="007538AA">
          <w:rPr>
            <w:rFonts w:asciiTheme="minorHAnsi" w:eastAsiaTheme="minorEastAsia" w:hAnsiTheme="minorHAnsi" w:cstheme="minorBidi"/>
            <w:noProof/>
            <w:sz w:val="22"/>
            <w:lang w:val="en-US"/>
          </w:rPr>
          <w:tab/>
        </w:r>
        <w:r w:rsidR="007538AA" w:rsidRPr="00546390">
          <w:rPr>
            <w:rStyle w:val="Hyperlink"/>
            <w:noProof/>
          </w:rPr>
          <w:t>Análisis de la convergencia de Puerto Rico con Estados Unidos y algunos estados</w:t>
        </w:r>
        <w:r w:rsidR="007538AA">
          <w:rPr>
            <w:noProof/>
            <w:webHidden/>
          </w:rPr>
          <w:tab/>
        </w:r>
        <w:r>
          <w:rPr>
            <w:noProof/>
            <w:webHidden/>
          </w:rPr>
          <w:fldChar w:fldCharType="begin"/>
        </w:r>
        <w:r w:rsidR="007538AA">
          <w:rPr>
            <w:noProof/>
            <w:webHidden/>
          </w:rPr>
          <w:instrText xml:space="preserve"> PAGEREF _Toc384769794 \h </w:instrText>
        </w:r>
        <w:r w:rsidR="002B5716">
          <w:rPr>
            <w:noProof/>
          </w:rPr>
        </w:r>
        <w:r>
          <w:rPr>
            <w:noProof/>
            <w:webHidden/>
          </w:rPr>
          <w:fldChar w:fldCharType="separate"/>
        </w:r>
        <w:r w:rsidR="00A226D8">
          <w:rPr>
            <w:noProof/>
            <w:webHidden/>
          </w:rPr>
          <w:t>218</w:t>
        </w:r>
        <w:r>
          <w:rPr>
            <w:noProof/>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95" w:history="1">
        <w:r w:rsidR="007538AA" w:rsidRPr="00546390">
          <w:rPr>
            <w:rStyle w:val="Hyperlink"/>
          </w:rPr>
          <w:t>D.1</w:t>
        </w:r>
        <w:r w:rsidR="007538AA">
          <w:rPr>
            <w:rFonts w:asciiTheme="minorHAnsi" w:eastAsiaTheme="minorEastAsia" w:hAnsiTheme="minorHAnsi" w:cstheme="minorBidi"/>
            <w:sz w:val="22"/>
            <w:szCs w:val="22"/>
            <w:lang w:val="en-US"/>
          </w:rPr>
          <w:tab/>
        </w:r>
        <w:r w:rsidR="007538AA" w:rsidRPr="00546390">
          <w:rPr>
            <w:rStyle w:val="Hyperlink"/>
          </w:rPr>
          <w:t>Convergencia en Estados Unidos: el análisis regional e interestatal</w:t>
        </w:r>
        <w:r w:rsidR="007538AA">
          <w:rPr>
            <w:webHidden/>
          </w:rPr>
          <w:tab/>
        </w:r>
        <w:r>
          <w:rPr>
            <w:webHidden/>
          </w:rPr>
          <w:fldChar w:fldCharType="begin"/>
        </w:r>
        <w:r w:rsidR="007538AA">
          <w:rPr>
            <w:webHidden/>
          </w:rPr>
          <w:instrText xml:space="preserve"> PAGEREF _Toc384769795 \h </w:instrText>
        </w:r>
        <w:r>
          <w:rPr>
            <w:webHidden/>
          </w:rPr>
          <w:fldChar w:fldCharType="separate"/>
        </w:r>
        <w:r w:rsidR="00A226D8">
          <w:rPr>
            <w:webHidden/>
          </w:rPr>
          <w:t>218</w:t>
        </w:r>
        <w:r>
          <w:rPr>
            <w:webHidden/>
          </w:rPr>
          <w:fldChar w:fldCharType="end"/>
        </w:r>
      </w:hyperlink>
    </w:p>
    <w:p w:rsidR="007538AA" w:rsidRDefault="008964A4" w:rsidP="007538AA">
      <w:pPr>
        <w:pStyle w:val="TOC3"/>
        <w:rPr>
          <w:rFonts w:asciiTheme="minorHAnsi" w:eastAsiaTheme="minorEastAsia" w:hAnsiTheme="minorHAnsi" w:cstheme="minorBidi"/>
          <w:sz w:val="22"/>
          <w:szCs w:val="22"/>
          <w:lang w:val="en-US"/>
        </w:rPr>
      </w:pPr>
      <w:hyperlink w:anchor="_Toc384769796" w:history="1">
        <w:r w:rsidR="007538AA" w:rsidRPr="00546390">
          <w:rPr>
            <w:rStyle w:val="Hyperlink"/>
          </w:rPr>
          <w:t>D.2</w:t>
        </w:r>
        <w:r w:rsidR="007538AA">
          <w:rPr>
            <w:rFonts w:asciiTheme="minorHAnsi" w:eastAsiaTheme="minorEastAsia" w:hAnsiTheme="minorHAnsi" w:cstheme="minorBidi"/>
            <w:sz w:val="22"/>
            <w:szCs w:val="22"/>
            <w:lang w:val="en-US"/>
          </w:rPr>
          <w:tab/>
        </w:r>
        <w:r w:rsidR="007538AA" w:rsidRPr="00546390">
          <w:rPr>
            <w:rStyle w:val="Hyperlink"/>
          </w:rPr>
          <w:t>Puerto Rico en el análisis interestatal</w:t>
        </w:r>
        <w:r w:rsidR="007538AA">
          <w:rPr>
            <w:webHidden/>
          </w:rPr>
          <w:tab/>
        </w:r>
        <w:r>
          <w:rPr>
            <w:webHidden/>
          </w:rPr>
          <w:fldChar w:fldCharType="begin"/>
        </w:r>
        <w:r w:rsidR="007538AA">
          <w:rPr>
            <w:webHidden/>
          </w:rPr>
          <w:instrText xml:space="preserve"> PAGEREF _Toc384769796 \h </w:instrText>
        </w:r>
        <w:r>
          <w:rPr>
            <w:webHidden/>
          </w:rPr>
          <w:fldChar w:fldCharType="separate"/>
        </w:r>
        <w:r w:rsidR="00A226D8">
          <w:rPr>
            <w:webHidden/>
          </w:rPr>
          <w:t>220</w:t>
        </w:r>
        <w:r>
          <w:rPr>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97" w:history="1">
        <w:r w:rsidR="007538AA" w:rsidRPr="00546390">
          <w:rPr>
            <w:rStyle w:val="Hyperlink"/>
            <w:noProof/>
          </w:rPr>
          <w:t>E.</w:t>
        </w:r>
        <w:r w:rsidR="007538AA">
          <w:rPr>
            <w:rFonts w:asciiTheme="minorHAnsi" w:eastAsiaTheme="minorEastAsia" w:hAnsiTheme="minorHAnsi" w:cstheme="minorBidi"/>
            <w:noProof/>
            <w:sz w:val="22"/>
            <w:lang w:val="en-US"/>
          </w:rPr>
          <w:tab/>
        </w:r>
        <w:r w:rsidR="007538AA" w:rsidRPr="00546390">
          <w:rPr>
            <w:rStyle w:val="Hyperlink"/>
            <w:noProof/>
          </w:rPr>
          <w:t>Los determinantes de la convergencia y su posible correlación con la estadidad</w:t>
        </w:r>
        <w:r w:rsidR="007538AA">
          <w:rPr>
            <w:noProof/>
            <w:webHidden/>
          </w:rPr>
          <w:tab/>
        </w:r>
        <w:r>
          <w:rPr>
            <w:noProof/>
            <w:webHidden/>
          </w:rPr>
          <w:fldChar w:fldCharType="begin"/>
        </w:r>
        <w:r w:rsidR="007538AA">
          <w:rPr>
            <w:noProof/>
            <w:webHidden/>
          </w:rPr>
          <w:instrText xml:space="preserve"> PAGEREF _Toc384769797 \h </w:instrText>
        </w:r>
        <w:r w:rsidR="002B5716">
          <w:rPr>
            <w:noProof/>
          </w:rPr>
        </w:r>
        <w:r>
          <w:rPr>
            <w:noProof/>
            <w:webHidden/>
          </w:rPr>
          <w:fldChar w:fldCharType="separate"/>
        </w:r>
        <w:r w:rsidR="00A226D8">
          <w:rPr>
            <w:noProof/>
            <w:webHidden/>
          </w:rPr>
          <w:t>232</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98" w:history="1">
        <w:r w:rsidR="007538AA" w:rsidRPr="00546390">
          <w:rPr>
            <w:rStyle w:val="Hyperlink"/>
            <w:noProof/>
          </w:rPr>
          <w:t>F.</w:t>
        </w:r>
        <w:r w:rsidR="007538AA">
          <w:rPr>
            <w:rFonts w:asciiTheme="minorHAnsi" w:eastAsiaTheme="minorEastAsia" w:hAnsiTheme="minorHAnsi" w:cstheme="minorBidi"/>
            <w:noProof/>
            <w:sz w:val="22"/>
            <w:lang w:val="en-US"/>
          </w:rPr>
          <w:tab/>
        </w:r>
        <w:r w:rsidR="007538AA" w:rsidRPr="00546390">
          <w:rPr>
            <w:rStyle w:val="Hyperlink"/>
            <w:noProof/>
          </w:rPr>
          <w:t>Conclusiones</w:t>
        </w:r>
        <w:r w:rsidR="007538AA">
          <w:rPr>
            <w:noProof/>
            <w:webHidden/>
          </w:rPr>
          <w:tab/>
        </w:r>
        <w:r>
          <w:rPr>
            <w:noProof/>
            <w:webHidden/>
          </w:rPr>
          <w:fldChar w:fldCharType="begin"/>
        </w:r>
        <w:r w:rsidR="007538AA">
          <w:rPr>
            <w:noProof/>
            <w:webHidden/>
          </w:rPr>
          <w:instrText xml:space="preserve"> PAGEREF _Toc384769798 \h </w:instrText>
        </w:r>
        <w:r w:rsidR="002B5716">
          <w:rPr>
            <w:noProof/>
          </w:rPr>
        </w:r>
        <w:r>
          <w:rPr>
            <w:noProof/>
            <w:webHidden/>
          </w:rPr>
          <w:fldChar w:fldCharType="separate"/>
        </w:r>
        <w:r w:rsidR="00A226D8">
          <w:rPr>
            <w:noProof/>
            <w:webHidden/>
          </w:rPr>
          <w:t>235</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799" w:history="1">
        <w:r w:rsidR="007538AA" w:rsidRPr="00546390">
          <w:rPr>
            <w:rStyle w:val="Hyperlink"/>
            <w:noProof/>
          </w:rPr>
          <w:t>Referencias</w:t>
        </w:r>
        <w:r w:rsidR="007538AA">
          <w:rPr>
            <w:noProof/>
            <w:webHidden/>
          </w:rPr>
          <w:tab/>
        </w:r>
        <w:r>
          <w:rPr>
            <w:noProof/>
            <w:webHidden/>
          </w:rPr>
          <w:fldChar w:fldCharType="begin"/>
        </w:r>
        <w:r w:rsidR="007538AA">
          <w:rPr>
            <w:noProof/>
            <w:webHidden/>
          </w:rPr>
          <w:instrText xml:space="preserve"> PAGEREF _Toc384769799 \h </w:instrText>
        </w:r>
        <w:r w:rsidR="002B5716">
          <w:rPr>
            <w:noProof/>
          </w:rPr>
        </w:r>
        <w:r>
          <w:rPr>
            <w:noProof/>
            <w:webHidden/>
          </w:rPr>
          <w:fldChar w:fldCharType="separate"/>
        </w:r>
        <w:r w:rsidR="00A226D8">
          <w:rPr>
            <w:noProof/>
            <w:webHidden/>
          </w:rPr>
          <w:t>236</w:t>
        </w:r>
        <w:r>
          <w:rPr>
            <w:noProof/>
            <w:webHidden/>
          </w:rPr>
          <w:fldChar w:fldCharType="end"/>
        </w:r>
      </w:hyperlink>
    </w:p>
    <w:p w:rsidR="007538AA" w:rsidRDefault="008964A4">
      <w:pPr>
        <w:pStyle w:val="TOC1"/>
        <w:rPr>
          <w:rFonts w:asciiTheme="minorHAnsi" w:eastAsiaTheme="minorEastAsia" w:hAnsiTheme="minorHAnsi" w:cstheme="minorBidi"/>
          <w:b w:val="0"/>
          <w:noProof/>
          <w:sz w:val="22"/>
          <w:szCs w:val="22"/>
          <w:lang w:val="en-US"/>
        </w:rPr>
      </w:pPr>
      <w:hyperlink w:anchor="_Toc384769800" w:history="1">
        <w:r w:rsidR="007538AA" w:rsidRPr="00546390">
          <w:rPr>
            <w:rStyle w:val="Hyperlink"/>
            <w:noProof/>
          </w:rPr>
          <w:t>Capítulo 7: Conclusiones y recomendaciones</w:t>
        </w:r>
        <w:r w:rsidR="007538AA">
          <w:rPr>
            <w:noProof/>
            <w:webHidden/>
          </w:rPr>
          <w:tab/>
        </w:r>
        <w:r>
          <w:rPr>
            <w:noProof/>
            <w:webHidden/>
          </w:rPr>
          <w:fldChar w:fldCharType="begin"/>
        </w:r>
        <w:r w:rsidR="007538AA">
          <w:rPr>
            <w:noProof/>
            <w:webHidden/>
          </w:rPr>
          <w:instrText xml:space="preserve"> PAGEREF _Toc384769800 \h </w:instrText>
        </w:r>
        <w:r w:rsidR="002B5716">
          <w:rPr>
            <w:noProof/>
          </w:rPr>
        </w:r>
        <w:r>
          <w:rPr>
            <w:noProof/>
            <w:webHidden/>
          </w:rPr>
          <w:fldChar w:fldCharType="separate"/>
        </w:r>
        <w:r w:rsidR="00A226D8">
          <w:rPr>
            <w:noProof/>
            <w:webHidden/>
          </w:rPr>
          <w:t>240</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801" w:history="1">
        <w:r w:rsidR="007538AA" w:rsidRPr="00546390">
          <w:rPr>
            <w:rStyle w:val="Hyperlink"/>
            <w:noProof/>
            <w:lang w:val="es-ES_tradnl"/>
          </w:rPr>
          <w:t>A.</w:t>
        </w:r>
        <w:r w:rsidR="007538AA">
          <w:rPr>
            <w:rFonts w:asciiTheme="minorHAnsi" w:eastAsiaTheme="minorEastAsia" w:hAnsiTheme="minorHAnsi" w:cstheme="minorBidi"/>
            <w:noProof/>
            <w:sz w:val="22"/>
            <w:lang w:val="en-US"/>
          </w:rPr>
          <w:tab/>
        </w:r>
        <w:r w:rsidR="007538AA" w:rsidRPr="00546390">
          <w:rPr>
            <w:rStyle w:val="Hyperlink"/>
            <w:noProof/>
            <w:lang w:val="es-ES_tradnl"/>
          </w:rPr>
          <w:t>Introducción</w:t>
        </w:r>
        <w:r w:rsidR="007538AA">
          <w:rPr>
            <w:noProof/>
            <w:webHidden/>
          </w:rPr>
          <w:tab/>
        </w:r>
        <w:r>
          <w:rPr>
            <w:noProof/>
            <w:webHidden/>
          </w:rPr>
          <w:fldChar w:fldCharType="begin"/>
        </w:r>
        <w:r w:rsidR="007538AA">
          <w:rPr>
            <w:noProof/>
            <w:webHidden/>
          </w:rPr>
          <w:instrText xml:space="preserve"> PAGEREF _Toc384769801 \h </w:instrText>
        </w:r>
        <w:r w:rsidR="002B5716">
          <w:rPr>
            <w:noProof/>
          </w:rPr>
        </w:r>
        <w:r>
          <w:rPr>
            <w:noProof/>
            <w:webHidden/>
          </w:rPr>
          <w:fldChar w:fldCharType="separate"/>
        </w:r>
        <w:r w:rsidR="00A226D8">
          <w:rPr>
            <w:noProof/>
            <w:webHidden/>
          </w:rPr>
          <w:t>240</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802" w:history="1">
        <w:r w:rsidR="007538AA" w:rsidRPr="00546390">
          <w:rPr>
            <w:rStyle w:val="Hyperlink"/>
            <w:noProof/>
            <w:lang w:val="es-ES_tradnl"/>
          </w:rPr>
          <w:t>B.</w:t>
        </w:r>
        <w:r w:rsidR="007538AA">
          <w:rPr>
            <w:rFonts w:asciiTheme="minorHAnsi" w:eastAsiaTheme="minorEastAsia" w:hAnsiTheme="minorHAnsi" w:cstheme="minorBidi"/>
            <w:noProof/>
            <w:sz w:val="22"/>
            <w:lang w:val="en-US"/>
          </w:rPr>
          <w:tab/>
        </w:r>
        <w:r w:rsidR="007538AA" w:rsidRPr="00546390">
          <w:rPr>
            <w:rStyle w:val="Hyperlink"/>
            <w:noProof/>
            <w:lang w:val="es-ES_tradnl"/>
          </w:rPr>
          <w:t>El Congreso de Estados Unidos y los escenarios de estatus</w:t>
        </w:r>
        <w:r w:rsidR="007538AA">
          <w:rPr>
            <w:noProof/>
            <w:webHidden/>
          </w:rPr>
          <w:tab/>
        </w:r>
        <w:r>
          <w:rPr>
            <w:noProof/>
            <w:webHidden/>
          </w:rPr>
          <w:fldChar w:fldCharType="begin"/>
        </w:r>
        <w:r w:rsidR="007538AA">
          <w:rPr>
            <w:noProof/>
            <w:webHidden/>
          </w:rPr>
          <w:instrText xml:space="preserve"> PAGEREF _Toc384769802 \h </w:instrText>
        </w:r>
        <w:r w:rsidR="002B5716">
          <w:rPr>
            <w:noProof/>
          </w:rPr>
        </w:r>
        <w:r>
          <w:rPr>
            <w:noProof/>
            <w:webHidden/>
          </w:rPr>
          <w:fldChar w:fldCharType="separate"/>
        </w:r>
        <w:r w:rsidR="00A226D8">
          <w:rPr>
            <w:noProof/>
            <w:webHidden/>
          </w:rPr>
          <w:t>240</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803" w:history="1">
        <w:r w:rsidR="007538AA" w:rsidRPr="00546390">
          <w:rPr>
            <w:rStyle w:val="Hyperlink"/>
            <w:noProof/>
            <w:lang w:val="es-ES_tradnl"/>
          </w:rPr>
          <w:t>C.</w:t>
        </w:r>
        <w:r w:rsidR="007538AA">
          <w:rPr>
            <w:rFonts w:asciiTheme="minorHAnsi" w:eastAsiaTheme="minorEastAsia" w:hAnsiTheme="minorHAnsi" w:cstheme="minorBidi"/>
            <w:noProof/>
            <w:sz w:val="22"/>
            <w:lang w:val="en-US"/>
          </w:rPr>
          <w:tab/>
        </w:r>
        <w:r w:rsidR="007538AA" w:rsidRPr="00546390">
          <w:rPr>
            <w:rStyle w:val="Hyperlink"/>
            <w:noProof/>
            <w:lang w:val="es-ES_tradnl"/>
          </w:rPr>
          <w:t>Reseña de la literatura sobre el tema bajo estudio</w:t>
        </w:r>
        <w:r w:rsidR="007538AA">
          <w:rPr>
            <w:noProof/>
            <w:webHidden/>
          </w:rPr>
          <w:tab/>
        </w:r>
        <w:r>
          <w:rPr>
            <w:noProof/>
            <w:webHidden/>
          </w:rPr>
          <w:fldChar w:fldCharType="begin"/>
        </w:r>
        <w:r w:rsidR="007538AA">
          <w:rPr>
            <w:noProof/>
            <w:webHidden/>
          </w:rPr>
          <w:instrText xml:space="preserve"> PAGEREF _Toc384769803 \h </w:instrText>
        </w:r>
        <w:r w:rsidR="002B5716">
          <w:rPr>
            <w:noProof/>
          </w:rPr>
        </w:r>
        <w:r>
          <w:rPr>
            <w:noProof/>
            <w:webHidden/>
          </w:rPr>
          <w:fldChar w:fldCharType="separate"/>
        </w:r>
        <w:r w:rsidR="00A226D8">
          <w:rPr>
            <w:noProof/>
            <w:webHidden/>
          </w:rPr>
          <w:t>240</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804" w:history="1">
        <w:r w:rsidR="007538AA" w:rsidRPr="00546390">
          <w:rPr>
            <w:rStyle w:val="Hyperlink"/>
            <w:noProof/>
            <w:lang w:val="es-ES_tradnl"/>
          </w:rPr>
          <w:t>D.</w:t>
        </w:r>
        <w:r w:rsidR="007538AA">
          <w:rPr>
            <w:rFonts w:asciiTheme="minorHAnsi" w:eastAsiaTheme="minorEastAsia" w:hAnsiTheme="minorHAnsi" w:cstheme="minorBidi"/>
            <w:noProof/>
            <w:sz w:val="22"/>
            <w:lang w:val="en-US"/>
          </w:rPr>
          <w:tab/>
        </w:r>
        <w:r w:rsidR="007538AA" w:rsidRPr="00546390">
          <w:rPr>
            <w:rStyle w:val="Hyperlink"/>
            <w:noProof/>
            <w:lang w:val="es-ES_tradnl"/>
          </w:rPr>
          <w:t>Reestructuración del sistema fiscal bajo la estadidad</w:t>
        </w:r>
        <w:r w:rsidR="007538AA">
          <w:rPr>
            <w:noProof/>
            <w:webHidden/>
          </w:rPr>
          <w:tab/>
        </w:r>
        <w:r>
          <w:rPr>
            <w:noProof/>
            <w:webHidden/>
          </w:rPr>
          <w:fldChar w:fldCharType="begin"/>
        </w:r>
        <w:r w:rsidR="007538AA">
          <w:rPr>
            <w:noProof/>
            <w:webHidden/>
          </w:rPr>
          <w:instrText xml:space="preserve"> PAGEREF _Toc384769804 \h </w:instrText>
        </w:r>
        <w:r w:rsidR="002B5716">
          <w:rPr>
            <w:noProof/>
          </w:rPr>
        </w:r>
        <w:r>
          <w:rPr>
            <w:noProof/>
            <w:webHidden/>
          </w:rPr>
          <w:fldChar w:fldCharType="separate"/>
        </w:r>
        <w:r w:rsidR="00A226D8">
          <w:rPr>
            <w:noProof/>
            <w:webHidden/>
          </w:rPr>
          <w:t>244</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805" w:history="1">
        <w:r w:rsidR="007538AA" w:rsidRPr="00546390">
          <w:rPr>
            <w:rStyle w:val="Hyperlink"/>
            <w:noProof/>
            <w:lang w:val="es-ES_tradnl"/>
          </w:rPr>
          <w:t>E.</w:t>
        </w:r>
        <w:r w:rsidR="007538AA">
          <w:rPr>
            <w:rFonts w:asciiTheme="minorHAnsi" w:eastAsiaTheme="minorEastAsia" w:hAnsiTheme="minorHAnsi" w:cstheme="minorBidi"/>
            <w:noProof/>
            <w:sz w:val="22"/>
            <w:lang w:val="en-US"/>
          </w:rPr>
          <w:tab/>
        </w:r>
        <w:r w:rsidR="007538AA" w:rsidRPr="00546390">
          <w:rPr>
            <w:rStyle w:val="Hyperlink"/>
            <w:noProof/>
            <w:lang w:val="es-ES_tradnl"/>
          </w:rPr>
          <w:t>Implicaciones para el comercio exterior y el sector empresarial</w:t>
        </w:r>
        <w:r w:rsidR="007538AA">
          <w:rPr>
            <w:noProof/>
            <w:webHidden/>
          </w:rPr>
          <w:tab/>
        </w:r>
        <w:r>
          <w:rPr>
            <w:noProof/>
            <w:webHidden/>
          </w:rPr>
          <w:fldChar w:fldCharType="begin"/>
        </w:r>
        <w:r w:rsidR="007538AA">
          <w:rPr>
            <w:noProof/>
            <w:webHidden/>
          </w:rPr>
          <w:instrText xml:space="preserve"> PAGEREF _Toc384769805 \h </w:instrText>
        </w:r>
        <w:r w:rsidR="002B5716">
          <w:rPr>
            <w:noProof/>
          </w:rPr>
        </w:r>
        <w:r>
          <w:rPr>
            <w:noProof/>
            <w:webHidden/>
          </w:rPr>
          <w:fldChar w:fldCharType="separate"/>
        </w:r>
        <w:r w:rsidR="00A226D8">
          <w:rPr>
            <w:noProof/>
            <w:webHidden/>
          </w:rPr>
          <w:t>247</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806" w:history="1">
        <w:r w:rsidR="007538AA" w:rsidRPr="00546390">
          <w:rPr>
            <w:rStyle w:val="Hyperlink"/>
            <w:noProof/>
            <w:lang w:val="es-ES_tradnl"/>
          </w:rPr>
          <w:t>F.</w:t>
        </w:r>
        <w:r w:rsidR="007538AA">
          <w:rPr>
            <w:rFonts w:asciiTheme="minorHAnsi" w:eastAsiaTheme="minorEastAsia" w:hAnsiTheme="minorHAnsi" w:cstheme="minorBidi"/>
            <w:noProof/>
            <w:sz w:val="22"/>
            <w:lang w:val="en-US"/>
          </w:rPr>
          <w:tab/>
        </w:r>
        <w:r w:rsidR="007538AA" w:rsidRPr="00546390">
          <w:rPr>
            <w:rStyle w:val="Hyperlink"/>
            <w:noProof/>
            <w:lang w:val="es-ES_tradnl"/>
          </w:rPr>
          <w:t>La perspectiva de la competitividad en el tema de la estadidad</w:t>
        </w:r>
        <w:r w:rsidR="007538AA">
          <w:rPr>
            <w:noProof/>
            <w:webHidden/>
          </w:rPr>
          <w:tab/>
        </w:r>
        <w:r>
          <w:rPr>
            <w:noProof/>
            <w:webHidden/>
          </w:rPr>
          <w:fldChar w:fldCharType="begin"/>
        </w:r>
        <w:r w:rsidR="007538AA">
          <w:rPr>
            <w:noProof/>
            <w:webHidden/>
          </w:rPr>
          <w:instrText xml:space="preserve"> PAGEREF _Toc384769806 \h </w:instrText>
        </w:r>
        <w:r w:rsidR="002B5716">
          <w:rPr>
            <w:noProof/>
          </w:rPr>
        </w:r>
        <w:r>
          <w:rPr>
            <w:noProof/>
            <w:webHidden/>
          </w:rPr>
          <w:fldChar w:fldCharType="separate"/>
        </w:r>
        <w:r w:rsidR="00A226D8">
          <w:rPr>
            <w:noProof/>
            <w:webHidden/>
          </w:rPr>
          <w:t>249</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807" w:history="1">
        <w:r w:rsidR="007538AA" w:rsidRPr="00546390">
          <w:rPr>
            <w:rStyle w:val="Hyperlink"/>
            <w:noProof/>
            <w:lang w:val="es-ES_tradnl"/>
          </w:rPr>
          <w:t>G.</w:t>
        </w:r>
        <w:r w:rsidR="007538AA">
          <w:rPr>
            <w:rFonts w:asciiTheme="minorHAnsi" w:eastAsiaTheme="minorEastAsia" w:hAnsiTheme="minorHAnsi" w:cstheme="minorBidi"/>
            <w:noProof/>
            <w:sz w:val="22"/>
            <w:lang w:val="en-US"/>
          </w:rPr>
          <w:tab/>
        </w:r>
        <w:r w:rsidR="007538AA" w:rsidRPr="00546390">
          <w:rPr>
            <w:rStyle w:val="Hyperlink"/>
            <w:noProof/>
            <w:lang w:val="es-ES_tradnl"/>
          </w:rPr>
          <w:t>El debate de la estadidad como vehículo de convergencia</w:t>
        </w:r>
        <w:r w:rsidR="007538AA">
          <w:rPr>
            <w:noProof/>
            <w:webHidden/>
          </w:rPr>
          <w:tab/>
        </w:r>
        <w:r>
          <w:rPr>
            <w:noProof/>
            <w:webHidden/>
          </w:rPr>
          <w:fldChar w:fldCharType="begin"/>
        </w:r>
        <w:r w:rsidR="007538AA">
          <w:rPr>
            <w:noProof/>
            <w:webHidden/>
          </w:rPr>
          <w:instrText xml:space="preserve"> PAGEREF _Toc384769807 \h </w:instrText>
        </w:r>
        <w:r w:rsidR="002B5716">
          <w:rPr>
            <w:noProof/>
          </w:rPr>
        </w:r>
        <w:r>
          <w:rPr>
            <w:noProof/>
            <w:webHidden/>
          </w:rPr>
          <w:fldChar w:fldCharType="separate"/>
        </w:r>
        <w:r w:rsidR="00A226D8">
          <w:rPr>
            <w:noProof/>
            <w:webHidden/>
          </w:rPr>
          <w:t>251</w:t>
        </w:r>
        <w:r>
          <w:rPr>
            <w:noProof/>
            <w:webHidden/>
          </w:rPr>
          <w:fldChar w:fldCharType="end"/>
        </w:r>
      </w:hyperlink>
    </w:p>
    <w:p w:rsidR="007538AA" w:rsidRDefault="008964A4">
      <w:pPr>
        <w:pStyle w:val="TOC2"/>
        <w:rPr>
          <w:rFonts w:asciiTheme="minorHAnsi" w:eastAsiaTheme="minorEastAsia" w:hAnsiTheme="minorHAnsi" w:cstheme="minorBidi"/>
          <w:noProof/>
          <w:sz w:val="22"/>
          <w:lang w:val="en-US"/>
        </w:rPr>
      </w:pPr>
      <w:hyperlink w:anchor="_Toc384769808" w:history="1">
        <w:r w:rsidR="007538AA" w:rsidRPr="00546390">
          <w:rPr>
            <w:rStyle w:val="Hyperlink"/>
            <w:noProof/>
            <w:lang w:val="es-ES_tradnl"/>
          </w:rPr>
          <w:t>H.</w:t>
        </w:r>
        <w:r w:rsidR="007538AA">
          <w:rPr>
            <w:rFonts w:asciiTheme="minorHAnsi" w:eastAsiaTheme="minorEastAsia" w:hAnsiTheme="minorHAnsi" w:cstheme="minorBidi"/>
            <w:noProof/>
            <w:sz w:val="22"/>
            <w:lang w:val="en-US"/>
          </w:rPr>
          <w:tab/>
        </w:r>
        <w:r w:rsidR="007538AA" w:rsidRPr="00546390">
          <w:rPr>
            <w:rStyle w:val="Hyperlink"/>
            <w:noProof/>
            <w:lang w:val="es-ES_tradnl"/>
          </w:rPr>
          <w:t>Recomendaciones</w:t>
        </w:r>
        <w:r w:rsidR="007538AA">
          <w:rPr>
            <w:noProof/>
            <w:webHidden/>
          </w:rPr>
          <w:tab/>
        </w:r>
        <w:r>
          <w:rPr>
            <w:noProof/>
            <w:webHidden/>
          </w:rPr>
          <w:fldChar w:fldCharType="begin"/>
        </w:r>
        <w:r w:rsidR="007538AA">
          <w:rPr>
            <w:noProof/>
            <w:webHidden/>
          </w:rPr>
          <w:instrText xml:space="preserve"> PAGEREF _Toc384769808 \h </w:instrText>
        </w:r>
        <w:r w:rsidR="002B5716">
          <w:rPr>
            <w:noProof/>
          </w:rPr>
        </w:r>
        <w:r>
          <w:rPr>
            <w:noProof/>
            <w:webHidden/>
          </w:rPr>
          <w:fldChar w:fldCharType="separate"/>
        </w:r>
        <w:r w:rsidR="00A226D8">
          <w:rPr>
            <w:noProof/>
            <w:webHidden/>
          </w:rPr>
          <w:t>253</w:t>
        </w:r>
        <w:r>
          <w:rPr>
            <w:noProof/>
            <w:webHidden/>
          </w:rPr>
          <w:fldChar w:fldCharType="end"/>
        </w:r>
      </w:hyperlink>
    </w:p>
    <w:p w:rsidR="005A5E7D" w:rsidRDefault="008964A4">
      <w:pPr>
        <w:spacing w:after="200"/>
        <w:ind w:firstLine="0"/>
        <w:jc w:val="left"/>
        <w:sectPr w:rsidR="005A5E7D">
          <w:pgSz w:w="12240" w:h="15840"/>
          <w:pgMar w:top="1440" w:right="1440" w:bottom="1440" w:left="1440" w:gutter="0"/>
          <w:pgNumType w:fmt="lowerRoman" w:start="1"/>
          <w:titlePg/>
          <w:docGrid w:linePitch="360" w:charSpace="-2049"/>
        </w:sectPr>
      </w:pPr>
      <w:r>
        <w:fldChar w:fldCharType="end"/>
      </w:r>
    </w:p>
    <w:p w:rsidR="005A5E7D" w:rsidRPr="006C2E2C" w:rsidRDefault="005A5E7D">
      <w:pPr>
        <w:spacing w:after="200"/>
        <w:ind w:firstLine="0"/>
        <w:jc w:val="left"/>
        <w:rPr>
          <w:rFonts w:eastAsia="Times New Roman"/>
          <w:color w:val="17365D"/>
          <w:spacing w:val="5"/>
          <w:kern w:val="28"/>
          <w:sz w:val="32"/>
          <w:szCs w:val="52"/>
        </w:rPr>
      </w:pPr>
    </w:p>
    <w:p w:rsidR="005A5E7D" w:rsidRPr="008E33CF" w:rsidRDefault="005A5E7D" w:rsidP="005A5E7D">
      <w:pPr>
        <w:pStyle w:val="Title"/>
        <w:jc w:val="center"/>
        <w:rPr>
          <w:b/>
        </w:rPr>
      </w:pPr>
      <w:r w:rsidRPr="008E33CF">
        <w:rPr>
          <w:b/>
        </w:rPr>
        <w:t>EFECTOS SOBRE LA COMPETITIVIDAD DE PUERTO RICO DE POSIBLES CAMBIOS EN LA LEY 600</w:t>
      </w:r>
    </w:p>
    <w:p w:rsidR="00A9525B" w:rsidRPr="0051162C" w:rsidRDefault="00A9525B" w:rsidP="00A9525B">
      <w:pPr>
        <w:pStyle w:val="Heading1"/>
      </w:pPr>
      <w:bookmarkStart w:id="3" w:name="_Toc384769705"/>
      <w:r w:rsidRPr="0051162C">
        <w:t xml:space="preserve">Resumen </w:t>
      </w:r>
      <w:r>
        <w:t>e</w:t>
      </w:r>
      <w:r w:rsidRPr="0051162C">
        <w:t>jecutivo</w:t>
      </w:r>
      <w:bookmarkEnd w:id="3"/>
    </w:p>
    <w:p w:rsidR="00A9525B" w:rsidRPr="00F47407" w:rsidRDefault="00A9525B" w:rsidP="00A9525B">
      <w:pPr>
        <w:spacing w:after="120"/>
      </w:pPr>
      <w:r w:rsidRPr="00F47407">
        <w:t>La Compañía de Comercio y Exportación de Puerto Rico</w:t>
      </w:r>
      <w:r>
        <w:t xml:space="preserve"> (CCE),</w:t>
      </w:r>
      <w:r w:rsidRPr="008E33CF">
        <w:rPr>
          <w:lang w:val="es-ES_tradnl"/>
        </w:rPr>
        <w:t xml:space="preserve"> </w:t>
      </w:r>
      <w:r w:rsidRPr="008E33CF">
        <w:rPr>
          <w:rFonts w:cs="Verdana"/>
          <w:szCs w:val="26"/>
          <w:lang w:val="es-ES_tradnl"/>
        </w:rPr>
        <w:t>una corporación pública bajo el Departamento de Desarrollo Económico y Comercio (DDEC),</w:t>
      </w:r>
      <w:r w:rsidRPr="0095547C">
        <w:rPr>
          <w:rFonts w:ascii="Verdana" w:hAnsi="Verdana" w:cs="Verdana"/>
          <w:sz w:val="26"/>
          <w:szCs w:val="26"/>
        </w:rPr>
        <w:t xml:space="preserve"> </w:t>
      </w:r>
      <w:r w:rsidRPr="00F47407">
        <w:t xml:space="preserve">solicitó a un grupo de profesores e investigadores de la Universidad de Puerto Rico, Recinto de Río Piedras, la realización de un estudio sobre los efectos en la competitividad de la economía puertorriqueña de posibles cambios en </w:t>
      </w:r>
      <w:r>
        <w:t>su</w:t>
      </w:r>
      <w:r w:rsidRPr="00F47407">
        <w:t xml:space="preserve"> </w:t>
      </w:r>
      <w:r>
        <w:t>estatus</w:t>
      </w:r>
      <w:r w:rsidRPr="00F47407">
        <w:t xml:space="preserve"> político.</w:t>
      </w:r>
      <w:r>
        <w:t xml:space="preserve"> En la actualidad, la CCE está diseñando estrategias para fortalecer la competitividad del sector empresarial, y está consciente de que cualquier cambio en la relación </w:t>
      </w:r>
      <w:r w:rsidRPr="00F47407">
        <w:t xml:space="preserve">jurídica y política entre Puerto Rico y Estados Unidos </w:t>
      </w:r>
      <w:r>
        <w:t>podría tener repercusiones importantes en este tema.</w:t>
      </w:r>
    </w:p>
    <w:p w:rsidR="00A9525B" w:rsidRDefault="00A9525B" w:rsidP="00A9525B">
      <w:pPr>
        <w:spacing w:after="120"/>
      </w:pPr>
      <w:r>
        <w:t>El estatus político ha vuelto a cobrar relevancia en el debate público, a consecuencia del plebiscito realizado en noviembre del 2012 y la radicación de un proyecto de ley en el Congreso de Estados Unidos (HR 2000) dirigido a admitir a Puerto Rico como un estado de Estados Unidos. A diferencia de otras ocasiones en las que se ha presentado legislación en el Congreso sobre el tema del estatus político de Puerto Rico, en este proyecto lo que está sobre el tapete no son todas las alternativas de estatus, sino solamente la petición de que se le conceda la estadidad.</w:t>
      </w:r>
    </w:p>
    <w:p w:rsidR="00A9525B" w:rsidRDefault="00A9525B" w:rsidP="00A9525B">
      <w:pPr>
        <w:spacing w:after="120"/>
      </w:pPr>
      <w:r>
        <w:t>Se estima que la probabilidad de que se apruebe el proyecto HR 2000 son mínimas, debido a que el Congreso adoptó una iniciativa del presidente Barack Obama para facilitar la celebración de un nuevo plebiscito bajo la responsabilidad del Gobierno de Puerto Rico. Sin embargo, el tema sigue estando vigente. De hecho, la</w:t>
      </w:r>
      <w:r w:rsidRPr="00C43290">
        <w:rPr>
          <w:lang w:val="es-ES"/>
        </w:rPr>
        <w:t xml:space="preserve"> </w:t>
      </w:r>
      <w:r w:rsidRPr="00C43290">
        <w:rPr>
          <w:i/>
          <w:lang w:val="es-ES"/>
        </w:rPr>
        <w:t>Government Accountability</w:t>
      </w:r>
      <w:r w:rsidRPr="007C3778">
        <w:rPr>
          <w:i/>
        </w:rPr>
        <w:t xml:space="preserve"> Office</w:t>
      </w:r>
      <w:r>
        <w:t xml:space="preserve"> (GAO) está haciendo un estudio sobre los costos de la estadidad, como parte del proceso deliberativo iniciado en la capital federal, para lo cual solicitó información y datos al gobierno de Puerto Rico.</w:t>
      </w:r>
    </w:p>
    <w:p w:rsidR="00A9525B" w:rsidRDefault="00A9525B" w:rsidP="00A9525B">
      <w:pPr>
        <w:spacing w:after="120"/>
      </w:pPr>
      <w:r>
        <w:t xml:space="preserve">Un punto de partida importante en este estudio es que el debate actual sobre el estatus político se da en un contexto muy diferente al que prevalecía en otras ocasiones en que se abordó. En el Puerto Rico de hoy ya no existe la Sección 936 del Código Rentas Internas federal —la cual fue un tema central en los debates previos sobre el estatus— y es evidente que las consecuencias de su derogación no han sido inocuas para la economía de la Isla. Además, en el Puerto Rico de hoy existe un amplio respaldo —aunque no hay unanimidad— a favor de gestionar la concesión de beneficios contributivos federales para apuntalar la manufactura y otras actividades productivas en la economía de la Isla. Quizás más importante aún es el hecho de que el Gobierno de Puerto Rico se encuentra en una situación fiscal precaria y con serias limitaciones de acceso </w:t>
      </w:r>
      <w:r w:rsidR="00873F5E">
        <w:t>al</w:t>
      </w:r>
      <w:r>
        <w:t xml:space="preserve"> financiamiento. Por otro lado, la economía de la Isla está muy vulnerada después de ocho años de caída y estancamiento. Estas condiciones pueden alterar significativamente el cálculo de costos y beneficios de la estadidad, en comparación con lo que habría sido dicho cálculo en otros tiempos cuando la economía y el Gobierno estaban en una situación mucho más favorable que la actual.</w:t>
      </w:r>
    </w:p>
    <w:p w:rsidR="00A9525B" w:rsidRPr="00F47407" w:rsidRDefault="00A9525B" w:rsidP="00A9525B">
      <w:pPr>
        <w:spacing w:after="120"/>
      </w:pPr>
      <w:r>
        <w:t>El presente estudio está encaminado a contribuir a la discusión sobre el tema de las implicaciones económicas del estatus desde el ámbito académico. En particular, el estudio se enfoca en los cambios estructurales e institucionales que implicaría la estadidad, la opción que se ha puesto en el centro del debate actual. El estudio presta atención a los efectos en la visión de incentivar el empresarismo y la cultura de exportación de bienes y servicios puertorriqueños para transformar a la Isla en un centro de comercio exterior del Caribe y en Latinoamérica.</w:t>
      </w:r>
    </w:p>
    <w:p w:rsidR="00A9525B" w:rsidRDefault="00A9525B" w:rsidP="00A9525B">
      <w:pPr>
        <w:spacing w:after="120"/>
      </w:pPr>
      <w:r>
        <w:t>Los programas de promoción del empresarismo que está desarrollando la CCE, y la estrategia de internacionalización en el ámbito regional que promueve el Departamento de Estado de Puerto Rico, no son neutrales con respecto al estatus político de la Isla. La estadidad plantea oportunidades y limitaciones que no se presentan bajo otras opciones de estatus, por lo que el estudio del tema no es un asunto trivial.</w:t>
      </w:r>
    </w:p>
    <w:p w:rsidR="00A9525B" w:rsidRDefault="00A9525B" w:rsidP="00A9525B">
      <w:pPr>
        <w:spacing w:after="120"/>
      </w:pPr>
      <w:r>
        <w:t>Los objetivos que se propusieron los investigadores para este estudio son:</w:t>
      </w:r>
    </w:p>
    <w:p w:rsidR="00A9525B" w:rsidRDefault="00A9525B" w:rsidP="00CB3560">
      <w:pPr>
        <w:numPr>
          <w:ilvl w:val="0"/>
          <w:numId w:val="15"/>
        </w:numPr>
        <w:spacing w:after="120"/>
        <w:contextualSpacing/>
      </w:pPr>
      <w:r>
        <w:t>Considerar la probabilidad de que el Congreso de Estados Unidos actúe en torno a cambios en la Ley 600 del 1950.</w:t>
      </w:r>
    </w:p>
    <w:p w:rsidR="00A9525B" w:rsidRPr="00043D9C" w:rsidRDefault="00A9525B" w:rsidP="00CB3560">
      <w:pPr>
        <w:numPr>
          <w:ilvl w:val="0"/>
          <w:numId w:val="15"/>
        </w:numPr>
        <w:spacing w:after="120"/>
        <w:contextualSpacing/>
      </w:pPr>
      <w:r w:rsidRPr="00043D9C">
        <w:t xml:space="preserve">Evaluar los efectos económicos de la estadidad más allá del mero ejercicio contable, tomando en consideración las transformaciones políticas e institucionales que dicho </w:t>
      </w:r>
      <w:r>
        <w:t>estatus</w:t>
      </w:r>
      <w:r w:rsidRPr="00043D9C">
        <w:t xml:space="preserve"> implica y cómo afectan la competitividad económica de </w:t>
      </w:r>
      <w:r>
        <w:t>Puerto Rico</w:t>
      </w:r>
      <w:r w:rsidRPr="00043D9C">
        <w:t>.</w:t>
      </w:r>
    </w:p>
    <w:p w:rsidR="00A9525B" w:rsidRPr="00043D9C" w:rsidRDefault="00A9525B" w:rsidP="00CB3560">
      <w:pPr>
        <w:numPr>
          <w:ilvl w:val="0"/>
          <w:numId w:val="15"/>
        </w:numPr>
        <w:spacing w:after="120"/>
        <w:contextualSpacing/>
      </w:pPr>
      <w:r w:rsidRPr="00043D9C">
        <w:t>Evaluar el posicionamiento del sector empresarial ante un posible cambio en las relaciones políticas entre Puerto Rico y Estados Unidos, y ofrecer recomendaciones para el fortalecimiento de dicho sector, con particular atención a los pequeños y medianos comerciantes.</w:t>
      </w:r>
    </w:p>
    <w:p w:rsidR="00A9525B" w:rsidRPr="00043D9C" w:rsidRDefault="00A9525B" w:rsidP="00CB3560">
      <w:pPr>
        <w:numPr>
          <w:ilvl w:val="0"/>
          <w:numId w:val="15"/>
        </w:numPr>
        <w:spacing w:after="120"/>
        <w:contextualSpacing/>
      </w:pPr>
      <w:r w:rsidRPr="00043D9C">
        <w:t>Identificar cómo el sistema fiscal en Puerto Rico se integraría al de Estados Unidos</w:t>
      </w:r>
      <w:r>
        <w:t>,</w:t>
      </w:r>
      <w:r w:rsidRPr="00043D9C">
        <w:t xml:space="preserve"> y los efectos de dicha integración en la salud fiscal de la Isla y su capacidad para ejercer una política pública efectiva.</w:t>
      </w:r>
    </w:p>
    <w:p w:rsidR="00A9525B" w:rsidRPr="00043D9C" w:rsidRDefault="00A9525B" w:rsidP="00CB3560">
      <w:pPr>
        <w:numPr>
          <w:ilvl w:val="0"/>
          <w:numId w:val="15"/>
        </w:numPr>
        <w:spacing w:after="120"/>
        <w:contextualSpacing/>
      </w:pPr>
      <w:r w:rsidRPr="00043D9C">
        <w:t>Identificar las ventajas comparativas que podrían ganarse bajo la estadidad, al igual que las ventajas que podrían perderse, con miras a evaluar el efecto neto esperado en la capacidad de desarrollo económico de Puerto Rico.</w:t>
      </w:r>
    </w:p>
    <w:p w:rsidR="00A9525B" w:rsidRPr="00043D9C" w:rsidRDefault="00A9525B" w:rsidP="00CB3560">
      <w:pPr>
        <w:numPr>
          <w:ilvl w:val="0"/>
          <w:numId w:val="15"/>
        </w:numPr>
        <w:spacing w:after="120"/>
        <w:contextualSpacing/>
      </w:pPr>
      <w:r w:rsidRPr="00043D9C">
        <w:t>Contribuir a la discusión sobre la relación entre la condición política y el proceso de convergencia económica.</w:t>
      </w:r>
    </w:p>
    <w:p w:rsidR="00A9525B" w:rsidRPr="00043D9C" w:rsidRDefault="00A9525B" w:rsidP="00CB3560">
      <w:pPr>
        <w:numPr>
          <w:ilvl w:val="0"/>
          <w:numId w:val="15"/>
        </w:numPr>
        <w:spacing w:after="120"/>
        <w:contextualSpacing/>
      </w:pPr>
      <w:r w:rsidRPr="00043D9C">
        <w:t xml:space="preserve">Ofrecer recomendaciones de política pública a </w:t>
      </w:r>
      <w:r>
        <w:t>la CCE</w:t>
      </w:r>
      <w:r w:rsidRPr="00043D9C">
        <w:t xml:space="preserve"> para fomentar la competitividad de Puerto Rico.</w:t>
      </w:r>
    </w:p>
    <w:p w:rsidR="00A9525B" w:rsidRDefault="00A9525B" w:rsidP="00A9525B">
      <w:pPr>
        <w:spacing w:after="120"/>
      </w:pPr>
      <w:r>
        <w:t>Este informe consiste de siete capítulos. En el primero se hace una evaluación crítica de las posiciones adoptadas por el Congreso de Estados Unidos con respecto al tema del estatus. En este primer capítulo se analizan también los abordajes y las posturas de la academia en Estados Unidos sobre la situación política de Puerto Rico. En el segundo capítulo se presenta una reseña de la literatura académica y no académica sobre la relación entre el estatus y el desempeño económico de la Isla. En el tercero se examinan las consecuencias del cambio de régimen contributivo y fiscal que conllevaría la estadidad, y sus implicaciones para la viabilidad fiscal del Gobierno de Puerto Rico. En el cuarto capítulo se compara el comercio exterior de Puerto Rico con Estados Unidos y los países con los cuales tiene tratados comerciales versus el comercio con el resto de los países, con miras a evaluar el impacto del mercado común con Estados Unidos en las empresas de Puerto Rico. En el quinto capítulo se discute el tema de la competitividad y su relación con el análisis de la convergencia, y cómo la competitividad y la convergencia se entrelazan con la perspectiva teórica de la llamada “trampa del ingreso mediano”. En dicho capítulo se aborda también la cuestión de cómo la estadidad incidiría en los determinantes de la competitividad y en la capacidad de la Isla para superar la trampa del ingreso mediano. El sexto capítulo examina la discusión académica sobre la falta de convergencia entre las economías Puerto Rico y Estados Unidos, y la relación del análisis de la convergencia con el estatus político y la estadidad. Por último, en el séptimo capítulo se presentan las conclusiones del estudio y las recomendaciones del grupo de investigadores.</w:t>
      </w:r>
    </w:p>
    <w:p w:rsidR="00BE7185" w:rsidRDefault="00BE7185" w:rsidP="00A9525B">
      <w:pPr>
        <w:spacing w:after="120"/>
      </w:pPr>
    </w:p>
    <w:p w:rsidR="00A9525B" w:rsidRPr="00043D9C" w:rsidRDefault="00A9525B" w:rsidP="00A9525B">
      <w:pPr>
        <w:pStyle w:val="Heading2"/>
        <w:ind w:left="426" w:hanging="426"/>
        <w:jc w:val="both"/>
      </w:pPr>
      <w:bookmarkStart w:id="4" w:name="_Toc384769706"/>
      <w:r>
        <w:t>Estudios sobre la relación entre el estatus y la economía: un repaso de la literatura</w:t>
      </w:r>
      <w:bookmarkEnd w:id="4"/>
    </w:p>
    <w:p w:rsidR="00A9525B" w:rsidRDefault="00A9525B" w:rsidP="00A9525B">
      <w:pPr>
        <w:spacing w:after="120" w:line="240" w:lineRule="auto"/>
      </w:pPr>
    </w:p>
    <w:p w:rsidR="00A9525B" w:rsidRDefault="00A9525B" w:rsidP="00A9525B">
      <w:pPr>
        <w:spacing w:after="120"/>
      </w:pPr>
      <w:r>
        <w:t>La conexión entre el estatus político y la economía de Puerto Rico ha sido examinada por muchos investigadores, tanto académicos como no académicos. Para este estudio se reseñaron más de 33 artículos, algunos de ellos publicados hace más de tres décadas y otros tan recientes como del año pasado (2013). La multiplicidad de investigaciones sobre el tema va de la mano con una multiplicidad de enfoques, abordajes y metodologías, lo cual se refleja también en una gran diversidad de conclusiones y recomendaciones. Algunos investigadores proclaman la superioridad de un estatus particular sobre las otras opciones, mientras que otros estudiosos del tema asumen una postura menos decidida.</w:t>
      </w:r>
    </w:p>
    <w:p w:rsidR="00A9525B" w:rsidRDefault="00A9525B" w:rsidP="00A9525B">
      <w:pPr>
        <w:spacing w:after="120"/>
      </w:pPr>
      <w:r>
        <w:t>A pesar de la variedad de enfoques y perspectivas, la mayoría de los estudios tratan un conjunto de temas centrales, entre los cuales sobresalen los siguientes:</w:t>
      </w:r>
    </w:p>
    <w:p w:rsidR="00A9525B" w:rsidRPr="0034756B" w:rsidRDefault="00A9525B" w:rsidP="00CB3560">
      <w:pPr>
        <w:numPr>
          <w:ilvl w:val="0"/>
          <w:numId w:val="16"/>
        </w:numPr>
        <w:spacing w:after="120"/>
        <w:contextualSpacing/>
      </w:pPr>
      <w:r>
        <w:t>e</w:t>
      </w:r>
      <w:r w:rsidRPr="0034756B">
        <w:t xml:space="preserve">fectos fiscales de las diferentes opciones de </w:t>
      </w:r>
      <w:r>
        <w:t>estatus,</w:t>
      </w:r>
    </w:p>
    <w:p w:rsidR="00A9525B" w:rsidRPr="0034756B" w:rsidRDefault="00A9525B" w:rsidP="00CB3560">
      <w:pPr>
        <w:numPr>
          <w:ilvl w:val="0"/>
          <w:numId w:val="16"/>
        </w:numPr>
        <w:spacing w:after="120"/>
        <w:contextualSpacing/>
      </w:pPr>
      <w:r>
        <w:t>e</w:t>
      </w:r>
      <w:r w:rsidRPr="0034756B">
        <w:t xml:space="preserve">l </w:t>
      </w:r>
      <w:r>
        <w:t>estatus</w:t>
      </w:r>
      <w:r w:rsidRPr="0034756B">
        <w:t xml:space="preserve"> y las estrategias de desarrollo económico</w:t>
      </w:r>
      <w:r>
        <w:t>,</w:t>
      </w:r>
    </w:p>
    <w:p w:rsidR="00A9525B" w:rsidRPr="0034756B" w:rsidRDefault="00A9525B" w:rsidP="00CB3560">
      <w:pPr>
        <w:numPr>
          <w:ilvl w:val="0"/>
          <w:numId w:val="16"/>
        </w:numPr>
        <w:spacing w:after="120"/>
        <w:contextualSpacing/>
      </w:pPr>
      <w:r>
        <w:t>l</w:t>
      </w:r>
      <w:r w:rsidRPr="0034756B">
        <w:t xml:space="preserve">os incentivos industriales y las opciones de </w:t>
      </w:r>
      <w:r>
        <w:t>estatus,</w:t>
      </w:r>
    </w:p>
    <w:p w:rsidR="00A9525B" w:rsidRPr="0034756B" w:rsidRDefault="00A9525B" w:rsidP="00CB3560">
      <w:pPr>
        <w:numPr>
          <w:ilvl w:val="0"/>
          <w:numId w:val="16"/>
        </w:numPr>
        <w:spacing w:after="120"/>
        <w:contextualSpacing/>
      </w:pPr>
      <w:r>
        <w:t>e</w:t>
      </w:r>
      <w:r w:rsidRPr="0034756B">
        <w:t xml:space="preserve">l </w:t>
      </w:r>
      <w:r>
        <w:t>estatus</w:t>
      </w:r>
      <w:r w:rsidRPr="0034756B">
        <w:t xml:space="preserve"> y la migración</w:t>
      </w:r>
      <w:r>
        <w:t>, y</w:t>
      </w:r>
    </w:p>
    <w:p w:rsidR="00A9525B" w:rsidRPr="0034756B" w:rsidRDefault="00A9525B" w:rsidP="00CB3560">
      <w:pPr>
        <w:numPr>
          <w:ilvl w:val="0"/>
          <w:numId w:val="16"/>
        </w:numPr>
        <w:spacing w:after="120"/>
        <w:contextualSpacing/>
      </w:pPr>
      <w:r>
        <w:t>los c</w:t>
      </w:r>
      <w:r w:rsidRPr="0034756B">
        <w:t xml:space="preserve">ostos y beneficios para Estados Unidos de diferentes opciones de </w:t>
      </w:r>
      <w:r>
        <w:t>estatus.</w:t>
      </w:r>
    </w:p>
    <w:p w:rsidR="00A9525B" w:rsidRDefault="00A9525B" w:rsidP="00A9525B">
      <w:pPr>
        <w:spacing w:after="120"/>
      </w:pPr>
    </w:p>
    <w:p w:rsidR="00A9525B" w:rsidRDefault="00A9525B" w:rsidP="00A9525B">
      <w:pPr>
        <w:spacing w:after="120"/>
      </w:pPr>
      <w:r>
        <w:t>Durante el debate plebiscitario en torno al proyecto del Senado de Estados Unidos S. 712, al comienzo de la década de los 1990s, se realizaron varios estudios sobre los efectos posibles de las diferentes opciones de estatus. Dos de ellos (Peat Marwick, 1990; CBO, 1990) resaltaron los posibles efectos negativos de la estadidad en la situación fiscal del Gobierno de Puerto Rico y en su desarrollo industrial y, por tanto, en su crecimiento económico.</w:t>
      </w:r>
    </w:p>
    <w:p w:rsidR="00A9525B" w:rsidRDefault="00A9525B" w:rsidP="00A9525B">
      <w:pPr>
        <w:spacing w:after="120"/>
      </w:pPr>
      <w:r>
        <w:t>Peat Marwick concluyó, en aquel tiempo, que la Isla podría perder entre 80,000 y 145,000 empleos por el éxodo de las empresas que operaban bajo la Sección 936 del Código de Rentas Internas de Estados Unidos, que todavía estaban en su apogeo. Según dicho estudio, la extensión de todos los programas federales de transferencias a Puerto Rico sería un efecto positivo de la estadidad, pero no bastaría para compensar los efectos negativos, y se proyectaba que en diez años (para el año 2000), la demanda agregada en la Isla se reduciría considerablemente.</w:t>
      </w:r>
    </w:p>
    <w:p w:rsidR="00A9525B" w:rsidRDefault="00A9525B" w:rsidP="00A9525B">
      <w:pPr>
        <w:spacing w:after="120"/>
      </w:pPr>
      <w:r>
        <w:t xml:space="preserve">Por su parte, la Oficina de Presupuesto del Congreso </w:t>
      </w:r>
      <w:r w:rsidRPr="00C43290">
        <w:rPr>
          <w:lang w:val="es-ES"/>
        </w:rPr>
        <w:t>(</w:t>
      </w:r>
      <w:r w:rsidRPr="00C43290">
        <w:rPr>
          <w:i/>
          <w:lang w:val="es-ES"/>
        </w:rPr>
        <w:t>Congressional Budget</w:t>
      </w:r>
      <w:r w:rsidRPr="0095547C">
        <w:rPr>
          <w:i/>
        </w:rPr>
        <w:t xml:space="preserve"> Office</w:t>
      </w:r>
      <w:r>
        <w:t xml:space="preserve">, CBO) concluyó que la estadidad podría causar una reducción significativa en el crecimiento de la economía puertorriqueña (aunque inicialmente le diera un impulso a través del aumento en las transferencias netas), debido a una reducción de la inversión, la producción y el empleo en el sector manufacturero. En un plazo de diez años (para el año 2000), las simulaciones de la CBO daban como resultado una reducción de entre un 10% y un 15% en el </w:t>
      </w:r>
      <w:r w:rsidRPr="00E2668C">
        <w:t>producto nacional bruto</w:t>
      </w:r>
      <w:r>
        <w:t xml:space="preserve"> (PNB) de la Isla.</w:t>
      </w:r>
    </w:p>
    <w:p w:rsidR="00A9525B" w:rsidRDefault="00A9525B" w:rsidP="00A9525B">
      <w:pPr>
        <w:spacing w:after="120"/>
      </w:pPr>
      <w:r>
        <w:t>Peat Marwick también concluyó que la estadidad crearía un “dilema presupuestario” para el Gobierno de Puerto Rico. El dilema consiste en que a pesar de que los impuestos federales que traería la estadidad imponen una carga contributiva adicional, el Gobierno de la Isla no podría  bajar significativamente sus impuestos  si desea mantener el nivel de los servicios públicos.</w:t>
      </w:r>
    </w:p>
    <w:p w:rsidR="00A9525B" w:rsidRDefault="00A9525B" w:rsidP="00A9525B">
      <w:pPr>
        <w:spacing w:after="120"/>
      </w:pPr>
      <w:r>
        <w:t>A su vez, tener una carga contributiva tan pesada convertiría a la Isla en un estado no competitivo en cuanto a impuestos. Según Peat Marwick, de reducirse las tasas contributivas del nuevo estado a niveles comparables a las prevalecientes en los 50 estados, el erario puertorriqueño habría sacrificado unos $1,000 millones al año. Si se hubiese optado por balancear el presupuesto recortando gastos, habría sido necesario despedir al 40% de los empleados gubernamentales, 90,000 empleos, en aquel tiempo.</w:t>
      </w:r>
    </w:p>
    <w:p w:rsidR="00A9525B" w:rsidRDefault="00A9525B" w:rsidP="00A9525B">
      <w:pPr>
        <w:spacing w:after="120"/>
      </w:pPr>
      <w:r>
        <w:t>El “dilema presupuestario” que planteó el estudio de Peat Marwick, se refería en esencia a si Puerto Rico sería fiscalmente viable como estado, algo que es quizás más pertinente hoy que entonces, debido a la estrechez fiscal y a la pesada carga del servicio de la deuda pública que enfrenta el Gobierno de Puerto Rico en estos tiempos. La pregunta es si las transferencias netas adicionales que se recibirían bajo la estadidad podrían compensar la pérdida de ingresos que conllevaría cederle el espacio contributivo estatal al Gobierno federal, sin que falten recursos para proveer los servicios públicos esenciales y hacer los pagos contractuales a los bonistas.</w:t>
      </w:r>
    </w:p>
    <w:p w:rsidR="00A9525B" w:rsidRDefault="00A9525B" w:rsidP="00A9525B">
      <w:pPr>
        <w:spacing w:after="120"/>
      </w:pPr>
      <w:r>
        <w:t xml:space="preserve">Otros estudios presentan una evaluación menos negativa de la estadidad, aunque también plantean que limitaría el crecimiento de la economía de Puerto Rico. Hexner y Jenkins (1993) utilizaron un modelo de equilibrio general </w:t>
      </w:r>
      <w:r w:rsidRPr="000516D8">
        <w:t>computable (</w:t>
      </w:r>
      <w:r w:rsidRPr="000516D8">
        <w:rPr>
          <w:i/>
        </w:rPr>
        <w:t>computable general equilibrium model</w:t>
      </w:r>
      <w:r w:rsidRPr="000516D8">
        <w:t xml:space="preserve"> o</w:t>
      </w:r>
      <w:r w:rsidRPr="000516D8">
        <w:rPr>
          <w:i/>
        </w:rPr>
        <w:t xml:space="preserve"> CGE model</w:t>
      </w:r>
      <w:r w:rsidRPr="000516D8">
        <w:t>) para simular los efectos de la estadidad</w:t>
      </w:r>
      <w:r>
        <w:t>. Concluyeron que el PNB real de la Isla habría caído un 5.6% entre 1992 y 2000, en vez de la reducción de entre un 10% y un 15% que se obtuvo en las simulaciones de la CBO. Es necesario comentar que estas simulaciones se hicieron con un modelo macroeconométrico; es decir, con una metodología diferente a la de Hexner y Jenkins.  Hexner y Jenkins argumentaban que el Gobierno de Puerto Rico podría adoptar políticas compensatorias y contrarrestar fácilmente los daños por la pérdida de la Sección 936. A la luz de la experiencia de la economía de la Isla en los últimos diez años, esa apreciación de los autores luce muy optimista.</w:t>
      </w:r>
    </w:p>
    <w:p w:rsidR="00A9525B" w:rsidRDefault="00A9525B" w:rsidP="00A9525B">
      <w:pPr>
        <w:spacing w:after="120"/>
      </w:pPr>
      <w:r>
        <w:t>Otro argumento de Hexner y Jenkins es que la estadidad alteraría favorablemente la percepción que tendrían los inversionistas sobre Puerto Rico, al verlo como un estado integrado política y económicamente a Estados Unidos, lo cual podría resultar en mayor inversión del exterior. Un argumento similar lo presenta otro investigador partidario de la estadidad (Lefort, 1997), en un estudio basado en la teoría de la convergencia económica.</w:t>
      </w:r>
    </w:p>
    <w:p w:rsidR="00A9525B" w:rsidRDefault="00A9525B" w:rsidP="00A9525B">
      <w:pPr>
        <w:spacing w:after="120"/>
      </w:pPr>
      <w:r>
        <w:t>En prácticamente todos los artículos y libros examinados, el desarrollo económico es uno de los temas predominantes. Colón (1997) indica que las reformas económicas propuestas por los partidos políticos responden a dos visiones diferentes de cómo reformar el sistema político para estimular el desarrollo económico a largo plazo. Según el autor, los simpatizantes de la estadidad proponen, como eje central de la estrategia de desarrollo, un mayor grado de integración a la economía de Estados Unidos, mientras que los autonomistas e independentistas proponen un mayor grado de integración a la economía global. “Estas dos trayectorias de desarrollo económico y político con gran probabilidad dominarán las futuras discusiones sobre el status (sic) durante el curso de este siglo”, concluyó Colón.</w:t>
      </w:r>
    </w:p>
    <w:p w:rsidR="00A9525B" w:rsidRDefault="00A9525B" w:rsidP="00A9525B">
      <w:pPr>
        <w:spacing w:after="120"/>
      </w:pPr>
      <w:r>
        <w:t>Los impulsores de la estadidad han argumentado en varios artículos y estudios (Finn, 1983; Hexner et al., 1993; McKee, 1990) que la integración política y económica con Estados Unidos proveerá a Puerto Rico de pilares sólidos para un crecimiento económico sostenido. Se argumenta que se atraerá a los inversionistas por los recursos humanos, financieros, geográficos y de infraestructura con los que cuenta la Isla, y por la seguridad del marco jurídico e institucional de la estadidad federada. Por otro lado, algunos opositores de la estadidad (citados en Heine y Mauger, 1980) indican que la economía puertorriqueña posestadidad podría ser una frágil y dependiente de las transferencias federales, con un excedente de mano de obra que conllevaría salarios comparativamente bajos con relación a los otros estados.</w:t>
      </w:r>
    </w:p>
    <w:p w:rsidR="00BE7185" w:rsidRDefault="00BE7185" w:rsidP="00A9525B">
      <w:pPr>
        <w:spacing w:after="120"/>
      </w:pPr>
    </w:p>
    <w:p w:rsidR="00A9525B" w:rsidRPr="00043D9C" w:rsidRDefault="00A9525B" w:rsidP="00A9525B">
      <w:pPr>
        <w:pStyle w:val="Heading2"/>
        <w:ind w:left="426" w:hanging="426"/>
        <w:jc w:val="both"/>
      </w:pPr>
      <w:bookmarkStart w:id="5" w:name="_Toc384769707"/>
      <w:r>
        <w:t>El Congreso y los escenarios del estatus político</w:t>
      </w:r>
      <w:bookmarkEnd w:id="5"/>
    </w:p>
    <w:p w:rsidR="00A9525B" w:rsidRDefault="00A9525B" w:rsidP="00A9525B">
      <w:pPr>
        <w:spacing w:after="120" w:line="240" w:lineRule="auto"/>
      </w:pPr>
    </w:p>
    <w:p w:rsidR="00A9525B" w:rsidRDefault="00A9525B" w:rsidP="00A9525B">
      <w:pPr>
        <w:spacing w:after="120"/>
      </w:pPr>
      <w:r>
        <w:t>La discusión actual sobre el estatus político futuro de Puerto Rico ocurre en medio de una aguda crisis fiscal en la Isla, que está generando atención dentro y fuera de Estados Unidos. Este contexto de crisis no necesariamente contribuye a la consideración de escenarios alternos para Puerto Rico en el Congreso, especialmente si implican un aumento sustancial de erogación de fondos federales, aunque el tema es más amplio que la consideración de cálculos económicos de costo-beneficio.</w:t>
      </w:r>
    </w:p>
    <w:p w:rsidR="00A9525B" w:rsidRDefault="00A9525B" w:rsidP="00A9525B">
      <w:pPr>
        <w:spacing w:after="120"/>
      </w:pPr>
      <w:r>
        <w:t>El Congreso es un escenario hostil a la consideración de casos como el del estatus de Puerto Rico por factores diversos y complejos, algunos de naturaleza permanente y otros más bien coyunturales. Lograr colocar el tema de forma sostenida en la agenda de temas prioritarios que requieren atención y acción inmediata del Congreso es un primer umbral que resulta difícil traspasar. Al presente, la tendencia del legislativo federal es de actuar de forma extremadamente selectiva en cuanto al número de asuntos a los cuales le dedica tiempo, atención y, al final, acción positiva a través de una aprobación de ley.</w:t>
      </w:r>
    </w:p>
    <w:p w:rsidR="00A9525B" w:rsidRDefault="00A9525B" w:rsidP="00A9525B">
      <w:pPr>
        <w:spacing w:after="120"/>
      </w:pPr>
      <w:r>
        <w:t>El hecho de que el Congreso haya optado por favorecer la celebración de otra votación bajo los términos sugeridos por el presidente Obama prácticamente anula la posibilidad de que el legislativo de Estados Unidos apruebe el HR 2000, el cual está dirigido a un voto estadidad sí o no. Una vez más, el Congreso decidirá aplazar para una fecha futura la consideración sustantiva de las opciones de estatus, asunto que no ha sido tratado de forma detallada por el Senado y la Cámara de Estados Unidos desde el 1991, hace ya más de veinte años. Ello es consistente con la ausencia de un consenso sustantivo sobre el futuro de Puerto Rico.</w:t>
      </w:r>
    </w:p>
    <w:p w:rsidR="00A9525B" w:rsidRDefault="00A9525B" w:rsidP="00A9525B">
      <w:pPr>
        <w:spacing w:after="120"/>
      </w:pPr>
      <w:r>
        <w:t xml:space="preserve">La falta de un consenso político en Estados Unidos sobre el futuro político de la Isla tiene su paralelo en la ausencia también de un consenso académico. El examen de la estadidad que se plantea actualmente se lleva a cabo en momentos en que no existe ningún tipo de consenso académico sustancial, ni entre los centros de </w:t>
      </w:r>
      <w:r w:rsidRPr="000516D8">
        <w:t>estudio (</w:t>
      </w:r>
      <w:r w:rsidRPr="000516D8">
        <w:rPr>
          <w:i/>
        </w:rPr>
        <w:t>think tanks</w:t>
      </w:r>
      <w:r w:rsidRPr="000516D8">
        <w:t>) en</w:t>
      </w:r>
      <w:r>
        <w:t xml:space="preserve"> Estados Unidos, sobre si Puerto Rico debe admitirse o no como estado, o sobre cuál debe ser la orientación general de un cambio en las relaciones políticas actuales.</w:t>
      </w:r>
    </w:p>
    <w:p w:rsidR="00A9525B" w:rsidRDefault="00A9525B" w:rsidP="00A9525B">
      <w:pPr>
        <w:spacing w:after="120"/>
      </w:pPr>
      <w:r>
        <w:t>En general, sin embargo, sí se percibe un reconocimiento en el ámbito académico sobre el hecho de que la población del territorio que aspire a la estadidad tiene que ser profundamente leal a una identidad política y cultural común, si interesa ser parte de la unión federal. En el ámbito público, las voces de la extrema derecha del Partido Republicano también son fuertes en su oposición a un estado latino.</w:t>
      </w:r>
    </w:p>
    <w:p w:rsidR="00A9525B" w:rsidRDefault="00A9525B" w:rsidP="00A9525B">
      <w:pPr>
        <w:spacing w:after="120"/>
      </w:pPr>
      <w:r>
        <w:t>En suma, en Estados Unidos no parece existir al momento un consenso político o académico suficiente para encaminar a corto plazo una alteración exitosa del marco jurídico-político de su relación con Puerto Rico. La intensa polarización política interna en Estados Unidos afecta a Puerto Rico de forma directa. En este contexto, es prácticamente imposible impulsar una estrategia partidista dirigida a la alteración del estatus político presente.</w:t>
      </w:r>
    </w:p>
    <w:p w:rsidR="00BE7185" w:rsidRDefault="00BE7185" w:rsidP="00A9525B">
      <w:pPr>
        <w:spacing w:after="120"/>
      </w:pPr>
    </w:p>
    <w:p w:rsidR="00A9525B" w:rsidRPr="00043D9C" w:rsidRDefault="00A9525B" w:rsidP="00A9525B">
      <w:pPr>
        <w:pStyle w:val="Heading2"/>
        <w:ind w:left="426" w:hanging="426"/>
        <w:jc w:val="both"/>
      </w:pPr>
      <w:bookmarkStart w:id="6" w:name="_Toc384769708"/>
      <w:r>
        <w:t>La estadidad y el cambio de régimen fiscal en el Puerto Rico de hoy</w:t>
      </w:r>
      <w:bookmarkEnd w:id="6"/>
    </w:p>
    <w:p w:rsidR="00A9525B" w:rsidRDefault="00A9525B" w:rsidP="00A9525B">
      <w:pPr>
        <w:spacing w:after="120" w:line="240" w:lineRule="auto"/>
      </w:pPr>
    </w:p>
    <w:p w:rsidR="00A9525B" w:rsidRDefault="00A9525B" w:rsidP="00A9525B">
      <w:pPr>
        <w:spacing w:after="120"/>
      </w:pPr>
      <w:r>
        <w:t>En el pasado, los debates sobre las consecuencias económicas de posibles cambios en el estatus les han dado una importancia central al tema fiscal. Este enfoque es más importante aún en el presente, dada la frágil condición fiscal del Gobierno de Puerto Rico. La estadidad conllevaría un aumento en las transferencias del Gobierno federal al Gobierno de Puerto Rico y a las personas en el país. Pero, por otro lado, conllevaría también la aplicación total de la estructura contributiva federal a las personas y los negocios en la Isla. Esto significa un cambio en el régimen fiscal que plantearía serios retos, tanto al Gobierno de Estados Unidos como al de Puerto Rico, dado que la Isla ya es una jurisdicción con una alta dependencia de fondos federales y con una capacidad muy limitada de solventar los gastos corrientes de la administración pública con el sistema contributivo vigente. El “dilema presupuestario” del que habló Peat Marwick hace más de 20 años se plantea ahora con más urgencia.</w:t>
      </w:r>
    </w:p>
    <w:p w:rsidR="00A9525B" w:rsidRDefault="00A9525B" w:rsidP="00A9525B">
      <w:pPr>
        <w:spacing w:after="120"/>
      </w:pPr>
      <w:r>
        <w:t>Las transferencias del Gobierno federal al Gobierno de Puerto Rico son comparativamente bajas cuando se contrastan con las que reciben los 50 estados. Sin embargo, representan una proporción bastante alta de los ingresos fiscales totales. En el año 2011, los fondos federales aportados al Gobierno de la Isla representaron $1,222 por habitante; esta cifra es menos de la mitad de lo que recibió el estado más pobre (Misisipi, con $2,931 por habitante) y equivalente a 1.4 desviaciones estándar por debajo del promedio de los 50 estados. En el mismo año, el porcentaje de los ingresos fiscales totales provenientes de aportaciones federales en la Isla fue igual que el promedio correspondiente para los 50 estados</w:t>
      </w:r>
    </w:p>
    <w:p w:rsidR="00A9525B" w:rsidRPr="00620FB4" w:rsidRDefault="00A9525B" w:rsidP="00A9525B">
      <w:pPr>
        <w:spacing w:after="120"/>
        <w:rPr>
          <w:szCs w:val="24"/>
        </w:rPr>
      </w:pPr>
      <w:r>
        <w:t xml:space="preserve">Si el Gobierno de Puerto Rico hubiese recibido la misma cantidad de aportaciones federales por habitante que recibió Misisipi en el 2011, dichos fondos habrían representado el 58% de los ingresos gubernamentales, en contraste con el 37% de Misisipi. En realidad, el porcentaje sería mayor del 58%, ya que seguramente el Gobierno de la Isla tendría que reducir las contribuciones estatales y, por tanto, los ingresos propios para compensar en parte el aumento de la carga contributiva causado por la aplicación de las contribuciones federales. Utilizando la experiencia de varios estados, se estima que dicho promedio estaría entre el 59% y el 71%. </w:t>
      </w:r>
      <w:r w:rsidRPr="00620FB4">
        <w:rPr>
          <w:rFonts w:eastAsia="+mn-ea"/>
          <w:color w:val="000000"/>
          <w:szCs w:val="24"/>
        </w:rPr>
        <w:t xml:space="preserve">En la medida en que el </w:t>
      </w:r>
      <w:r>
        <w:rPr>
          <w:rFonts w:eastAsia="+mn-ea"/>
          <w:color w:val="000000"/>
          <w:szCs w:val="24"/>
        </w:rPr>
        <w:t>Gobierno</w:t>
      </w:r>
      <w:r w:rsidRPr="00620FB4">
        <w:rPr>
          <w:rFonts w:eastAsia="+mn-ea"/>
          <w:color w:val="000000"/>
          <w:szCs w:val="24"/>
        </w:rPr>
        <w:t xml:space="preserve"> de Puerto Rico aumente su dependencia de aportaciones federales, es de esperarse que se reduzca aún más su autonomía en la implantación de política pública.</w:t>
      </w:r>
    </w:p>
    <w:p w:rsidR="00A9525B" w:rsidRDefault="00A9525B" w:rsidP="00A9525B">
      <w:pPr>
        <w:spacing w:after="120"/>
      </w:pPr>
      <w:r>
        <w:t>Si el Gobierno de Puerto Rico hubiese recibido en el 2011 la misma cantidad de transferencias por habitante que recibieron en promedio los estados ($2,098), las transferencias federales al Gobierno hubiesen aumentado de $4,482 millones a $7,750 millones. La razón más importante para este aumento serían los cambios en las aportaciones al programa de Medicaid. Es de esperarse que bajo la estadidad este programa aumente sustancialmente. Sin duda, este cambio representaría un beneficio considerable para los residentes de Puerto Rico, pero la otra cara de la moneda es que la Isla se convertiría en una jurisdicción extremadamente dependiente del Gobierno federal; sobre todo si se tiene presente que también habría un aumento significativo en las transferencias a las personas, además de las aportaciones al Gobierno.</w:t>
      </w:r>
    </w:p>
    <w:p w:rsidR="00A9525B" w:rsidRDefault="00A9525B" w:rsidP="00A9525B">
      <w:pPr>
        <w:spacing w:after="120"/>
      </w:pPr>
      <w:r>
        <w:t>Otra dimensión del tema es cómo se afectaría la carga contributiva con la estadidad. Medido en términos per cápita (por habitante), los impuestos en Puerto Rico son más bajos que el promedio para los 50 estados. Pero, a pesar de ello, cuando se miden los impuestos totales como proporción del PNB o del ingreso personal per cápita, la carga tributaria en la Isla es significativamente mayor que el promedio para los estados.</w:t>
      </w:r>
    </w:p>
    <w:p w:rsidR="00A9525B" w:rsidRDefault="00A9525B" w:rsidP="00A9525B">
      <w:pPr>
        <w:spacing w:after="120"/>
      </w:pPr>
      <w:r>
        <w:t>Comparando los datos de Puerto Rico, procedentes del Departamento de Hacienda, con los correspondientes a los 50 estados, obtenidos del Servicio de Rentas Internas federal (IRS, por sus siglas en inglés), se realizó un cálculo de lo que serían las contribuciones en la Isla bajo la estadidad. Los estimados indicaron lo siguiente:</w:t>
      </w:r>
    </w:p>
    <w:p w:rsidR="00A9525B" w:rsidRDefault="00A9525B" w:rsidP="00A9525B">
      <w:pPr>
        <w:spacing w:after="120"/>
      </w:pPr>
      <w:r>
        <w:t>1. La carga contributiva de los individuos aumentaría del 13.4% del ingreso personal al 16.5%.</w:t>
      </w:r>
      <w:r>
        <w:rPr>
          <w:rStyle w:val="FootnoteReference"/>
        </w:rPr>
        <w:footnoteReference w:id="1"/>
      </w:r>
      <w:r>
        <w:t xml:space="preserve"> Esto implica que los residentes de Puerto Rico pagarían $1,</w:t>
      </w:r>
      <w:r w:rsidRPr="000F399A">
        <w:t>9</w:t>
      </w:r>
      <w:r>
        <w:t>00</w:t>
      </w:r>
      <w:r w:rsidRPr="000F399A">
        <w:t xml:space="preserve"> millones</w:t>
      </w:r>
      <w:r>
        <w:t xml:space="preserve"> adicionales al fisco federal en impuestos no corporativos.</w:t>
      </w:r>
    </w:p>
    <w:p w:rsidR="00A9525B" w:rsidRDefault="00A9525B" w:rsidP="00A9525B">
      <w:pPr>
        <w:spacing w:after="120"/>
      </w:pPr>
      <w:r>
        <w:t xml:space="preserve">2. Los impuestos corporativos también aumentarían significativamente. Se estima que las corporaciones radicadas en Puerto Rico sujetas a contribución regular pagarían $758 millones al fisco federal, mientras las corporaciones exentas (de mantenerse en la Isla) le pagarían $5,500 </w:t>
      </w:r>
      <w:r w:rsidRPr="000F399A">
        <w:t>millones</w:t>
      </w:r>
      <w:r>
        <w:t>. De no alterarse las contribuciones de la Isla para compensar ese efecto, la carga contributiva total de las corporaciones aumentaría del 4.2% del ingreso personal al 14.1%.</w:t>
      </w:r>
    </w:p>
    <w:p w:rsidR="00A9525B" w:rsidRDefault="00A9525B" w:rsidP="00A9525B">
      <w:pPr>
        <w:spacing w:after="120"/>
      </w:pPr>
      <w:r>
        <w:t>3. La carga contributiva total de los impuestos a individuos y a corporaciones, como porcentaje del ingreso personal, aumentaría del 17.5% al 30.6%.</w:t>
      </w:r>
    </w:p>
    <w:p w:rsidR="00A9525B" w:rsidRDefault="00A9525B" w:rsidP="00A9525B">
      <w:pPr>
        <w:spacing w:after="120"/>
      </w:pPr>
      <w:r>
        <w:t>Si el sistema tributario del nuevo estado no se modificara, el aumento en contribuciones podría tener un impacto negativo en las empresas en Puerto Rico, especialmente en las pequeñas y medianas empresas. Estas son precisamente las que se quejan actualmente de la carga contributiva que tienen que sobrellevar, y también constituyen el grueso de la población empresarial a la que se dirigen los programas de desarrollo de la Compañía de Comercio y Exportación (CEE).</w:t>
      </w:r>
    </w:p>
    <w:p w:rsidR="00A9525B" w:rsidRPr="005322AE" w:rsidRDefault="00A9525B" w:rsidP="00A9525B">
      <w:pPr>
        <w:rPr>
          <w:lang w:eastAsia="ar-SA"/>
        </w:rPr>
      </w:pPr>
      <w:r w:rsidRPr="005322AE">
        <w:rPr>
          <w:lang w:eastAsia="ar-SA"/>
        </w:rPr>
        <w:t xml:space="preserve">Como ya se indicó, las corporaciones </w:t>
      </w:r>
      <w:r>
        <w:t>radicadas en Puerto Rico</w:t>
      </w:r>
      <w:r w:rsidRPr="005322AE">
        <w:rPr>
          <w:lang w:eastAsia="ar-SA"/>
        </w:rPr>
        <w:t xml:space="preserve"> sujetas a </w:t>
      </w:r>
      <w:r>
        <w:rPr>
          <w:lang w:eastAsia="ar-SA"/>
        </w:rPr>
        <w:t xml:space="preserve">contribución regular </w:t>
      </w:r>
      <w:r w:rsidRPr="005322AE">
        <w:rPr>
          <w:lang w:eastAsia="ar-SA"/>
        </w:rPr>
        <w:t xml:space="preserve">podrían pagar $758 millones </w:t>
      </w:r>
      <w:r w:rsidRPr="00A25B96">
        <w:rPr>
          <w:lang w:eastAsia="ar-SA"/>
        </w:rPr>
        <w:t xml:space="preserve">al </w:t>
      </w:r>
      <w:r>
        <w:rPr>
          <w:lang w:eastAsia="ar-SA"/>
        </w:rPr>
        <w:t>fisco</w:t>
      </w:r>
      <w:r w:rsidRPr="00A25B96">
        <w:rPr>
          <w:lang w:eastAsia="ar-SA"/>
        </w:rPr>
        <w:t xml:space="preserve"> federal</w:t>
      </w:r>
      <w:r>
        <w:rPr>
          <w:lang w:eastAsia="ar-SA"/>
        </w:rPr>
        <w:t xml:space="preserve">. </w:t>
      </w:r>
      <w:r w:rsidRPr="005322AE">
        <w:rPr>
          <w:lang w:eastAsia="ar-SA"/>
        </w:rPr>
        <w:t>Por otro lado</w:t>
      </w:r>
      <w:r>
        <w:rPr>
          <w:lang w:eastAsia="ar-SA"/>
        </w:rPr>
        <w:t>,</w:t>
      </w:r>
      <w:r w:rsidRPr="005322AE">
        <w:rPr>
          <w:lang w:eastAsia="ar-SA"/>
        </w:rPr>
        <w:t xml:space="preserve"> las empresas radicadas en Puerto Rico</w:t>
      </w:r>
      <w:r>
        <w:rPr>
          <w:lang w:eastAsia="ar-SA"/>
        </w:rPr>
        <w:t>,</w:t>
      </w:r>
      <w:r w:rsidRPr="005322AE">
        <w:rPr>
          <w:lang w:eastAsia="ar-SA"/>
        </w:rPr>
        <w:t xml:space="preserve"> que hoy día reciben incentivos contributivos</w:t>
      </w:r>
      <w:r>
        <w:rPr>
          <w:lang w:eastAsia="ar-SA"/>
        </w:rPr>
        <w:t>,</w:t>
      </w:r>
      <w:r w:rsidRPr="005322AE">
        <w:rPr>
          <w:lang w:eastAsia="ar-SA"/>
        </w:rPr>
        <w:t xml:space="preserve"> tendrían que pagar impuestos sustanciales al </w:t>
      </w:r>
      <w:r>
        <w:rPr>
          <w:lang w:eastAsia="ar-SA"/>
        </w:rPr>
        <w:t>Gobierno</w:t>
      </w:r>
      <w:r w:rsidRPr="005322AE">
        <w:rPr>
          <w:lang w:eastAsia="ar-SA"/>
        </w:rPr>
        <w:t xml:space="preserve"> federal, lo que deja</w:t>
      </w:r>
      <w:r>
        <w:rPr>
          <w:lang w:eastAsia="ar-SA"/>
        </w:rPr>
        <w:t>ría</w:t>
      </w:r>
      <w:r w:rsidRPr="005322AE">
        <w:rPr>
          <w:lang w:eastAsia="ar-SA"/>
        </w:rPr>
        <w:t xml:space="preserve"> sin efe</w:t>
      </w:r>
      <w:r>
        <w:rPr>
          <w:lang w:eastAsia="ar-SA"/>
        </w:rPr>
        <w:t>cto la estrategia de atracción de</w:t>
      </w:r>
      <w:r w:rsidRPr="005322AE">
        <w:rPr>
          <w:lang w:eastAsia="ar-SA"/>
        </w:rPr>
        <w:t xml:space="preserve"> inversión utilizada por muchos años </w:t>
      </w:r>
      <w:r>
        <w:rPr>
          <w:lang w:eastAsia="ar-SA"/>
        </w:rPr>
        <w:t xml:space="preserve">de ser un paraíso fiscal. </w:t>
      </w:r>
      <w:r w:rsidRPr="005322AE">
        <w:rPr>
          <w:lang w:eastAsia="ar-SA"/>
        </w:rPr>
        <w:t>Dichas empresas aportaron $306 millones al fisco de Puerto Rico en el 2011, los cuales probablemente dejarían de recibirse si se</w:t>
      </w:r>
      <w:r>
        <w:rPr>
          <w:lang w:eastAsia="ar-SA"/>
        </w:rPr>
        <w:t xml:space="preserve"> relocalizan fuera de la Isla. </w:t>
      </w:r>
      <w:r w:rsidRPr="005322AE">
        <w:rPr>
          <w:lang w:eastAsia="ar-SA"/>
        </w:rPr>
        <w:t>La mayor diferencia en el impuesto corporativo federal que pagarían las em</w:t>
      </w:r>
      <w:r>
        <w:rPr>
          <w:lang w:eastAsia="ar-SA"/>
        </w:rPr>
        <w:t>presas radicadas en Puerto Rico</w:t>
      </w:r>
      <w:r w:rsidRPr="005322AE">
        <w:rPr>
          <w:lang w:eastAsia="ar-SA"/>
        </w:rPr>
        <w:t xml:space="preserve"> surge precisamente del pago que tendrían que realizar las empresas que actu</w:t>
      </w:r>
      <w:r>
        <w:rPr>
          <w:lang w:eastAsia="ar-SA"/>
        </w:rPr>
        <w:t xml:space="preserve">almente se consideran exentas. </w:t>
      </w:r>
      <w:r w:rsidRPr="005322AE">
        <w:rPr>
          <w:lang w:eastAsia="ar-SA"/>
        </w:rPr>
        <w:t>Se evidencia que</w:t>
      </w:r>
      <w:r>
        <w:rPr>
          <w:lang w:eastAsia="ar-SA"/>
        </w:rPr>
        <w:t>,</w:t>
      </w:r>
      <w:r w:rsidRPr="005322AE">
        <w:rPr>
          <w:lang w:eastAsia="ar-SA"/>
        </w:rPr>
        <w:t xml:space="preserve"> una vez dichas empresas estén sujetas al pago de contribuciones federales, la ventaja competitiva de Puerto Rico para retenerlas se afectaría de manera significativa.</w:t>
      </w:r>
    </w:p>
    <w:p w:rsidR="00A9525B" w:rsidRDefault="00A9525B" w:rsidP="00A9525B">
      <w:pPr>
        <w:rPr>
          <w:lang w:eastAsia="ar-SA"/>
        </w:rPr>
      </w:pPr>
      <w:r w:rsidRPr="005322AE">
        <w:rPr>
          <w:lang w:eastAsia="ar-SA"/>
        </w:rPr>
        <w:t xml:space="preserve">Por otra parte, la aplicabilidad de la Ley 154 </w:t>
      </w:r>
      <w:r>
        <w:rPr>
          <w:lang w:eastAsia="ar-SA"/>
        </w:rPr>
        <w:t xml:space="preserve">del 2010 </w:t>
      </w:r>
      <w:r w:rsidRPr="005322AE">
        <w:rPr>
          <w:lang w:eastAsia="ar-SA"/>
        </w:rPr>
        <w:t>a las empresas estadounidenses</w:t>
      </w:r>
      <w:r>
        <w:rPr>
          <w:lang w:eastAsia="ar-SA"/>
        </w:rPr>
        <w:t xml:space="preserve"> </w:t>
      </w:r>
      <w:r w:rsidRPr="008B456C">
        <w:t>—</w:t>
      </w:r>
      <w:r>
        <w:rPr>
          <w:lang w:eastAsia="ar-SA"/>
        </w:rPr>
        <w:t>sujetas a este impuesto</w:t>
      </w:r>
      <w:r w:rsidRPr="008B456C">
        <w:t>—</w:t>
      </w:r>
      <w:r w:rsidRPr="005322AE">
        <w:rPr>
          <w:lang w:eastAsia="ar-SA"/>
        </w:rPr>
        <w:t xml:space="preserve"> quedaría anulada con la estadidad, obligando al </w:t>
      </w:r>
      <w:r>
        <w:rPr>
          <w:lang w:eastAsia="ar-SA"/>
        </w:rPr>
        <w:t>Gobierno</w:t>
      </w:r>
      <w:r w:rsidRPr="005322AE">
        <w:rPr>
          <w:lang w:eastAsia="ar-SA"/>
        </w:rPr>
        <w:t xml:space="preserve"> a buscar formas alternas y efectiv</w:t>
      </w:r>
      <w:r>
        <w:rPr>
          <w:lang w:eastAsia="ar-SA"/>
        </w:rPr>
        <w:t>as de sustituir dicho ingreso.</w:t>
      </w:r>
      <w:r>
        <w:rPr>
          <w:rStyle w:val="FootnoteReference"/>
          <w:lang w:eastAsia="ar-SA"/>
        </w:rPr>
        <w:footnoteReference w:id="2"/>
      </w:r>
      <w:r>
        <w:rPr>
          <w:lang w:eastAsia="ar-SA"/>
        </w:rPr>
        <w:t xml:space="preserve"> </w:t>
      </w:r>
      <w:r w:rsidRPr="005322AE">
        <w:rPr>
          <w:lang w:eastAsia="ar-SA"/>
        </w:rPr>
        <w:t>La Ley 154 aplica a individuos no residentes y a corporaci</w:t>
      </w:r>
      <w:r>
        <w:rPr>
          <w:lang w:eastAsia="ar-SA"/>
        </w:rPr>
        <w:t xml:space="preserve">ones o sociedades extranjeras. </w:t>
      </w:r>
      <w:r w:rsidRPr="005322AE">
        <w:rPr>
          <w:lang w:eastAsia="ar-SA"/>
        </w:rPr>
        <w:t>El arbitrio se implant</w:t>
      </w:r>
      <w:r>
        <w:rPr>
          <w:lang w:eastAsia="ar-SA"/>
        </w:rPr>
        <w:t>ó</w:t>
      </w:r>
      <w:r w:rsidRPr="005322AE">
        <w:rPr>
          <w:lang w:eastAsia="ar-SA"/>
        </w:rPr>
        <w:t xml:space="preserve"> como sustituto </w:t>
      </w:r>
      <w:r>
        <w:rPr>
          <w:lang w:eastAsia="ar-SA"/>
        </w:rPr>
        <w:t>(</w:t>
      </w:r>
      <w:r w:rsidRPr="005322AE">
        <w:rPr>
          <w:i/>
          <w:lang w:eastAsia="ar-SA"/>
        </w:rPr>
        <w:t xml:space="preserve">in lieu of) </w:t>
      </w:r>
      <w:r>
        <w:rPr>
          <w:lang w:eastAsia="ar-SA"/>
        </w:rPr>
        <w:t>de un impuesto al ingreso. El 30 de marzo de</w:t>
      </w:r>
      <w:r w:rsidRPr="005322AE">
        <w:rPr>
          <w:lang w:eastAsia="ar-SA"/>
        </w:rPr>
        <w:t xml:space="preserve"> 2011, el IRS hizo un pronunciamiento tempor</w:t>
      </w:r>
      <w:r>
        <w:rPr>
          <w:lang w:eastAsia="ar-SA"/>
        </w:rPr>
        <w:t>al</w:t>
      </w:r>
      <w:r w:rsidRPr="005322AE">
        <w:rPr>
          <w:lang w:eastAsia="ar-SA"/>
        </w:rPr>
        <w:t xml:space="preserve"> indicando que se acreditará a las empresas afiliadas el pago de arbitrios en Puer</w:t>
      </w:r>
      <w:r>
        <w:rPr>
          <w:lang w:eastAsia="ar-SA"/>
        </w:rPr>
        <w:t>to Rico, bajo el amparo de las S</w:t>
      </w:r>
      <w:r w:rsidRPr="005322AE">
        <w:rPr>
          <w:lang w:eastAsia="ar-SA"/>
        </w:rPr>
        <w:t>ecciones 901 y 903 del Códig</w:t>
      </w:r>
      <w:r>
        <w:rPr>
          <w:lang w:eastAsia="ar-SA"/>
        </w:rPr>
        <w:t xml:space="preserve">o de Rentas Internas federal. </w:t>
      </w:r>
      <w:r w:rsidRPr="005322AE">
        <w:rPr>
          <w:lang w:eastAsia="ar-SA"/>
        </w:rPr>
        <w:t xml:space="preserve">Mientras </w:t>
      </w:r>
      <w:r>
        <w:rPr>
          <w:lang w:eastAsia="ar-SA"/>
        </w:rPr>
        <w:t xml:space="preserve">se evalúan </w:t>
      </w:r>
      <w:r w:rsidRPr="005322AE">
        <w:rPr>
          <w:lang w:eastAsia="ar-SA"/>
        </w:rPr>
        <w:t>la aplicab</w:t>
      </w:r>
      <w:r>
        <w:rPr>
          <w:lang w:eastAsia="ar-SA"/>
        </w:rPr>
        <w:t>ilidad y constitucionalidad de dicha l</w:t>
      </w:r>
      <w:r w:rsidRPr="005322AE">
        <w:rPr>
          <w:lang w:eastAsia="ar-SA"/>
        </w:rPr>
        <w:t xml:space="preserve">ey, se otorgan créditos contributivos por impuestos </w:t>
      </w:r>
      <w:r>
        <w:rPr>
          <w:lang w:eastAsia="ar-SA"/>
        </w:rPr>
        <w:t xml:space="preserve">pagados en países extranjeros. </w:t>
      </w:r>
      <w:r w:rsidRPr="005322AE">
        <w:rPr>
          <w:lang w:eastAsia="ar-SA"/>
        </w:rPr>
        <w:t>Sin embargo, aún no se ha hecho un pronunciamiento permanente al respecto</w:t>
      </w:r>
      <w:r w:rsidRPr="005322AE">
        <w:rPr>
          <w:noProof/>
          <w:lang w:eastAsia="ar-SA"/>
        </w:rPr>
        <w:t xml:space="preserve"> (Sullivan, 2014)</w:t>
      </w:r>
      <w:r>
        <w:rPr>
          <w:lang w:eastAsia="ar-SA"/>
        </w:rPr>
        <w:t xml:space="preserve">. </w:t>
      </w:r>
    </w:p>
    <w:p w:rsidR="00A9525B" w:rsidRPr="005322AE" w:rsidRDefault="00A9525B" w:rsidP="00A9525B">
      <w:pPr>
        <w:rPr>
          <w:lang w:eastAsia="ar-SA"/>
        </w:rPr>
      </w:pPr>
      <w:r w:rsidRPr="005322AE">
        <w:rPr>
          <w:lang w:eastAsia="ar-SA"/>
        </w:rPr>
        <w:t>La estadidad elimina</w:t>
      </w:r>
      <w:r>
        <w:rPr>
          <w:lang w:eastAsia="ar-SA"/>
        </w:rPr>
        <w:t>ría</w:t>
      </w:r>
      <w:r w:rsidRPr="005322AE">
        <w:rPr>
          <w:lang w:eastAsia="ar-SA"/>
        </w:rPr>
        <w:t xml:space="preserve"> la posibilidad de que las empresas estadounidenses que operan en Puerto Rico se definan como corporaciones foráneas bajo la Sección 901, lo que las exim</w:t>
      </w:r>
      <w:r>
        <w:rPr>
          <w:lang w:eastAsia="ar-SA"/>
        </w:rPr>
        <w:t>iría</w:t>
      </w:r>
      <w:r w:rsidRPr="005322AE">
        <w:rPr>
          <w:lang w:eastAsia="ar-SA"/>
        </w:rPr>
        <w:t xml:space="preserve"> de la aplicación de la L</w:t>
      </w:r>
      <w:r>
        <w:rPr>
          <w:lang w:eastAsia="ar-SA"/>
        </w:rPr>
        <w:t xml:space="preserve">ey 154 de 2010 de Puerto Rico. </w:t>
      </w:r>
      <w:r w:rsidRPr="005322AE">
        <w:rPr>
          <w:lang w:eastAsia="ar-SA"/>
        </w:rPr>
        <w:t>Consecuentemente, la estadidad limitaría que dichas empresas puedan reducir su carga tributaria a nivel federal y aumentaría la posib</w:t>
      </w:r>
      <w:r>
        <w:rPr>
          <w:lang w:eastAsia="ar-SA"/>
        </w:rPr>
        <w:t>ilidad de que se relocalicen fuera de la Isla. Toda</w:t>
      </w:r>
      <w:r w:rsidRPr="005322AE">
        <w:rPr>
          <w:lang w:eastAsia="ar-SA"/>
        </w:rPr>
        <w:t xml:space="preserve"> vez que las empresas foráneas se concentran en el sector manufacturero, su relocalización provocaría u</w:t>
      </w:r>
      <w:r>
        <w:rPr>
          <w:lang w:eastAsia="ar-SA"/>
        </w:rPr>
        <w:t xml:space="preserve">na reducción significativa en ese tipo de empleo </w:t>
      </w:r>
      <w:r w:rsidRPr="005322AE">
        <w:rPr>
          <w:noProof/>
          <w:lang w:eastAsia="ar-SA"/>
        </w:rPr>
        <w:t>(</w:t>
      </w:r>
      <w:r w:rsidRPr="000C6F39">
        <w:rPr>
          <w:i/>
          <w:noProof/>
          <w:lang w:eastAsia="ar-SA"/>
        </w:rPr>
        <w:t>US G</w:t>
      </w:r>
      <w:r>
        <w:rPr>
          <w:i/>
          <w:noProof/>
          <w:lang w:eastAsia="ar-SA"/>
        </w:rPr>
        <w:t>overnment</w:t>
      </w:r>
      <w:r w:rsidRPr="000C6F39">
        <w:rPr>
          <w:i/>
          <w:noProof/>
          <w:lang w:eastAsia="ar-SA"/>
        </w:rPr>
        <w:t xml:space="preserve"> Accountability Office</w:t>
      </w:r>
      <w:r w:rsidRPr="005322AE">
        <w:rPr>
          <w:noProof/>
          <w:lang w:eastAsia="ar-SA"/>
        </w:rPr>
        <w:t>, 2006)</w:t>
      </w:r>
      <w:r w:rsidRPr="005322AE">
        <w:rPr>
          <w:lang w:eastAsia="ar-SA"/>
        </w:rPr>
        <w:t>.</w:t>
      </w:r>
      <w:r w:rsidRPr="00F6305D">
        <w:rPr>
          <w:rStyle w:val="FootnoteReference"/>
          <w:lang w:eastAsia="ar-SA"/>
        </w:rPr>
        <w:footnoteReference w:id="3"/>
      </w:r>
      <w:r>
        <w:rPr>
          <w:lang w:eastAsia="ar-SA"/>
        </w:rPr>
        <w:t xml:space="preserve"> </w:t>
      </w:r>
      <w:r w:rsidRPr="005322AE">
        <w:rPr>
          <w:lang w:eastAsia="ar-SA"/>
        </w:rPr>
        <w:t xml:space="preserve">La pérdida de empleos en el sector privado podría agudizarse por la mayor incidencia </w:t>
      </w:r>
      <w:r>
        <w:rPr>
          <w:lang w:eastAsia="ar-SA"/>
        </w:rPr>
        <w:t xml:space="preserve">fiscal </w:t>
      </w:r>
      <w:r w:rsidRPr="005322AE">
        <w:rPr>
          <w:lang w:eastAsia="ar-SA"/>
        </w:rPr>
        <w:t xml:space="preserve">que tendrían los impuestos corporativos a nivel federal sobre las empresas </w:t>
      </w:r>
      <w:r>
        <w:rPr>
          <w:lang w:eastAsia="ar-SA"/>
        </w:rPr>
        <w:t>de Puerto Rico</w:t>
      </w:r>
      <w:r w:rsidRPr="005322AE">
        <w:rPr>
          <w:lang w:eastAsia="ar-SA"/>
        </w:rPr>
        <w:t>.</w:t>
      </w:r>
    </w:p>
    <w:p w:rsidR="00A9525B" w:rsidRPr="005322AE" w:rsidRDefault="00A9525B" w:rsidP="00A9525B">
      <w:pPr>
        <w:rPr>
          <w:lang w:eastAsia="ar-SA"/>
        </w:rPr>
      </w:pPr>
      <w:r w:rsidRPr="005322AE">
        <w:rPr>
          <w:lang w:eastAsia="ar-SA"/>
        </w:rPr>
        <w:t xml:space="preserve"> La </w:t>
      </w:r>
      <w:r>
        <w:rPr>
          <w:lang w:eastAsia="ar-SA"/>
        </w:rPr>
        <w:t xml:space="preserve">potencial </w:t>
      </w:r>
      <w:r w:rsidRPr="005322AE">
        <w:rPr>
          <w:lang w:eastAsia="ar-SA"/>
        </w:rPr>
        <w:t>eliminación de los recaudos por concepto de la Ley 154 es sumamente importante</w:t>
      </w:r>
      <w:r>
        <w:rPr>
          <w:lang w:eastAsia="ar-SA"/>
        </w:rPr>
        <w:t>,</w:t>
      </w:r>
      <w:r w:rsidRPr="005322AE">
        <w:rPr>
          <w:lang w:eastAsia="ar-SA"/>
        </w:rPr>
        <w:t xml:space="preserve"> ya que los arbitrios por concepto</w:t>
      </w:r>
      <w:r>
        <w:rPr>
          <w:lang w:eastAsia="ar-SA"/>
        </w:rPr>
        <w:t xml:space="preserve"> de esta ley han ido en aumento. Además,</w:t>
      </w:r>
      <w:r w:rsidRPr="005322AE">
        <w:rPr>
          <w:lang w:eastAsia="ar-SA"/>
        </w:rPr>
        <w:t xml:space="preserve"> ante la situación recesionaria actual, el </w:t>
      </w:r>
      <w:r>
        <w:rPr>
          <w:lang w:eastAsia="ar-SA"/>
        </w:rPr>
        <w:t>Gobierno</w:t>
      </w:r>
      <w:r w:rsidRPr="005322AE">
        <w:rPr>
          <w:lang w:eastAsia="ar-SA"/>
        </w:rPr>
        <w:t xml:space="preserve"> ha pospuesto la disminución gr</w:t>
      </w:r>
      <w:r>
        <w:rPr>
          <w:lang w:eastAsia="ar-SA"/>
        </w:rPr>
        <w:t>adual de dicho arbitrio, tal y co</w:t>
      </w:r>
      <w:r w:rsidRPr="005322AE">
        <w:rPr>
          <w:lang w:eastAsia="ar-SA"/>
        </w:rPr>
        <w:t>m</w:t>
      </w:r>
      <w:r>
        <w:rPr>
          <w:lang w:eastAsia="ar-SA"/>
        </w:rPr>
        <w:t>o se concibió originalmente. L</w:t>
      </w:r>
      <w:r w:rsidRPr="005322AE">
        <w:rPr>
          <w:lang w:eastAsia="ar-SA"/>
        </w:rPr>
        <w:t>os recaudos de las corporaciones foráneas aumentaron</w:t>
      </w:r>
      <w:r>
        <w:rPr>
          <w:lang w:eastAsia="ar-SA"/>
        </w:rPr>
        <w:t xml:space="preserve"> de $677.9 millones en 2011 a $1,883 millones en</w:t>
      </w:r>
      <w:r w:rsidRPr="005322AE">
        <w:rPr>
          <w:lang w:eastAsia="ar-SA"/>
        </w:rPr>
        <w:t xml:space="preserve"> 2012, lo que equivale al 23.5% </w:t>
      </w:r>
      <w:r>
        <w:rPr>
          <w:lang w:eastAsia="ar-SA"/>
        </w:rPr>
        <w:t xml:space="preserve">del total de </w:t>
      </w:r>
      <w:r w:rsidRPr="005322AE">
        <w:rPr>
          <w:lang w:eastAsia="ar-SA"/>
        </w:rPr>
        <w:t xml:space="preserve">recaudos </w:t>
      </w:r>
      <w:r>
        <w:rPr>
          <w:lang w:eastAsia="ar-SA"/>
        </w:rPr>
        <w:t>contributivos</w:t>
      </w:r>
      <w:r w:rsidRPr="005322AE">
        <w:rPr>
          <w:lang w:eastAsia="ar-SA"/>
        </w:rPr>
        <w:t xml:space="preserve"> del </w:t>
      </w:r>
      <w:r>
        <w:rPr>
          <w:lang w:eastAsia="ar-SA"/>
        </w:rPr>
        <w:t xml:space="preserve">Gobierno. </w:t>
      </w:r>
      <w:r w:rsidRPr="005322AE">
        <w:rPr>
          <w:lang w:eastAsia="ar-SA"/>
        </w:rPr>
        <w:t>Por tanto, la probable reducción en los recaudos de las corporaciones foráneas</w:t>
      </w:r>
      <w:r>
        <w:rPr>
          <w:lang w:eastAsia="ar-SA"/>
        </w:rPr>
        <w:t xml:space="preserve"> bajo la estadidad</w:t>
      </w:r>
      <w:r w:rsidRPr="005322AE">
        <w:rPr>
          <w:lang w:eastAsia="ar-SA"/>
        </w:rPr>
        <w:t xml:space="preserve"> tendría un efecto detrime</w:t>
      </w:r>
      <w:r>
        <w:rPr>
          <w:lang w:eastAsia="ar-SA"/>
        </w:rPr>
        <w:t>ntal en los ingresos fiscales.</w:t>
      </w:r>
    </w:p>
    <w:p w:rsidR="00A9525B" w:rsidRPr="005322AE" w:rsidRDefault="00A9525B" w:rsidP="00A9525B">
      <w:pPr>
        <w:rPr>
          <w:lang w:eastAsia="ar-SA"/>
        </w:rPr>
      </w:pPr>
      <w:r w:rsidRPr="005322AE">
        <w:rPr>
          <w:lang w:eastAsia="ar-SA"/>
        </w:rPr>
        <w:t>Queda claro que la incorporación de Puerto Rico al sistema fiscal federal representa un reto</w:t>
      </w:r>
      <w:r>
        <w:rPr>
          <w:lang w:eastAsia="ar-SA"/>
        </w:rPr>
        <w:t>,</w:t>
      </w:r>
      <w:r w:rsidRPr="005322AE">
        <w:rPr>
          <w:lang w:eastAsia="ar-SA"/>
        </w:rPr>
        <w:t xml:space="preserve"> en la medida en que </w:t>
      </w:r>
      <w:r>
        <w:rPr>
          <w:lang w:eastAsia="ar-SA"/>
        </w:rPr>
        <w:t xml:space="preserve">tendría que reformularse </w:t>
      </w:r>
      <w:r w:rsidRPr="005322AE">
        <w:rPr>
          <w:lang w:eastAsia="ar-SA"/>
        </w:rPr>
        <w:t>la estructura contributiva</w:t>
      </w:r>
      <w:r>
        <w:rPr>
          <w:lang w:eastAsia="ar-SA"/>
        </w:rPr>
        <w:t xml:space="preserve"> de la Isla y</w:t>
      </w:r>
      <w:r w:rsidRPr="005322AE">
        <w:rPr>
          <w:lang w:eastAsia="ar-SA"/>
        </w:rPr>
        <w:t xml:space="preserve"> en particular los impuestos corporativos</w:t>
      </w:r>
      <w:r>
        <w:rPr>
          <w:lang w:eastAsia="ar-SA"/>
        </w:rPr>
        <w:t xml:space="preserve">. </w:t>
      </w:r>
      <w:r w:rsidRPr="005322AE">
        <w:rPr>
          <w:lang w:eastAsia="ar-SA"/>
        </w:rPr>
        <w:t xml:space="preserve">Mientras mayor sea el efecto sobre las corporaciones, mayor es la probabilidad de que el </w:t>
      </w:r>
      <w:r>
        <w:rPr>
          <w:lang w:eastAsia="ar-SA"/>
        </w:rPr>
        <w:t>Gobierno</w:t>
      </w:r>
      <w:r w:rsidRPr="005322AE">
        <w:rPr>
          <w:lang w:eastAsia="ar-SA"/>
        </w:rPr>
        <w:t xml:space="preserve"> de Puerto Rico se vea presionado a reducir la proporción del ingreso que proviene de contribuciones a corporaciones; asemejándose más</w:t>
      </w:r>
      <w:r>
        <w:rPr>
          <w:lang w:eastAsia="ar-SA"/>
        </w:rPr>
        <w:t xml:space="preserve"> a la norma entre los estados. </w:t>
      </w:r>
      <w:r w:rsidRPr="005322AE">
        <w:rPr>
          <w:lang w:eastAsia="ar-SA"/>
        </w:rPr>
        <w:t xml:space="preserve">La necesidad de reducir el impuesto corporativo llevaría a reducir el alcance del </w:t>
      </w:r>
      <w:r>
        <w:rPr>
          <w:lang w:eastAsia="ar-SA"/>
        </w:rPr>
        <w:t>Gobierno</w:t>
      </w:r>
      <w:r w:rsidRPr="005322AE">
        <w:rPr>
          <w:lang w:eastAsia="ar-SA"/>
        </w:rPr>
        <w:t>, especial</w:t>
      </w:r>
      <w:r>
        <w:rPr>
          <w:lang w:eastAsia="ar-SA"/>
        </w:rPr>
        <w:t>mente</w:t>
      </w:r>
      <w:r w:rsidRPr="005322AE">
        <w:rPr>
          <w:lang w:eastAsia="ar-SA"/>
        </w:rPr>
        <w:t xml:space="preserve"> con relación a los programas no subvencionados por el </w:t>
      </w:r>
      <w:r>
        <w:rPr>
          <w:lang w:eastAsia="ar-SA"/>
        </w:rPr>
        <w:t>Gobierno federal, o incluso a</w:t>
      </w:r>
      <w:r w:rsidRPr="005322AE">
        <w:rPr>
          <w:lang w:eastAsia="ar-SA"/>
        </w:rPr>
        <w:t xml:space="preserve"> tener que aumentar las co</w:t>
      </w:r>
      <w:r>
        <w:rPr>
          <w:lang w:eastAsia="ar-SA"/>
        </w:rPr>
        <w:t>ntribuciones a los individuos.</w:t>
      </w:r>
    </w:p>
    <w:p w:rsidR="00A9525B" w:rsidRPr="005322AE" w:rsidRDefault="00A9525B" w:rsidP="00A9525B">
      <w:pPr>
        <w:rPr>
          <w:lang w:eastAsia="ar-SA"/>
        </w:rPr>
      </w:pPr>
      <w:r w:rsidRPr="005322AE">
        <w:rPr>
          <w:lang w:eastAsia="ar-SA"/>
        </w:rPr>
        <w:t>A</w:t>
      </w:r>
      <w:r>
        <w:rPr>
          <w:lang w:eastAsia="ar-SA"/>
        </w:rPr>
        <w:t>u</w:t>
      </w:r>
      <w:r w:rsidRPr="005322AE">
        <w:rPr>
          <w:lang w:eastAsia="ar-SA"/>
        </w:rPr>
        <w:t xml:space="preserve">n sin aumentar los impuestos al ingreso de individuos a nivel estatal, la extensión del impuesto federal a la Isla </w:t>
      </w:r>
      <w:r>
        <w:rPr>
          <w:lang w:eastAsia="ar-SA"/>
        </w:rPr>
        <w:t xml:space="preserve">aumentaría la carga impositiva </w:t>
      </w:r>
      <w:r w:rsidRPr="005322AE">
        <w:rPr>
          <w:lang w:eastAsia="ar-SA"/>
        </w:rPr>
        <w:t>para los contribuyentes</w:t>
      </w:r>
      <w:r>
        <w:rPr>
          <w:lang w:eastAsia="ar-SA"/>
        </w:rPr>
        <w:t xml:space="preserve"> con ingresos medianos y altos. </w:t>
      </w:r>
      <w:r w:rsidRPr="005322AE">
        <w:rPr>
          <w:lang w:eastAsia="ar-SA"/>
        </w:rPr>
        <w:t>Este efecto contributivo adverso puede aumentar aún más las tendencias emigratorias y la fuga de cerebro</w:t>
      </w:r>
      <w:r>
        <w:rPr>
          <w:lang w:eastAsia="ar-SA"/>
        </w:rPr>
        <w:t xml:space="preserve">s. </w:t>
      </w:r>
      <w:r w:rsidRPr="005322AE">
        <w:rPr>
          <w:lang w:eastAsia="ar-SA"/>
        </w:rPr>
        <w:t xml:space="preserve">Ante la pérdida de recaudos por concepto de la Ley 154 y la presión para reducir el impuesto corporativo, las alternativas restantes serían aumentar los impuestos a los individuos o reducir el tamaño y alcance del </w:t>
      </w:r>
      <w:r>
        <w:rPr>
          <w:lang w:eastAsia="ar-SA"/>
        </w:rPr>
        <w:t>Gobierno</w:t>
      </w:r>
      <w:r w:rsidRPr="005322AE">
        <w:rPr>
          <w:lang w:eastAsia="ar-SA"/>
        </w:rPr>
        <w:t xml:space="preserve">. Sin embargo, la actual situación de </w:t>
      </w:r>
      <w:r>
        <w:rPr>
          <w:lang w:eastAsia="ar-SA"/>
        </w:rPr>
        <w:t xml:space="preserve">la </w:t>
      </w:r>
      <w:r w:rsidRPr="005322AE">
        <w:rPr>
          <w:lang w:eastAsia="ar-SA"/>
        </w:rPr>
        <w:t>deuda pública y los compromisos contraídos por COFINA</w:t>
      </w:r>
      <w:r>
        <w:rPr>
          <w:lang w:eastAsia="ar-SA"/>
        </w:rPr>
        <w:t xml:space="preserve"> (Corporación del Fondo de Interés Apremiante)</w:t>
      </w:r>
      <w:r w:rsidRPr="005322AE">
        <w:rPr>
          <w:lang w:eastAsia="ar-SA"/>
        </w:rPr>
        <w:t xml:space="preserve"> limita</w:t>
      </w:r>
      <w:r>
        <w:rPr>
          <w:lang w:eastAsia="ar-SA"/>
        </w:rPr>
        <w:t>n</w:t>
      </w:r>
      <w:r w:rsidRPr="005322AE">
        <w:rPr>
          <w:lang w:eastAsia="ar-SA"/>
        </w:rPr>
        <w:t xml:space="preserve"> la posibilidad de reducir los impuestos en el corto plazo.</w:t>
      </w:r>
      <w:r w:rsidRPr="003A21B9">
        <w:rPr>
          <w:vertAlign w:val="superscript"/>
          <w:lang w:eastAsia="ar-SA"/>
        </w:rPr>
        <w:footnoteReference w:id="4"/>
      </w:r>
    </w:p>
    <w:p w:rsidR="00A9525B" w:rsidRPr="005322AE" w:rsidRDefault="00A9525B" w:rsidP="00A9525B">
      <w:pPr>
        <w:rPr>
          <w:lang w:eastAsia="ar-SA"/>
        </w:rPr>
      </w:pPr>
      <w:r w:rsidRPr="005322AE">
        <w:rPr>
          <w:lang w:eastAsia="ar-SA"/>
        </w:rPr>
        <w:t>Se concluye que bajo la opción de la estadidad</w:t>
      </w:r>
      <w:r>
        <w:rPr>
          <w:lang w:eastAsia="ar-SA"/>
        </w:rPr>
        <w:t xml:space="preserve"> el Gobierno de</w:t>
      </w:r>
      <w:r w:rsidRPr="005322AE">
        <w:rPr>
          <w:lang w:eastAsia="ar-SA"/>
        </w:rPr>
        <w:t xml:space="preserve"> Puerto Rico</w:t>
      </w:r>
      <w:r>
        <w:rPr>
          <w:lang w:eastAsia="ar-SA"/>
        </w:rPr>
        <w:t xml:space="preserve"> aumentaría su dependencia en aportaciones federales y</w:t>
      </w:r>
      <w:r w:rsidRPr="005322AE">
        <w:rPr>
          <w:lang w:eastAsia="ar-SA"/>
        </w:rPr>
        <w:t xml:space="preserve"> perdería la autonomía fiscal de la cual disfruta ho</w:t>
      </w:r>
      <w:r>
        <w:rPr>
          <w:lang w:eastAsia="ar-SA"/>
        </w:rPr>
        <w:t xml:space="preserve">y día para la implantación de política pública. </w:t>
      </w:r>
      <w:r w:rsidRPr="005322AE">
        <w:rPr>
          <w:lang w:eastAsia="ar-SA"/>
        </w:rPr>
        <w:t>En consecuencia, sería imperativo un cambio en la estructura fiscal</w:t>
      </w:r>
      <w:r>
        <w:rPr>
          <w:lang w:eastAsia="ar-SA"/>
        </w:rPr>
        <w:t>,</w:t>
      </w:r>
      <w:r w:rsidRPr="005322AE">
        <w:rPr>
          <w:lang w:eastAsia="ar-SA"/>
        </w:rPr>
        <w:t xml:space="preserve"> con ajus</w:t>
      </w:r>
      <w:r>
        <w:rPr>
          <w:lang w:eastAsia="ar-SA"/>
        </w:rPr>
        <w:t>tes que dependerán de</w:t>
      </w:r>
      <w:r w:rsidRPr="005322AE">
        <w:rPr>
          <w:lang w:eastAsia="ar-SA"/>
        </w:rPr>
        <w:t xml:space="preserve"> los cambios en las transferencias y</w:t>
      </w:r>
      <w:r>
        <w:rPr>
          <w:lang w:eastAsia="ar-SA"/>
        </w:rPr>
        <w:t xml:space="preserve"> tributos federales a imponerse;</w:t>
      </w:r>
      <w:r w:rsidRPr="005322AE">
        <w:rPr>
          <w:lang w:eastAsia="ar-SA"/>
        </w:rPr>
        <w:t xml:space="preserve"> </w:t>
      </w:r>
      <w:r>
        <w:rPr>
          <w:lang w:eastAsia="ar-SA"/>
        </w:rPr>
        <w:t>d</w:t>
      </w:r>
      <w:r w:rsidRPr="005322AE">
        <w:rPr>
          <w:lang w:eastAsia="ar-SA"/>
        </w:rPr>
        <w:t>el período de transición otorgado, los objetivos con respecto al cumplimiento de neutralidad fiscal federal</w:t>
      </w:r>
      <w:r>
        <w:rPr>
          <w:lang w:eastAsia="ar-SA"/>
        </w:rPr>
        <w:t>;</w:t>
      </w:r>
      <w:r w:rsidRPr="005322AE">
        <w:rPr>
          <w:lang w:eastAsia="ar-SA"/>
        </w:rPr>
        <w:t xml:space="preserve"> y de cualesquiera </w:t>
      </w:r>
      <w:r>
        <w:rPr>
          <w:lang w:eastAsia="ar-SA"/>
        </w:rPr>
        <w:t>subvenciones de estadidad (</w:t>
      </w:r>
      <w:r w:rsidRPr="00A43106">
        <w:rPr>
          <w:i/>
          <w:lang w:eastAsia="ar-SA"/>
        </w:rPr>
        <w:t>statehood grants</w:t>
      </w:r>
      <w:r>
        <w:rPr>
          <w:lang w:eastAsia="ar-SA"/>
        </w:rPr>
        <w:t>)</w:t>
      </w:r>
      <w:r w:rsidRPr="005322AE">
        <w:rPr>
          <w:lang w:eastAsia="ar-SA"/>
        </w:rPr>
        <w:t xml:space="preserve"> a legislarse en el caso particular de Puerto Rico.</w:t>
      </w:r>
    </w:p>
    <w:p w:rsidR="00A9525B" w:rsidRDefault="00A9525B" w:rsidP="00A9525B">
      <w:pPr>
        <w:spacing w:after="120"/>
      </w:pPr>
      <w:r>
        <w:t>Por todo lo señalado, el Gobierno de Puerto Rico estaría presionado a modificar su estructura tributaria para evitar quedar en desventaja frente a los otros 50 estados en materia contributiva corporativa. En ausencia de una reestructuración fiscal, esto constituiría un factor contraproducente para la competitividad de la Isla. El Gobierno podría optar por buscar fuentes alternas de fondos, incluyendo aumentos en impuestos a individuos, o por reducir aquellas áreas de gasto que no estén subvencionadas por fondos federales.</w:t>
      </w:r>
    </w:p>
    <w:p w:rsidR="00A9525B" w:rsidRDefault="00A9525B" w:rsidP="00A9525B">
      <w:pPr>
        <w:spacing w:after="120"/>
      </w:pPr>
      <w:r>
        <w:t>Un aspecto potencialmente positivo podría ser contar con la capacidad fiscalizadora del IRS, ya que Puerto Rico se reconoce como una jurisdicción con un problema serio de evasión contributiva. En la medida en que el IRS tenga más recursos para la fiscalización que el Departamento de Hacienda, los ingresos informados aumentarían y así también los recaudos contributivos. En ese caso, nuestros estimados de aumentos en las contribuciones federales de individuos y corporaciones podrían estar subestimados.</w:t>
      </w:r>
    </w:p>
    <w:p w:rsidR="00A9525B" w:rsidRPr="007F6714" w:rsidRDefault="00A9525B" w:rsidP="00A9525B">
      <w:pPr>
        <w:spacing w:after="120"/>
      </w:pPr>
      <w:r>
        <w:t xml:space="preserve">A base de la comparación de las cargas contributivas presentadas anteriormente, se coincide con el informe del </w:t>
      </w:r>
      <w:r w:rsidRPr="00A43106">
        <w:rPr>
          <w:i/>
        </w:rPr>
        <w:t>Joint Committee on Taxation</w:t>
      </w:r>
      <w:r>
        <w:t xml:space="preserve"> (2006) en que la extensión de los impuestos federales a la Isla provocaría una reestructuración del sistema tributario de la Isla. Puerto Rico tiene dos características que hacen de este proceso uno retante: la alta carga contributiva relativa y la alta dependencia de transferencias intergubernamentales. Aunque la carga contributiva relativa en Puerto Rico es más alta, el total de contribuciones recaudadas es menor, dado que se parte de un ingreso personal más bajo. Esto implica que, aún con una inyección sustancial de fondos federales, el nivel de recursos disponible en Puerto Rico es menor que los que tienen los estados para llevar a cabo su labor. Es de esperar que el alcance de la gestión gubernamental de la Isla se ajuste dramáticamente, lo que debe provocar una reducción en el empleo p</w:t>
      </w:r>
      <w:r w:rsidRPr="007F6714">
        <w:t>ú</w:t>
      </w:r>
      <w:r>
        <w:t>blico.</w:t>
      </w:r>
    </w:p>
    <w:p w:rsidR="00A9525B" w:rsidRDefault="00A9525B" w:rsidP="00A9525B">
      <w:pPr>
        <w:spacing w:after="120"/>
        <w:rPr>
          <w:rFonts w:eastAsia="+mn-ea"/>
          <w:color w:val="000000"/>
          <w:szCs w:val="24"/>
        </w:rPr>
      </w:pPr>
      <w:r w:rsidRPr="007F6714">
        <w:rPr>
          <w:rFonts w:eastAsia="+mn-ea"/>
          <w:color w:val="000000"/>
          <w:szCs w:val="24"/>
        </w:rPr>
        <w:t xml:space="preserve">En el largo plazo, se esperaría que el alcance </w:t>
      </w:r>
      <w:r>
        <w:t>de la gestión gubernamental local se ajustase dramáticamente, lo que debe provocar una reducción en el empleo p</w:t>
      </w:r>
      <w:r w:rsidRPr="007F6714">
        <w:t>ú</w:t>
      </w:r>
      <w:r>
        <w:t>blico</w:t>
      </w:r>
      <w:r>
        <w:rPr>
          <w:rFonts w:eastAsia="+mn-ea"/>
          <w:color w:val="000000"/>
          <w:szCs w:val="24"/>
        </w:rPr>
        <w:t xml:space="preserve">. </w:t>
      </w:r>
      <w:r w:rsidRPr="007F6714">
        <w:rPr>
          <w:rFonts w:eastAsia="+mn-ea"/>
          <w:color w:val="000000"/>
          <w:szCs w:val="24"/>
        </w:rPr>
        <w:t xml:space="preserve">Una de las mayores limitaciones </w:t>
      </w:r>
      <w:r>
        <w:rPr>
          <w:rFonts w:eastAsia="+mn-ea"/>
          <w:color w:val="000000"/>
          <w:szCs w:val="24"/>
        </w:rPr>
        <w:t>que enfrentaría</w:t>
      </w:r>
      <w:r w:rsidRPr="007F6714">
        <w:rPr>
          <w:rFonts w:eastAsia="+mn-ea"/>
          <w:color w:val="000000"/>
          <w:szCs w:val="24"/>
        </w:rPr>
        <w:t xml:space="preserve"> </w:t>
      </w:r>
      <w:r>
        <w:rPr>
          <w:rFonts w:eastAsia="+mn-ea"/>
          <w:color w:val="000000"/>
          <w:szCs w:val="24"/>
        </w:rPr>
        <w:t>la Isla en este proceso</w:t>
      </w:r>
      <w:r w:rsidRPr="007F6714">
        <w:rPr>
          <w:rFonts w:eastAsia="+mn-ea"/>
          <w:color w:val="000000"/>
          <w:szCs w:val="24"/>
        </w:rPr>
        <w:t xml:space="preserve"> si </w:t>
      </w:r>
      <w:r>
        <w:rPr>
          <w:rFonts w:eastAsia="+mn-ea"/>
          <w:color w:val="000000"/>
          <w:szCs w:val="24"/>
        </w:rPr>
        <w:t xml:space="preserve">se </w:t>
      </w:r>
      <w:r w:rsidRPr="007F6714">
        <w:rPr>
          <w:rFonts w:eastAsia="+mn-ea"/>
          <w:color w:val="000000"/>
          <w:szCs w:val="24"/>
        </w:rPr>
        <w:t>desea</w:t>
      </w:r>
      <w:r>
        <w:rPr>
          <w:rFonts w:eastAsia="+mn-ea"/>
          <w:color w:val="000000"/>
          <w:szCs w:val="24"/>
        </w:rPr>
        <w:t>ra</w:t>
      </w:r>
      <w:r w:rsidRPr="007F6714">
        <w:rPr>
          <w:rFonts w:eastAsia="+mn-ea"/>
          <w:color w:val="000000"/>
          <w:szCs w:val="24"/>
        </w:rPr>
        <w:t xml:space="preserve"> continuar prestando los servicios bá</w:t>
      </w:r>
      <w:r>
        <w:rPr>
          <w:rFonts w:eastAsia="+mn-ea"/>
          <w:color w:val="000000"/>
          <w:szCs w:val="24"/>
        </w:rPr>
        <w:t>sicos que necesita la población</w:t>
      </w:r>
      <w:r>
        <w:t>,</w:t>
      </w:r>
      <w:r w:rsidRPr="007F6714">
        <w:rPr>
          <w:rFonts w:eastAsia="+mn-ea"/>
          <w:color w:val="000000"/>
          <w:szCs w:val="24"/>
        </w:rPr>
        <w:t xml:space="preserve"> es que el nivel económico y la situación fiscal no permit</w:t>
      </w:r>
      <w:r>
        <w:rPr>
          <w:rFonts w:eastAsia="+mn-ea"/>
          <w:color w:val="000000"/>
          <w:szCs w:val="24"/>
        </w:rPr>
        <w:t>iría</w:t>
      </w:r>
      <w:r w:rsidRPr="007F6714">
        <w:rPr>
          <w:rFonts w:eastAsia="+mn-ea"/>
          <w:color w:val="000000"/>
          <w:szCs w:val="24"/>
        </w:rPr>
        <w:t xml:space="preserve">n que el </w:t>
      </w:r>
      <w:r>
        <w:rPr>
          <w:rFonts w:eastAsia="+mn-ea"/>
          <w:color w:val="000000"/>
          <w:szCs w:val="24"/>
        </w:rPr>
        <w:t>Gobierno</w:t>
      </w:r>
      <w:r w:rsidRPr="007F6714">
        <w:rPr>
          <w:rFonts w:eastAsia="+mn-ea"/>
          <w:color w:val="000000"/>
          <w:szCs w:val="24"/>
        </w:rPr>
        <w:t xml:space="preserve"> </w:t>
      </w:r>
      <w:r>
        <w:rPr>
          <w:rFonts w:eastAsia="+mn-ea"/>
          <w:color w:val="000000"/>
          <w:szCs w:val="24"/>
        </w:rPr>
        <w:t>de Puerto Rico</w:t>
      </w:r>
      <w:r w:rsidRPr="007F6714">
        <w:rPr>
          <w:rFonts w:eastAsia="+mn-ea"/>
          <w:color w:val="000000"/>
          <w:szCs w:val="24"/>
        </w:rPr>
        <w:t xml:space="preserve"> disminuy</w:t>
      </w:r>
      <w:r>
        <w:rPr>
          <w:rFonts w:eastAsia="+mn-ea"/>
          <w:color w:val="000000"/>
          <w:szCs w:val="24"/>
        </w:rPr>
        <w:t>era sus contribuciones y remitiera</w:t>
      </w:r>
      <w:r w:rsidRPr="007F6714">
        <w:rPr>
          <w:rFonts w:eastAsia="+mn-ea"/>
          <w:color w:val="000000"/>
          <w:szCs w:val="24"/>
        </w:rPr>
        <w:t xml:space="preserve"> la mayor parte del ingreso contributivo al fisco federal</w:t>
      </w:r>
      <w:r>
        <w:rPr>
          <w:rFonts w:eastAsia="+mn-ea"/>
          <w:color w:val="000000"/>
          <w:szCs w:val="24"/>
        </w:rPr>
        <w:t>,</w:t>
      </w:r>
      <w:r w:rsidRPr="007F6714">
        <w:rPr>
          <w:rFonts w:eastAsia="+mn-ea"/>
          <w:color w:val="000000"/>
          <w:szCs w:val="24"/>
        </w:rPr>
        <w:t xml:space="preserve"> como lo hacen los estados.</w:t>
      </w:r>
    </w:p>
    <w:p w:rsidR="00BE7185" w:rsidRPr="0076687C" w:rsidRDefault="00BE7185" w:rsidP="00A9525B">
      <w:pPr>
        <w:spacing w:after="120"/>
        <w:rPr>
          <w:rFonts w:eastAsia="+mn-ea"/>
          <w:color w:val="000000"/>
          <w:szCs w:val="24"/>
        </w:rPr>
      </w:pPr>
    </w:p>
    <w:p w:rsidR="00A9525B" w:rsidRPr="005710C2" w:rsidRDefault="00A9525B" w:rsidP="00A9525B">
      <w:pPr>
        <w:pStyle w:val="Heading2"/>
        <w:ind w:left="426" w:hanging="426"/>
        <w:jc w:val="both"/>
      </w:pPr>
      <w:bookmarkStart w:id="7" w:name="_Toc384769709"/>
      <w:r w:rsidRPr="005710C2">
        <w:t>El comercio exterior bajo el mercado común de Estados Unidos y las empresas locales</w:t>
      </w:r>
      <w:bookmarkEnd w:id="7"/>
    </w:p>
    <w:p w:rsidR="00A9525B" w:rsidRDefault="00A9525B" w:rsidP="00A9525B">
      <w:pPr>
        <w:spacing w:line="360" w:lineRule="auto"/>
      </w:pPr>
    </w:p>
    <w:p w:rsidR="00A9525B" w:rsidRPr="00747B91" w:rsidRDefault="00A9525B" w:rsidP="00A9525B">
      <w:pPr>
        <w:rPr>
          <w:lang w:val="es-ES_tradnl"/>
        </w:rPr>
      </w:pPr>
      <w:r w:rsidRPr="00747B91">
        <w:t>Dada la situación económica actual en la Isla y acorde con las tendencias hacia una mayor integración</w:t>
      </w:r>
      <w:r>
        <w:t xml:space="preserve"> </w:t>
      </w:r>
      <w:r w:rsidRPr="00747B91">
        <w:t>regional de los mercados comerciales</w:t>
      </w:r>
      <w:r>
        <w:rPr>
          <w:lang w:val="es-ES_tradnl"/>
        </w:rPr>
        <w:t xml:space="preserve">, resulta vital </w:t>
      </w:r>
      <w:r w:rsidRPr="00747B91">
        <w:rPr>
          <w:lang w:val="es-ES_tradnl"/>
        </w:rPr>
        <w:t>evaluar las herramientas y alternativas que puedan fomentar el crecimiento de las exportaciones en Puerto Rico y la inserción de los empresarios puertorriqueños en el mercado internacional.</w:t>
      </w:r>
      <w:r w:rsidRPr="00747B91">
        <w:t xml:space="preserve"> </w:t>
      </w:r>
      <w:r w:rsidRPr="00747B91">
        <w:rPr>
          <w:lang w:val="es-ES_tradnl"/>
        </w:rPr>
        <w:t>La participación de Puerto Rico dentro del mercado común con Estados Unidos no ha f</w:t>
      </w:r>
      <w:r>
        <w:rPr>
          <w:lang w:val="es-ES_tradnl"/>
        </w:rPr>
        <w:t xml:space="preserve">omentado el crecimiento de las </w:t>
      </w:r>
      <w:r w:rsidRPr="00747B91">
        <w:rPr>
          <w:lang w:val="es-ES_tradnl"/>
        </w:rPr>
        <w:t>exportaciones, ni la intern</w:t>
      </w:r>
      <w:r>
        <w:rPr>
          <w:lang w:val="es-ES_tradnl"/>
        </w:rPr>
        <w:t xml:space="preserve">acionalización de empresas puertorriqueñas. </w:t>
      </w:r>
      <w:r w:rsidRPr="00747B91">
        <w:rPr>
          <w:lang w:val="es-ES_tradnl"/>
        </w:rPr>
        <w:t>A pesar de que E</w:t>
      </w:r>
      <w:r>
        <w:rPr>
          <w:lang w:val="es-ES_tradnl"/>
        </w:rPr>
        <w:t>stados Unidos</w:t>
      </w:r>
      <w:r w:rsidRPr="00747B91">
        <w:rPr>
          <w:lang w:val="es-ES_tradnl"/>
        </w:rPr>
        <w:t xml:space="preserve"> sigue siendo el socio comercial más importante para Puerto Rico, este comercio se centra en las exportaciones e importaciones de productos químicos</w:t>
      </w:r>
      <w:r>
        <w:rPr>
          <w:lang w:val="es-ES_tradnl"/>
        </w:rPr>
        <w:t>,</w:t>
      </w:r>
      <w:r w:rsidRPr="00747B91">
        <w:rPr>
          <w:lang w:val="es-ES_tradnl"/>
        </w:rPr>
        <w:t xml:space="preserve"> que en gran medida res</w:t>
      </w:r>
      <w:r>
        <w:rPr>
          <w:lang w:val="es-ES_tradnl"/>
        </w:rPr>
        <w:t>ponde a las transacciones intra</w:t>
      </w:r>
      <w:r w:rsidRPr="00747B91">
        <w:rPr>
          <w:lang w:val="es-ES_tradnl"/>
        </w:rPr>
        <w:t xml:space="preserve">empresas o entre las empresas de capital extranjero que operan en la Isla bajo diferentes incentivos industriales a nivel </w:t>
      </w:r>
      <w:r>
        <w:rPr>
          <w:lang w:val="es-ES_tradnl"/>
        </w:rPr>
        <w:t>insular</w:t>
      </w:r>
      <w:r w:rsidRPr="00747B91">
        <w:rPr>
          <w:lang w:val="es-ES_tradnl"/>
        </w:rPr>
        <w:t xml:space="preserve"> y/o del Código de Rentas Internas </w:t>
      </w:r>
      <w:r>
        <w:rPr>
          <w:lang w:val="es-ES_tradnl"/>
        </w:rPr>
        <w:t>federal</w:t>
      </w:r>
      <w:r w:rsidRPr="00747B91">
        <w:rPr>
          <w:lang w:val="es-ES_tradnl"/>
        </w:rPr>
        <w:t>.</w:t>
      </w:r>
      <w:r>
        <w:rPr>
          <w:lang w:val="es-ES_tradnl"/>
        </w:rPr>
        <w:t xml:space="preserve"> </w:t>
      </w:r>
    </w:p>
    <w:p w:rsidR="00A9525B" w:rsidRPr="00747B91" w:rsidRDefault="00A9525B" w:rsidP="00A9525B">
      <w:r w:rsidRPr="00747B91">
        <w:rPr>
          <w:lang w:val="es-ES_tradnl"/>
        </w:rPr>
        <w:t>Las exportaciones hacia Estados Unidos han ido disminuyendo y las exportaciones hacia los países con los cuales Estados Unidos tiene tratados comerciales muestran un crecimiento mucho menor que las</w:t>
      </w:r>
      <w:r>
        <w:rPr>
          <w:lang w:val="es-ES_tradnl"/>
        </w:rPr>
        <w:t xml:space="preserve"> exportaciones a otros países. </w:t>
      </w:r>
      <w:r w:rsidRPr="00747B91">
        <w:rPr>
          <w:lang w:val="es-ES_tradnl"/>
        </w:rPr>
        <w:t xml:space="preserve">A pesar de haberse diversificado los países a los cuales se exporta y los </w:t>
      </w:r>
      <w:r>
        <w:rPr>
          <w:lang w:val="es-ES_tradnl"/>
        </w:rPr>
        <w:t xml:space="preserve">productos </w:t>
      </w:r>
      <w:r w:rsidRPr="00747B91">
        <w:rPr>
          <w:lang w:val="es-ES_tradnl"/>
        </w:rPr>
        <w:t xml:space="preserve"> que</w:t>
      </w:r>
      <w:r>
        <w:rPr>
          <w:lang w:val="es-ES_tradnl"/>
        </w:rPr>
        <w:t xml:space="preserve"> se exportan, </w:t>
      </w:r>
      <w:r w:rsidRPr="00747B91">
        <w:rPr>
          <w:lang w:val="es-ES_tradnl"/>
        </w:rPr>
        <w:t>ha aumentado</w:t>
      </w:r>
      <w:r>
        <w:rPr>
          <w:lang w:val="es-ES_tradnl"/>
        </w:rPr>
        <w:t xml:space="preserve"> la concentración </w:t>
      </w:r>
      <w:r w:rsidRPr="00747B91">
        <w:rPr>
          <w:lang w:val="es-ES_tradnl"/>
        </w:rPr>
        <w:t>de exportaciones en industrias particulares</w:t>
      </w:r>
      <w:r>
        <w:rPr>
          <w:lang w:val="es-ES_tradnl"/>
        </w:rPr>
        <w:t>;</w:t>
      </w:r>
      <w:r w:rsidRPr="00747B91">
        <w:rPr>
          <w:lang w:val="es-ES_tradnl"/>
        </w:rPr>
        <w:t xml:space="preserve"> especial</w:t>
      </w:r>
      <w:r>
        <w:rPr>
          <w:lang w:val="es-ES_tradnl"/>
        </w:rPr>
        <w:t>mente</w:t>
      </w:r>
      <w:r w:rsidRPr="00747B91">
        <w:rPr>
          <w:lang w:val="es-ES_tradnl"/>
        </w:rPr>
        <w:t xml:space="preserve"> la manufactura de productos químicos</w:t>
      </w:r>
      <w:r>
        <w:rPr>
          <w:lang w:val="es-ES_tradnl"/>
        </w:rPr>
        <w:t>. Este resultado</w:t>
      </w:r>
      <w:r w:rsidRPr="00747B91">
        <w:rPr>
          <w:lang w:val="es-ES_tradnl"/>
        </w:rPr>
        <w:t xml:space="preserve"> </w:t>
      </w:r>
      <w:r>
        <w:rPr>
          <w:lang w:val="es-ES_tradnl"/>
        </w:rPr>
        <w:t>manifiesta</w:t>
      </w:r>
      <w:r w:rsidRPr="00747B91">
        <w:rPr>
          <w:lang w:val="es-ES_tradnl"/>
        </w:rPr>
        <w:t xml:space="preserve"> la poca participación de las empresas locales</w:t>
      </w:r>
      <w:r>
        <w:rPr>
          <w:lang w:val="es-ES_tradnl"/>
        </w:rPr>
        <w:t xml:space="preserve"> en el mercado de exportación. </w:t>
      </w:r>
      <w:r w:rsidRPr="00747B91">
        <w:rPr>
          <w:lang w:val="es-ES_tradnl"/>
        </w:rPr>
        <w:t>Resalta del análisis que los sectores industriales de mayor exportación también corresponden a los sectores que predominan en las importaciones, evidenciando</w:t>
      </w:r>
      <w:r w:rsidRPr="00747B91">
        <w:t xml:space="preserve"> el </w:t>
      </w:r>
      <w:r>
        <w:t>peso de las transacciones intra</w:t>
      </w:r>
      <w:r w:rsidRPr="00747B91">
        <w:t>empresas en el comercio exterior de Puerto Rico y la falta de eslabonamientos internos con suplidores en la Isla.</w:t>
      </w:r>
    </w:p>
    <w:p w:rsidR="00A9525B" w:rsidRPr="00747B91" w:rsidRDefault="00A9525B" w:rsidP="00A9525B">
      <w:r w:rsidRPr="00747B91">
        <w:t>Los resultados indican que la cercanía geográfica y cultural con los países caribeños y latinoamericanos es un elemento que debe explotarse</w:t>
      </w:r>
      <w:r>
        <w:t>,</w:t>
      </w:r>
      <w:r w:rsidRPr="00747B91">
        <w:t xml:space="preserve"> ya sea fomentando el intercambio con países como Perú</w:t>
      </w:r>
      <w:r>
        <w:t>,</w:t>
      </w:r>
      <w:r w:rsidRPr="00747B91">
        <w:t xml:space="preserve"> Costa Rica</w:t>
      </w:r>
      <w:r>
        <w:t xml:space="preserve"> y Chile</w:t>
      </w:r>
      <w:r w:rsidRPr="00747B91">
        <w:t>, los cuales</w:t>
      </w:r>
      <w:r>
        <w:t xml:space="preserve"> </w:t>
      </w:r>
      <w:r w:rsidRPr="00747B91">
        <w:t xml:space="preserve">ya tienen </w:t>
      </w:r>
      <w:r>
        <w:t>Tratados de Libre Comercio</w:t>
      </w:r>
      <w:r w:rsidRPr="00747B91">
        <w:t xml:space="preserve"> </w:t>
      </w:r>
      <w:r>
        <w:t>(</w:t>
      </w:r>
      <w:r w:rsidRPr="00747B91">
        <w:t>TLC</w:t>
      </w:r>
      <w:r>
        <w:t xml:space="preserve">) </w:t>
      </w:r>
      <w:r w:rsidRPr="00747B91">
        <w:t>con E</w:t>
      </w:r>
      <w:r>
        <w:t>stados Unidos, o</w:t>
      </w:r>
      <w:r w:rsidRPr="00747B91">
        <w:t xml:space="preserve"> fomentando la participación </w:t>
      </w:r>
      <w:r>
        <w:t>de Puerto Rico en otros grupos r</w:t>
      </w:r>
      <w:r w:rsidRPr="00747B91">
        <w:t xml:space="preserve">egionales de reciente creación. </w:t>
      </w:r>
      <w:r>
        <w:t xml:space="preserve">También debe evaluarse el potencial de la exportación de servicios </w:t>
      </w:r>
      <w:r w:rsidRPr="006421DD">
        <w:rPr>
          <w:szCs w:val="24"/>
          <w:lang w:val="es-ES_tradnl"/>
        </w:rPr>
        <w:t>a los países</w:t>
      </w:r>
      <w:r>
        <w:rPr>
          <w:szCs w:val="24"/>
          <w:lang w:val="es-ES_tradnl"/>
        </w:rPr>
        <w:t xml:space="preserve"> que tienen TLC con Estados Unidos, así como a otros países del Caribe y América Latina.</w:t>
      </w:r>
    </w:p>
    <w:p w:rsidR="00A9525B" w:rsidRDefault="00A9525B" w:rsidP="00A9525B">
      <w:pPr>
        <w:rPr>
          <w:color w:val="000000"/>
          <w:shd w:val="clear" w:color="auto" w:fill="FFFFFF"/>
          <w:lang w:val="es-AR"/>
        </w:rPr>
      </w:pPr>
      <w:r>
        <w:rPr>
          <w:color w:val="000000"/>
          <w:shd w:val="clear" w:color="auto" w:fill="FFFFFF"/>
          <w:lang w:val="es-AR"/>
        </w:rPr>
        <w:t>A</w:t>
      </w:r>
      <w:r w:rsidRPr="00747B91">
        <w:rPr>
          <w:color w:val="000000"/>
          <w:shd w:val="clear" w:color="auto" w:fill="FFFFFF"/>
          <w:lang w:val="es-AR"/>
        </w:rPr>
        <w:t xml:space="preserve">ctualmente son muy limitadas </w:t>
      </w:r>
      <w:r>
        <w:rPr>
          <w:color w:val="000000"/>
          <w:shd w:val="clear" w:color="auto" w:fill="FFFFFF"/>
          <w:lang w:val="es-AR"/>
        </w:rPr>
        <w:t>l</w:t>
      </w:r>
      <w:r w:rsidRPr="00747B91">
        <w:rPr>
          <w:color w:val="000000"/>
          <w:shd w:val="clear" w:color="auto" w:fill="FFFFFF"/>
          <w:lang w:val="es-AR"/>
        </w:rPr>
        <w:t xml:space="preserve">as posibilidades </w:t>
      </w:r>
      <w:r>
        <w:rPr>
          <w:color w:val="000000"/>
          <w:shd w:val="clear" w:color="auto" w:fill="FFFFFF"/>
          <w:lang w:val="es-AR"/>
        </w:rPr>
        <w:t>de que</w:t>
      </w:r>
      <w:r w:rsidRPr="00747B91">
        <w:rPr>
          <w:color w:val="000000"/>
          <w:shd w:val="clear" w:color="auto" w:fill="FFFFFF"/>
          <w:lang w:val="es-AR"/>
        </w:rPr>
        <w:t xml:space="preserve"> el </w:t>
      </w:r>
      <w:r>
        <w:rPr>
          <w:color w:val="000000"/>
          <w:shd w:val="clear" w:color="auto" w:fill="FFFFFF"/>
          <w:lang w:val="es-AR"/>
        </w:rPr>
        <w:t xml:space="preserve">Gobierno de Puerto Rico pueda </w:t>
      </w:r>
      <w:r w:rsidRPr="00747B91">
        <w:rPr>
          <w:color w:val="000000"/>
          <w:shd w:val="clear" w:color="auto" w:fill="FFFFFF"/>
          <w:lang w:val="es-AR"/>
        </w:rPr>
        <w:t>insertarse en a</w:t>
      </w:r>
      <w:r>
        <w:rPr>
          <w:color w:val="000000"/>
          <w:shd w:val="clear" w:color="auto" w:fill="FFFFFF"/>
          <w:lang w:val="es-AR"/>
        </w:rPr>
        <w:t>cuerdos en los que no participa</w:t>
      </w:r>
      <w:r w:rsidRPr="00747B91">
        <w:rPr>
          <w:color w:val="000000"/>
          <w:shd w:val="clear" w:color="auto" w:fill="FFFFFF"/>
          <w:lang w:val="es-AR"/>
        </w:rPr>
        <w:t xml:space="preserve"> </w:t>
      </w:r>
      <w:r>
        <w:rPr>
          <w:color w:val="000000"/>
          <w:shd w:val="clear" w:color="auto" w:fill="FFFFFF"/>
          <w:lang w:val="es-AR"/>
        </w:rPr>
        <w:t xml:space="preserve">Estados Unidos. </w:t>
      </w:r>
      <w:r w:rsidRPr="00747B91">
        <w:rPr>
          <w:color w:val="000000"/>
          <w:shd w:val="clear" w:color="auto" w:fill="FFFFFF"/>
          <w:lang w:val="es-AR"/>
        </w:rPr>
        <w:t>Bajo la estadidad</w:t>
      </w:r>
      <w:r>
        <w:rPr>
          <w:color w:val="000000"/>
          <w:shd w:val="clear" w:color="auto" w:fill="FFFFFF"/>
          <w:lang w:val="es-AR"/>
        </w:rPr>
        <w:t>,</w:t>
      </w:r>
      <w:r w:rsidRPr="00747B91">
        <w:rPr>
          <w:color w:val="000000"/>
          <w:shd w:val="clear" w:color="auto" w:fill="FFFFFF"/>
          <w:lang w:val="es-AR"/>
        </w:rPr>
        <w:t xml:space="preserve"> se cerraría</w:t>
      </w:r>
      <w:r>
        <w:rPr>
          <w:color w:val="000000"/>
          <w:shd w:val="clear" w:color="auto" w:fill="FFFFFF"/>
          <w:lang w:val="es-AR"/>
        </w:rPr>
        <w:t xml:space="preserve"> la puerta a dicha posibilidad </w:t>
      </w:r>
      <w:r w:rsidRPr="00747B91">
        <w:rPr>
          <w:color w:val="000000"/>
          <w:shd w:val="clear" w:color="auto" w:fill="FFFFFF"/>
          <w:lang w:val="es-AR"/>
        </w:rPr>
        <w:t>y se reducirían significativamente las posibilidades para aumentar la presencia i</w:t>
      </w:r>
      <w:r>
        <w:rPr>
          <w:color w:val="000000"/>
          <w:shd w:val="clear" w:color="auto" w:fill="FFFFFF"/>
          <w:lang w:val="es-AR"/>
        </w:rPr>
        <w:t>nstitucional de la Isla en las organizaciones i</w:t>
      </w:r>
      <w:r w:rsidRPr="00747B91">
        <w:rPr>
          <w:color w:val="000000"/>
          <w:shd w:val="clear" w:color="auto" w:fill="FFFFFF"/>
          <w:lang w:val="es-AR"/>
        </w:rPr>
        <w:t>nternacionales.</w:t>
      </w:r>
    </w:p>
    <w:p w:rsidR="00A9525B" w:rsidRPr="00043D9C" w:rsidRDefault="00A9525B" w:rsidP="00A9525B">
      <w:pPr>
        <w:pStyle w:val="Heading2"/>
        <w:ind w:left="426" w:hanging="426"/>
        <w:jc w:val="both"/>
      </w:pPr>
      <w:bookmarkStart w:id="8" w:name="_Toc384769710"/>
      <w:r>
        <w:t>La estadidad y la convergencia económica de Puerto Rico con Estados Unidos</w:t>
      </w:r>
      <w:bookmarkEnd w:id="8"/>
    </w:p>
    <w:p w:rsidR="00A9525B" w:rsidRDefault="00A9525B" w:rsidP="00A9525B">
      <w:pPr>
        <w:spacing w:after="120" w:line="240" w:lineRule="auto"/>
      </w:pPr>
    </w:p>
    <w:p w:rsidR="00A9525B" w:rsidRDefault="00A9525B" w:rsidP="00A9525B">
      <w:pPr>
        <w:spacing w:after="120"/>
      </w:pPr>
      <w:r>
        <w:t>La teoría del crecimiento económico postula que las economías pobres tienden a acercarse a las economías ricas con el paso del tiempo. A esta predicción de la teoría se le conoce con el nombre de la hipótesis de la convergencia. La hipótesis principal respecto a la convergencia establece que los países menos desarrollados crecen a un ritmo más acelerado que los países avanzados, y que en el largo plazo pueden alcanzar niveles de producción e ingreso similares a los de estos últimos. La evidencia empírica no valida completamente esta predicción teórica, pero los estudios del tema constituyen un área importante en el análisis del desarrollo económico.</w:t>
      </w:r>
    </w:p>
    <w:p w:rsidR="00A9525B" w:rsidRDefault="00A9525B" w:rsidP="00A9525B">
      <w:pPr>
        <w:spacing w:after="120"/>
      </w:pPr>
      <w:r>
        <w:t xml:space="preserve"> En el caso de Puerto Rico, la teoría de la convergencia se vinculó al tema de la estadidad en un estudio que fue parte de una tesis doctoral en Economía (Lefort, 1997). El autor hizo un análisis de convergencia, comparando el crecimiento económico de Puerto Rico con el de varios estados de Estados Unidos e incluso con otros países de América Latina y el Caribe. Sus hallazgos reflejan que no hay convergencia entre Puerto Rico y Estados Unidos, lo cual el autor atribuye a la falta de una integración completa de la economía de la Isla a la de los 50 estados. Según Lefort, es erróneo pensar que la economía de Puerto Rico debe converger con la de Estados Unidos antes de acceder a la estadidad. Más bien, según su perspectiva, la estadidad es una condición necesaria para que ocurra la convergencia, ya que hará a la economía de Puerto Rico una similar a la de Estados Unidos, sentando así las bases para la convergencia.</w:t>
      </w:r>
    </w:p>
    <w:p w:rsidR="00A9525B" w:rsidRDefault="00A9525B" w:rsidP="00A9525B">
      <w:pPr>
        <w:spacing w:after="120"/>
      </w:pPr>
      <w:r>
        <w:t>El análisis de Lefort es técnicamente sofisticado, pero sus supuestos y conclusiones son cuestionables. Según el autor, un cambio de estatus hacia la estadidad reduciría la incertidumbre política, generaría un sistema legal estable, uniformaría la institucionalidad de la Isla con la de Estados Unidos, permitiría el acceso a un mercado más amplio y aumentaría las ayudas federales que llegan a la Isla. Ignora el autor que, en los casi 100 años de la relación política de Puerto Rico con Estados Unidos que habían transcurrido para la fecha en que se realizó su estudio, la Isla había alcanzado ya un alto grado de convergencia institucional con Estados Unidos, incluyendo el establecimiento de un sistema legal estable y un ambiente de muy baja incertidumbre política. Pasa también por alto el hecho de que la economía de Puerto Rico experimentó un período de casi tres décadas de alto crecimiento económico —entre los 1940s y 1970s— comportándose tal como lo predice la hipótesis de la convergencia, sin estar encaminada hacia la estadidad.</w:t>
      </w:r>
    </w:p>
    <w:p w:rsidR="00A9525B" w:rsidRDefault="00A9525B" w:rsidP="00A9525B">
      <w:pPr>
        <w:spacing w:after="120"/>
      </w:pPr>
      <w:r>
        <w:t>Más importante aún es el hecho de que Lefort ignoró el papel que jugaron la innovación institucional y la política industrial de las administraciones de Rexford G. Tugwell y Luis Muñoz Marín en la convergencia institucional y económica con Estados Unidos, que ocurrió durante el período señalado. Esa parte de la historia económica de la Isla demuestra que la convergencia no es un proceso automático, sino que responde a la gestión de desarrollo que el liderato del país sea capaz de desplegar. La visión de Lefort de que la estadidad, por sí sola, garantizaría una transformación positiva de la economía de Puerto Rico choca con la experiencia histórica: la convergencia que se ha visto en la Isla no se dio hasta que administraciones del país —no federales— acometieron de manera deliberada los retos de la modernización y la industrialización. Más aún los principales instrumentos de política industrial, entre ellos la exención contributiva, que se utilizaron en dicho período no son compatibles con la estadidad.</w:t>
      </w:r>
    </w:p>
    <w:p w:rsidR="00A9525B" w:rsidRDefault="00A9525B" w:rsidP="00A9525B">
      <w:pPr>
        <w:spacing w:after="120"/>
      </w:pPr>
      <w:r>
        <w:t xml:space="preserve">El otro estudio formal de convergencia económica que se ha hecho sobre Puerto Rico lo llevó a cabo la Comisión Económica para la América Latina y el Caribe (CEPAL) de las Naciones Unidas. Los estudios de la CEPAL y de Lefort se diferencian no solo en sus resultados y conclusiones, sino también en la metodología de análisis. A diferencia de Lefort, los investigadores de la CEPAL identifican períodos de convergencia </w:t>
      </w:r>
      <w:r w:rsidRPr="008B456C">
        <w:t>—</w:t>
      </w:r>
      <w:r>
        <w:t>y también un período de divergencia</w:t>
      </w:r>
      <w:r w:rsidRPr="008B456C">
        <w:t>—</w:t>
      </w:r>
      <w:r>
        <w:t xml:space="preserve"> entre las economías de Puerto Rico y la de Estados Unidos (CEPAL, 2005). El período de 1947 a 1971 fue el de la "trayectoria convergente inicial", según la CEPAL, y cuando la economía de la Isla estaba viviendo el auge de la industrialización basada en el aprovechamiento de ciertas ventajas competitivas. El período de 1971 a 1986 —cuando la economía puertorriqueña fue golpeada por la crisis energética y el colapso de la industria petroquímica— fue uno de divergencia.</w:t>
      </w:r>
    </w:p>
    <w:p w:rsidR="00A9525B" w:rsidRDefault="00A9525B" w:rsidP="00A9525B">
      <w:pPr>
        <w:spacing w:after="120"/>
      </w:pPr>
      <w:r>
        <w:t>El tema de la convergencia está íntimamente ligado al de la competitividad. En la medida en que una economía en vías de desarrollo mejora su competitividad, logra también acelerar su crecimiento y situarse en una senda de convergencia con economías más desarrolladas. La convergencia presupone competitividad de parte de las economías emergentes.</w:t>
      </w:r>
    </w:p>
    <w:p w:rsidR="00A9525B" w:rsidRDefault="00A9525B" w:rsidP="00A9525B">
      <w:pPr>
        <w:spacing w:after="120"/>
      </w:pPr>
      <w:r>
        <w:t>En Puerto Rico se ha estudiado ampliamente el tema de la competitividad, tanto por académicos y profesionales como por entidades privadas y gubernamentales. Según la CEPAL, "se puede decir que existe consenso en Puerto Rico en cuanto a que la economía ha sufrido la erosión sostenida de su competitividad en las últimas dos décadas y quizás desde antes" (CEPAL, 2006, 116). De manera similar, el Banco de la Reserva Federal de Nueva York (FRBNY, por sus siglas en inglés) ha indicado que la Isla "ha estado operando por debajo de su potencial por algún tiempo y la competitividad de la economía continúa deteriorándose" (FRBNY, 2012, 7). Señalamientos del mismo tenor se pueden encontrar en otros documentos sobre el tema.</w:t>
      </w:r>
    </w:p>
    <w:p w:rsidR="00A9525B" w:rsidRDefault="00A9525B" w:rsidP="00A9525B">
      <w:pPr>
        <w:spacing w:after="120"/>
      </w:pPr>
      <w:r>
        <w:t>Por otro lado, parece haber consenso de que Puerto Rico cuenta con ventajas competitivas realizadas y potenciales, y que puede revertir la pérdida de competitividad que ha sufrido en el pasado. Así lo indican tanto la CEPAL como el FRBNY. Por ejemplo, la CEPAL cita evidencia de ciertas ventajas competitivas en la manufactura y el turismo, mientras que el FRBNY indica que Puerto Rico tiene algunas características que la hacen una economía fuerte y con el potencial de ser altamente competitiva.</w:t>
      </w:r>
    </w:p>
    <w:p w:rsidR="00A9525B" w:rsidRDefault="00A9525B" w:rsidP="00A9525B">
      <w:pPr>
        <w:spacing w:after="120"/>
      </w:pPr>
      <w:r>
        <w:t xml:space="preserve">Además de los eventos adversos que han golpeado a la economía de la Isla en las pasadas décadas (incluyendo los </w:t>
      </w:r>
      <w:r w:rsidRPr="00661928">
        <w:rPr>
          <w:i/>
        </w:rPr>
        <w:t>shocks</w:t>
      </w:r>
      <w:r>
        <w:t xml:space="preserve"> energéticos y la eliminación de la Sección 936), la competitividad de Puerto Rico se ve amenazada hacia el futuro por factores externos e internos, algunos de los cuales se relacionan con el estatus político. Algunos de estos factores son:</w:t>
      </w:r>
    </w:p>
    <w:p w:rsidR="00A9525B" w:rsidRPr="00324BED" w:rsidRDefault="00A9525B" w:rsidP="00A9525B">
      <w:pPr>
        <w:spacing w:after="120"/>
        <w:rPr>
          <w:b/>
        </w:rPr>
      </w:pPr>
      <w:r w:rsidRPr="00324BED">
        <w:rPr>
          <w:b/>
        </w:rPr>
        <w:t>Factores externos:</w:t>
      </w:r>
    </w:p>
    <w:p w:rsidR="00A9525B" w:rsidRPr="009B53A6" w:rsidRDefault="00A9525B" w:rsidP="00CB3560">
      <w:pPr>
        <w:numPr>
          <w:ilvl w:val="0"/>
          <w:numId w:val="17"/>
        </w:numPr>
        <w:spacing w:after="120"/>
        <w:ind w:left="993" w:hanging="284"/>
        <w:contextualSpacing/>
      </w:pPr>
      <w:r w:rsidRPr="009B53A6">
        <w:t>El avance de la globalización, que implica un número creciente de países competidores en el escenario mundial.</w:t>
      </w:r>
    </w:p>
    <w:p w:rsidR="00A9525B" w:rsidRPr="009B53A6" w:rsidRDefault="00A9525B" w:rsidP="00CB3560">
      <w:pPr>
        <w:numPr>
          <w:ilvl w:val="0"/>
          <w:numId w:val="17"/>
        </w:numPr>
        <w:spacing w:after="120"/>
        <w:ind w:left="993" w:hanging="284"/>
        <w:contextualSpacing/>
      </w:pPr>
      <w:r w:rsidRPr="009B53A6">
        <w:t>El ascenso de China, India y otras economías emergentes de gran tamaño y fuerte competitividad.</w:t>
      </w:r>
    </w:p>
    <w:p w:rsidR="00A9525B" w:rsidRPr="009B53A6" w:rsidRDefault="00A9525B" w:rsidP="00CB3560">
      <w:pPr>
        <w:numPr>
          <w:ilvl w:val="0"/>
          <w:numId w:val="17"/>
        </w:numPr>
        <w:spacing w:after="120"/>
        <w:ind w:left="993" w:hanging="284"/>
        <w:contextualSpacing/>
      </w:pPr>
      <w:r w:rsidRPr="009B53A6">
        <w:t>Los tratados de libre comercio de Estados Unidos con países de nuestra región, especialmente los de Centroamérica, República Dominicana, Colombia y México.</w:t>
      </w:r>
    </w:p>
    <w:p w:rsidR="00A9525B" w:rsidRDefault="00A9525B" w:rsidP="00CB3560">
      <w:pPr>
        <w:numPr>
          <w:ilvl w:val="0"/>
          <w:numId w:val="17"/>
        </w:numPr>
        <w:spacing w:after="120"/>
        <w:ind w:left="993" w:hanging="284"/>
        <w:contextualSpacing/>
      </w:pPr>
      <w:r w:rsidRPr="009B53A6">
        <w:t>La falta de apoyo del Gobierno de Estados Unidos para las políticas de promoción industrial en la Isla.</w:t>
      </w:r>
    </w:p>
    <w:p w:rsidR="00A9525B" w:rsidRDefault="00A9525B" w:rsidP="00A9525B">
      <w:pPr>
        <w:spacing w:after="120"/>
        <w:ind w:left="993" w:firstLine="0"/>
        <w:contextualSpacing/>
      </w:pPr>
    </w:p>
    <w:p w:rsidR="00A9525B" w:rsidRPr="00324BED" w:rsidRDefault="00A9525B" w:rsidP="00A9525B">
      <w:pPr>
        <w:spacing w:after="120"/>
        <w:rPr>
          <w:b/>
        </w:rPr>
      </w:pPr>
      <w:r w:rsidRPr="00324BED">
        <w:rPr>
          <w:b/>
        </w:rPr>
        <w:t>Factores internos:</w:t>
      </w:r>
    </w:p>
    <w:p w:rsidR="00A9525B" w:rsidRPr="009B53A6" w:rsidRDefault="00A9525B" w:rsidP="00CB3560">
      <w:pPr>
        <w:numPr>
          <w:ilvl w:val="0"/>
          <w:numId w:val="17"/>
        </w:numPr>
        <w:spacing w:after="120"/>
        <w:ind w:left="993" w:hanging="284"/>
        <w:contextualSpacing/>
      </w:pPr>
      <w:r w:rsidRPr="009B53A6">
        <w:t>Los costos de iniciar y operar actividades productivas en la Isla</w:t>
      </w:r>
      <w:r>
        <w:t>.</w:t>
      </w:r>
      <w:r w:rsidRPr="0085299C">
        <w:t xml:space="preserve"> </w:t>
      </w:r>
    </w:p>
    <w:p w:rsidR="00A9525B" w:rsidRPr="009B53A6" w:rsidRDefault="00A9525B" w:rsidP="00CB3560">
      <w:pPr>
        <w:numPr>
          <w:ilvl w:val="0"/>
          <w:numId w:val="17"/>
        </w:numPr>
        <w:spacing w:after="120"/>
        <w:ind w:left="993" w:hanging="284"/>
        <w:contextualSpacing/>
      </w:pPr>
      <w:r w:rsidRPr="009B53A6">
        <w:t xml:space="preserve">El debilitamiento del sistema financiero </w:t>
      </w:r>
      <w:r>
        <w:t>de la Isla</w:t>
      </w:r>
      <w:r w:rsidRPr="009B53A6">
        <w:t xml:space="preserve">, especialmente </w:t>
      </w:r>
      <w:r>
        <w:t>d</w:t>
      </w:r>
      <w:r w:rsidRPr="009B53A6">
        <w:t>el sector bancario</w:t>
      </w:r>
      <w:r>
        <w:t>.</w:t>
      </w:r>
      <w:r w:rsidRPr="0085299C">
        <w:t xml:space="preserve"> </w:t>
      </w:r>
    </w:p>
    <w:p w:rsidR="00A9525B" w:rsidRPr="009B53A6" w:rsidRDefault="00A9525B" w:rsidP="00CB3560">
      <w:pPr>
        <w:numPr>
          <w:ilvl w:val="0"/>
          <w:numId w:val="17"/>
        </w:numPr>
        <w:spacing w:after="120"/>
        <w:ind w:left="993" w:hanging="284"/>
        <w:contextualSpacing/>
      </w:pPr>
      <w:r w:rsidRPr="009B53A6">
        <w:t>El alto costo de la energía eléctrica y la dependencia del petróleo para la generación de electricidad.</w:t>
      </w:r>
      <w:r w:rsidRPr="0085299C">
        <w:t xml:space="preserve"> </w:t>
      </w:r>
    </w:p>
    <w:p w:rsidR="00A9525B" w:rsidRPr="009B53A6" w:rsidRDefault="00A9525B" w:rsidP="00CB3560">
      <w:pPr>
        <w:numPr>
          <w:ilvl w:val="0"/>
          <w:numId w:val="17"/>
        </w:numPr>
        <w:spacing w:after="120"/>
        <w:ind w:left="993" w:hanging="284"/>
        <w:contextualSpacing/>
      </w:pPr>
      <w:r w:rsidRPr="009B53A6">
        <w:t xml:space="preserve">La limitada capacidad fiscal del Gobierno </w:t>
      </w:r>
      <w:r>
        <w:t>de Puerto Rico</w:t>
      </w:r>
      <w:r w:rsidRPr="009B53A6">
        <w:t>.</w:t>
      </w:r>
      <w:r w:rsidRPr="0085299C">
        <w:t xml:space="preserve"> </w:t>
      </w:r>
    </w:p>
    <w:p w:rsidR="00A9525B" w:rsidRPr="009B53A6" w:rsidRDefault="00A9525B" w:rsidP="00CB3560">
      <w:pPr>
        <w:numPr>
          <w:ilvl w:val="0"/>
          <w:numId w:val="17"/>
        </w:numPr>
        <w:spacing w:after="120"/>
        <w:ind w:left="993" w:hanging="284"/>
        <w:contextualSpacing/>
      </w:pPr>
      <w:r>
        <w:t>La ausencia de ejecución de proyectos estratégicos de un alto potencial económico (por ejemplo, el Puerto de Las Américas en Ponce).</w:t>
      </w:r>
      <w:r w:rsidRPr="0085299C">
        <w:t xml:space="preserve"> </w:t>
      </w:r>
    </w:p>
    <w:p w:rsidR="00A9525B" w:rsidRPr="009B53A6" w:rsidRDefault="00A9525B" w:rsidP="00CB3560">
      <w:pPr>
        <w:numPr>
          <w:ilvl w:val="0"/>
          <w:numId w:val="17"/>
        </w:numPr>
        <w:spacing w:after="120"/>
        <w:ind w:left="993" w:hanging="284"/>
        <w:contextualSpacing/>
      </w:pPr>
      <w:r>
        <w:t>La injerencia de la política partidista en la administración pública y el debilitamiento del sistema de mérito en el servicio público.</w:t>
      </w:r>
      <w:r w:rsidRPr="0085299C">
        <w:t xml:space="preserve"> </w:t>
      </w:r>
    </w:p>
    <w:p w:rsidR="00A9525B" w:rsidRDefault="00A9525B" w:rsidP="00A9525B">
      <w:pPr>
        <w:spacing w:after="120"/>
      </w:pPr>
    </w:p>
    <w:p w:rsidR="00A9525B" w:rsidRDefault="00A9525B" w:rsidP="00A9525B">
      <w:pPr>
        <w:spacing w:after="120"/>
      </w:pPr>
      <w:r>
        <w:t xml:space="preserve">A través del mundo se han desarrollado diversos índices para medir la competitividad de los países e identificar los puntos débiles y fuertes de las diversas economías. Puerto Rico está incluido en el índice del Foro Económico Mundial (WEF, por sus siglas en inglés) y en el índice de </w:t>
      </w:r>
      <w:r w:rsidRPr="004E0FA5">
        <w:rPr>
          <w:i/>
        </w:rPr>
        <w:t>Doing Business</w:t>
      </w:r>
      <w:r>
        <w:t xml:space="preserve">, del Banco Mundial y la International Finance Corporation. En el índice del WEF, Puerto Rico ha mejorado su rango y calificación en los últimos años. </w:t>
      </w:r>
      <w:r w:rsidRPr="00062828">
        <w:t>[Nota:</w:t>
      </w:r>
      <w:r>
        <w:t xml:space="preserve"> </w:t>
      </w:r>
      <w:r w:rsidRPr="00062828">
        <w:t xml:space="preserve">En este </w:t>
      </w:r>
      <w:r>
        <w:t>índice, el rango es mejor mientras más bajo sea; el país con el rango de 1 está en el primer lugar. Lo contrario ocurre con la calificación, la cual se mide de 1 a 7.</w:t>
      </w:r>
      <w:r w:rsidRPr="00062828">
        <w:t>]</w:t>
      </w:r>
    </w:p>
    <w:p w:rsidR="00A9525B" w:rsidRDefault="00A9525B" w:rsidP="00A9525B">
      <w:pPr>
        <w:spacing w:after="120"/>
      </w:pPr>
      <w:r>
        <w:t xml:space="preserve">Las puntuaciones del WEF para Puerto Rico demuestran que, a pesar de los retos económicos a los que se enfrenta, cuenta con fundamentos para ser competitivo en la economía global. De hecho, en la última edición del índice, correspondiente al año 2013-14, Puerto Rico logró colocarse en la lista </w:t>
      </w:r>
      <w:r w:rsidRPr="008B456C">
        <w:t>—</w:t>
      </w:r>
      <w:r>
        <w:t>encabezada por Suiza</w:t>
      </w:r>
      <w:r w:rsidRPr="008B456C">
        <w:t>—</w:t>
      </w:r>
      <w:r>
        <w:t xml:space="preserve"> de los primeros 30 países, con el rango de 30. Al analizar el detalle del índice para el año 2012-13, se observó que los puntos más fuertes de Puerto Rico fueron la educación y capacitación a nivel superior, la sofisticación de los negocios, la eficiencia de los mercados de bienes y la innovación.</w:t>
      </w:r>
    </w:p>
    <w:p w:rsidR="00A9525B" w:rsidRDefault="00A9525B" w:rsidP="00A9525B">
      <w:pPr>
        <w:spacing w:after="120"/>
      </w:pPr>
      <w:r>
        <w:t>El tema de la competitividad tiene relación directa con el del estatus político, aunque algunos de los vínculos son sutiles mientras otros son evidentes. En un reciente seminario de la Escuela de Derecho de la Universidad de Puerto Rico, dirigido por el exdecano y profesor emérito David Helfeld, se estudiaron los poderes de la Isla en su actual estatus político. El propio profesor Helfeld resumió uno de los hallazgos principales con las siguientes palabras: “Dos artículos que tratan de los programas gubernamentales en marcha sirven para confirmar la tesis del seminario de que Puerto Rico tiene todos los poderes de un estado para gobernar sus asuntos internos y otros dos demuestran convincentemente cómo se pueden ejercer plenamente estos poderes para crear soluciones innovadoras para promover la economía de Puerto Rico” (Helfeld, 2011).</w:t>
      </w:r>
    </w:p>
    <w:p w:rsidR="00A9525B" w:rsidRDefault="00A9525B" w:rsidP="00A9525B">
      <w:pPr>
        <w:spacing w:after="120"/>
      </w:pPr>
      <w:r>
        <w:t>Esta opinión jurídica, unida al posicionamiento de Puerto Rico en el Índice WEF, abona la hipótesis de que Puerto Rico no requiere la estadidad para apuntalar su competitividad interna y global, contrario a lo que plantean algunos investigadores, como Lefort.</w:t>
      </w:r>
    </w:p>
    <w:p w:rsidR="00A9525B" w:rsidRDefault="00A9525B" w:rsidP="00A9525B">
      <w:pPr>
        <w:spacing w:after="120"/>
      </w:pPr>
      <w:r>
        <w:t>Por otro lado, hay algunos factores importantes que inciden en la competitividad que sí son sensitivos al estatus político. Por ejemplo, en el Índice de Competitividad Internacional del Instituto Mexicano para la Competitividad (IMCO) —compuesto por diez subíndices— hay dos subíndices que, si se aplicaran a Puerto Rico, tendrían posiblemente que evaluarse a la luz del estatus político de la Isla. Uno de ellos es el subíndice 8: Aprovechamiento de las relaciones internacionales. Según la documentación pertinente: “Este subíndice califica en qué medida los países capitalizan su relación con el exterior para ser más competitivos”. El otro es el subíndice 6: Mercados de factores eficientes, que según su descripción: “califica la eficiencia de los mercados de factores de producción —es decir, los mercados de los insumos que utilizan las empresas para sus actividades productivas” (IMCO, 2013).</w:t>
      </w:r>
    </w:p>
    <w:p w:rsidR="00A9525B" w:rsidRDefault="00A9525B" w:rsidP="00A9525B">
      <w:pPr>
        <w:spacing w:after="120"/>
      </w:pPr>
      <w:r>
        <w:t>El primero de estos subíndices se refiere a una de las áreas reservadas al Gobierno federal en el estatus actual de Puerto Rico. La Isla tiene cierto margen de acción, aunque limitado, para establecer lazos internacionales para promover la inversión y el comercio. En la actualidad, el Departamento de Estado de Puerto Rico está desarrollando una iniciativa de internacionalización que aprovecha precisamente ese margen de acción que permite el estatus político vigente. La pregunta clave en el contexto de este estudio es si la estadidad ampliaría o reduciría dicho margen de acción.</w:t>
      </w:r>
    </w:p>
    <w:p w:rsidR="00A9525B" w:rsidRDefault="00A9525B" w:rsidP="00A9525B">
      <w:pPr>
        <w:spacing w:after="120"/>
      </w:pPr>
      <w:r>
        <w:t>En cuanto al subíndice 6, que enmarca el tema del mercado de trabajo, se observa que en Puerto Rico tiene un nivel de desarrollo muy inferior al alcanzado en los 50 estados federados. Parte importante de la problemática laboral en Puerto Rico se relaciona, por un lado, a cómo los programas federales de asistencia pública afectan los incentivos para trabajar, por un lado, y, por el otro, a cómo la legislación federal de salario mínimo afecta los incentivos para crear empleos. Este asunto tan fundamental para la competitividad y el desarrollo de la economía puertorriqueña ha sido de difícil abordaje bajo el estatus actual, y lo sería más en un estado federado. Recuérdese que el Banco de la Reserva Federal de Nueva York recomendó, en su estudio del 2012, gestionar una exención federal que permita establecer un salario submínimo para facilitar la contratación de jóvenes que entran al mercado de trabajo por primera vez.</w:t>
      </w:r>
    </w:p>
    <w:p w:rsidR="00A9525B" w:rsidRDefault="00A9525B" w:rsidP="00A9525B">
      <w:pPr>
        <w:spacing w:after="120"/>
      </w:pPr>
      <w:r>
        <w:t>Un análisis cualitativo de los determinantes de la competitividad lleva, por lo tanto, a la conclusión de que la estadidad no solo no es una “escalera automática” hacia la competitividad y la convergencia, como parecen argumentar Lefort y otros proponentes de esa fórmula de estatus, sino que incluso puede ser un impedimento al desarrollo de áreas críticas de la competitividad como la integración a la economía global y el desarrollo de un mercado de trabajo eficiente.</w:t>
      </w:r>
    </w:p>
    <w:p w:rsidR="00A9525B" w:rsidRPr="002A4568" w:rsidRDefault="00A9525B" w:rsidP="00A9525B">
      <w:pPr>
        <w:pStyle w:val="Heading2"/>
        <w:ind w:left="426" w:hanging="426"/>
        <w:jc w:val="both"/>
      </w:pPr>
      <w:bookmarkStart w:id="9" w:name="_Toc384769711"/>
      <w:r w:rsidRPr="002A4568">
        <w:t>Conclusiones</w:t>
      </w:r>
      <w:bookmarkEnd w:id="9"/>
      <w:r w:rsidRPr="002A4568">
        <w:t xml:space="preserve"> </w:t>
      </w:r>
    </w:p>
    <w:p w:rsidR="00A9525B" w:rsidRDefault="00A9525B" w:rsidP="00A9525B">
      <w:pPr>
        <w:spacing w:after="120" w:line="240" w:lineRule="auto"/>
      </w:pPr>
    </w:p>
    <w:p w:rsidR="00A9525B" w:rsidRDefault="00A9525B" w:rsidP="00A9525B">
      <w:pPr>
        <w:spacing w:after="120"/>
      </w:pPr>
      <w:r w:rsidRPr="002A4568">
        <w:t>El tema que se aborda</w:t>
      </w:r>
      <w:r>
        <w:t xml:space="preserve"> en este estudio es complejo y no se presta fácilmente a conclusiones categóricas. Aun así, del análisis realizado se desprenden algunas conclusiones preliminares que se discuten a continuación.</w:t>
      </w:r>
    </w:p>
    <w:p w:rsidR="00A9525B" w:rsidRDefault="00A9525B" w:rsidP="00A9525B">
      <w:pPr>
        <w:spacing w:after="120"/>
      </w:pPr>
      <w:r>
        <w:t>En primer lugar, parece improbable que el Congreso actúe positivamente sobre el HR 2000, especialmente luego de haberle dado paso a una iniciativa presidencial dirigida a facilitar un plebiscito de estatus bajo la responsabilidad del Gobierno de Puerto Rico.</w:t>
      </w:r>
    </w:p>
    <w:p w:rsidR="00A9525B" w:rsidRDefault="00A9525B" w:rsidP="00A9525B">
      <w:pPr>
        <w:spacing w:after="120"/>
      </w:pPr>
      <w:r>
        <w:t>En segundo lugar, la falta de un consenso político y académico en Estados Unidos sobre el futuro político de la Isla, y el hecho de que el Congreso federal todavía “no tiene a Puerto Rico en el radar”, a pesar de su crisis económica y sus posibles repercusiones en el continente, hacen pensar que el tema no se va a decidir próximamente. El Congreso con toda probabilidad hará lo mismo que en ocasiones previas, aplazar el asunto.</w:t>
      </w:r>
    </w:p>
    <w:p w:rsidR="00A9525B" w:rsidRDefault="00A9525B" w:rsidP="00A9525B">
      <w:pPr>
        <w:spacing w:after="120"/>
      </w:pPr>
      <w:r>
        <w:t>En tercer lugar, a pesar de lo dicho antes, la Compañía de Comercio y Exportación (CCE) hace bien en estudiar las posibles consecuencias económicas de un cambio de estatus, especialmente de un cambio a la estadidad, porque sus implicaciones son significativas para cualquier estrategia económica futura. Los planes de la CCE para estimular el desarrollo de las pequeñas y medianas empresas de capital puertorriqueño, y de una base de exportación de empresas puertorriqueñas, podrían afectarse con un cambio a la estadidad.</w:t>
      </w:r>
    </w:p>
    <w:p w:rsidR="00A9525B" w:rsidRDefault="00A9525B" w:rsidP="00A9525B">
      <w:pPr>
        <w:spacing w:after="120"/>
      </w:pPr>
      <w:r>
        <w:t>En cuarto lugar, el análisis de los efectos de la estadidad en la estructura fiscal del estado puertorriqueño plantea retos importantes. Bajo la estadidad, Puerto Rico enfrentaría lo que Peat Marwick describió hace más de 20 años como un “dilema presupuestario”, consistente en la decisión difícil de establecer una carga contributiva excesiva a las personas y los negocios (la carga que existe en la actualidad en la Isla, más la carga contributiva federal que vendría con la estadidad) o recortar significativamente las fuentes locales de ingreso y los gastos del Estado en servicios públicos. En la condición actual de crisis fiscal, ese dilema se agudiza y adquiere un carácter más urgente, llegándose incluso a plantear dudas sobre la viabilidad fiscal de la estadidad.</w:t>
      </w:r>
    </w:p>
    <w:p w:rsidR="00A9525B" w:rsidRDefault="00A9525B" w:rsidP="00A9525B">
      <w:pPr>
        <w:spacing w:after="120"/>
      </w:pPr>
      <w:r>
        <w:rPr>
          <w:lang w:eastAsia="ar-SA"/>
        </w:rPr>
        <w:t>En quinto lugar, s</w:t>
      </w:r>
      <w:r w:rsidRPr="005322AE">
        <w:rPr>
          <w:lang w:eastAsia="ar-SA"/>
        </w:rPr>
        <w:t>e concluye que bajo la estadidad Puerto Rico perdería la autonomía fisca</w:t>
      </w:r>
      <w:r>
        <w:rPr>
          <w:lang w:eastAsia="ar-SA"/>
        </w:rPr>
        <w:t>l de la cual disfruta hoy día. Est</w:t>
      </w:r>
      <w:r w:rsidRPr="005322AE">
        <w:rPr>
          <w:lang w:eastAsia="ar-SA"/>
        </w:rPr>
        <w:t>a</w:t>
      </w:r>
      <w:r>
        <w:rPr>
          <w:lang w:eastAsia="ar-SA"/>
        </w:rPr>
        <w:t xml:space="preserve"> autonomía</w:t>
      </w:r>
      <w:r w:rsidRPr="005322AE">
        <w:rPr>
          <w:lang w:eastAsia="ar-SA"/>
        </w:rPr>
        <w:t xml:space="preserve"> hace posible que se eximan individuos y corporaciones, tanto </w:t>
      </w:r>
      <w:r>
        <w:rPr>
          <w:lang w:eastAsia="ar-SA"/>
        </w:rPr>
        <w:t>de la Isla</w:t>
      </w:r>
      <w:r w:rsidRPr="005322AE">
        <w:rPr>
          <w:lang w:eastAsia="ar-SA"/>
        </w:rPr>
        <w:t xml:space="preserve"> como foráneas, del pago de contribuciones sobre ingresos cuy</w:t>
      </w:r>
      <w:r>
        <w:rPr>
          <w:lang w:eastAsia="ar-SA"/>
        </w:rPr>
        <w:t>a fuente se deriva en la Isla.</w:t>
      </w:r>
    </w:p>
    <w:p w:rsidR="00A9525B" w:rsidRDefault="00A9525B" w:rsidP="00A9525B">
      <w:pPr>
        <w:spacing w:after="120"/>
      </w:pPr>
      <w:r>
        <w:t>En sexto lugar, un asunto de particular importancia para la CCE es que la estadidad representaría una carga contributiva muy pesada para las pequeñas y medianas empresas (pymes) locales, a menos que se reduzcan sustancialmente las contribuciones a nivel Isla, ya que las pymes constituyen precisamente el grupo empresarial objetivo para los planes de promoción económica de la CCE.</w:t>
      </w:r>
    </w:p>
    <w:p w:rsidR="00A9525B" w:rsidRDefault="00A9525B" w:rsidP="00A9525B">
      <w:pPr>
        <w:spacing w:after="120"/>
      </w:pPr>
      <w:r>
        <w:t xml:space="preserve">En séptimo lugar, el análisis realizado en este estudio valida la conclusión del </w:t>
      </w:r>
      <w:r w:rsidRPr="005C62F3">
        <w:rPr>
          <w:i/>
        </w:rPr>
        <w:t>Joint Committee on Taxation</w:t>
      </w:r>
      <w:r>
        <w:t xml:space="preserve"> en el año 2006 de que la extensión de los impuestos federales a la Isla provocaría una reestructuración del sistema tributario en Puerto Rico.</w:t>
      </w:r>
    </w:p>
    <w:p w:rsidR="00A9525B" w:rsidRDefault="00A9525B" w:rsidP="00A9525B">
      <w:pPr>
        <w:spacing w:after="120"/>
      </w:pPr>
      <w:r>
        <w:t>Por último, el estudio del posible nexo entre competitividad, convergencia y estadidad lleva a pensar que dicho vínculo no es tan claro como lo presentan algunos proponentes de la estadidad como fórmula óptima de estatus para Puerto Rico. La convergencia y la competitividad sí están conectadas al tema del estatus político, pero no se trata de una línea de causalidad simple y automática como la han presentado algunos investigadores. Algunos aspectos de la estadidad podrían favorecer la competitividad de Puerto Rico y su convergencia con la economía de Estados Unidos, como por ejemplo la mayor inversión en el cuidado de la salud. Sin embargo, hay otros factores que pesan en la dirección contraria, como los efectos posibles en el mercado de trabajo, en la promoción de inversión externa y en el posible aprovechamiento de las relaciones internacionales.</w:t>
      </w:r>
    </w:p>
    <w:p w:rsidR="00BE7185" w:rsidRDefault="00BE7185" w:rsidP="00A9525B">
      <w:pPr>
        <w:spacing w:after="120"/>
      </w:pPr>
    </w:p>
    <w:p w:rsidR="00A9525B" w:rsidRPr="005710C2" w:rsidRDefault="00A9525B" w:rsidP="00A9525B">
      <w:pPr>
        <w:pStyle w:val="Heading2"/>
        <w:ind w:left="425" w:hanging="425"/>
        <w:jc w:val="both"/>
      </w:pPr>
      <w:bookmarkStart w:id="10" w:name="_Toc384769712"/>
      <w:r w:rsidRPr="005710C2">
        <w:t>Recomendaciones</w:t>
      </w:r>
      <w:bookmarkEnd w:id="10"/>
    </w:p>
    <w:p w:rsidR="00A9525B" w:rsidRPr="00ED66A2" w:rsidRDefault="00A9525B" w:rsidP="00A9525B">
      <w:pPr>
        <w:keepNext/>
        <w:spacing w:after="120" w:line="240" w:lineRule="auto"/>
      </w:pPr>
    </w:p>
    <w:p w:rsidR="00A9525B" w:rsidRDefault="00A9525B" w:rsidP="00A9525B">
      <w:pPr>
        <w:spacing w:after="120"/>
      </w:pPr>
      <w:r>
        <w:t>Del análisis realizado en el estudio y sus conclusiones se desprenden varias recomendaciones, las cuales se discuten detalladamente en el capítulo final del informe. Para referencia rápida, la lista de recomendaciones se presenta a continuación:</w:t>
      </w:r>
    </w:p>
    <w:p w:rsidR="00A9525B" w:rsidRPr="00924AA3" w:rsidRDefault="00A9525B" w:rsidP="00CB3560">
      <w:pPr>
        <w:numPr>
          <w:ilvl w:val="0"/>
          <w:numId w:val="21"/>
        </w:numPr>
        <w:spacing w:after="120"/>
        <w:ind w:left="360"/>
        <w:contextualSpacing/>
      </w:pPr>
      <w:r w:rsidRPr="00924AA3">
        <w:t>Atender el problema de la percepción que se tiene de Puerto Rico en Estados Unidos.</w:t>
      </w:r>
    </w:p>
    <w:p w:rsidR="00A9525B" w:rsidRPr="00924AA3" w:rsidRDefault="00A9525B" w:rsidP="00CB3560">
      <w:pPr>
        <w:numPr>
          <w:ilvl w:val="0"/>
          <w:numId w:val="21"/>
        </w:numPr>
        <w:spacing w:after="120"/>
        <w:ind w:left="360"/>
        <w:contextualSpacing/>
      </w:pPr>
      <w:r w:rsidRPr="00924AA3">
        <w:t>Optimizar el uso de los fondos y recursos recibidos de Estados Unidos.</w:t>
      </w:r>
    </w:p>
    <w:p w:rsidR="00A9525B" w:rsidRPr="00924AA3" w:rsidRDefault="00A9525B" w:rsidP="00CB3560">
      <w:pPr>
        <w:numPr>
          <w:ilvl w:val="0"/>
          <w:numId w:val="21"/>
        </w:numPr>
        <w:spacing w:after="120"/>
        <w:ind w:left="360"/>
        <w:contextualSpacing/>
      </w:pPr>
      <w:r>
        <w:t xml:space="preserve">Convocar una comisión no </w:t>
      </w:r>
      <w:r w:rsidRPr="00924AA3">
        <w:t>partidista de alto nivel para estudiar la crisis.</w:t>
      </w:r>
    </w:p>
    <w:p w:rsidR="00A9525B" w:rsidRPr="00924AA3" w:rsidRDefault="00A9525B" w:rsidP="00CB3560">
      <w:pPr>
        <w:numPr>
          <w:ilvl w:val="0"/>
          <w:numId w:val="21"/>
        </w:numPr>
        <w:spacing w:after="120"/>
        <w:ind w:left="360"/>
        <w:contextualSpacing/>
      </w:pPr>
      <w:r w:rsidRPr="00924AA3">
        <w:t>Fortalec</w:t>
      </w:r>
      <w:r>
        <w:t>er políticas de Estado</w:t>
      </w:r>
      <w:r w:rsidRPr="00924AA3">
        <w:t xml:space="preserve"> resistentes a los cambios partidistas en el Gobierno.</w:t>
      </w:r>
    </w:p>
    <w:p w:rsidR="00A9525B" w:rsidRPr="00924AA3" w:rsidRDefault="00A9525B" w:rsidP="00CB3560">
      <w:pPr>
        <w:numPr>
          <w:ilvl w:val="0"/>
          <w:numId w:val="21"/>
        </w:numPr>
        <w:spacing w:after="120"/>
        <w:ind w:left="360"/>
        <w:contextualSpacing/>
      </w:pPr>
      <w:r w:rsidRPr="00924AA3">
        <w:t>Desarrollar nuevos mecanismos de consulta y negociación entre Puerto Rico y Estados Unidos.</w:t>
      </w:r>
    </w:p>
    <w:p w:rsidR="00A9525B" w:rsidRPr="00924AA3" w:rsidRDefault="00A9525B" w:rsidP="00CB3560">
      <w:pPr>
        <w:numPr>
          <w:ilvl w:val="0"/>
          <w:numId w:val="21"/>
        </w:numPr>
        <w:spacing w:after="120"/>
        <w:ind w:left="360"/>
        <w:contextualSpacing/>
      </w:pPr>
      <w:r w:rsidRPr="00924AA3">
        <w:t xml:space="preserve">Promover consensos procesales en materia de </w:t>
      </w:r>
      <w:r>
        <w:t>estatus</w:t>
      </w:r>
      <w:r w:rsidRPr="00924AA3">
        <w:t>.</w:t>
      </w:r>
    </w:p>
    <w:p w:rsidR="00A9525B" w:rsidRPr="00924AA3" w:rsidRDefault="00A9525B" w:rsidP="00CB3560">
      <w:pPr>
        <w:numPr>
          <w:ilvl w:val="0"/>
          <w:numId w:val="21"/>
        </w:numPr>
        <w:spacing w:after="120"/>
        <w:ind w:left="360"/>
        <w:contextualSpacing/>
      </w:pPr>
      <w:r w:rsidRPr="00924AA3">
        <w:t>Desarrollar estrategias de inserción en la globalización.</w:t>
      </w:r>
    </w:p>
    <w:p w:rsidR="00A9525B" w:rsidRPr="00924AA3" w:rsidRDefault="00A9525B" w:rsidP="00CB3560">
      <w:pPr>
        <w:numPr>
          <w:ilvl w:val="0"/>
          <w:numId w:val="21"/>
        </w:numPr>
        <w:spacing w:after="120"/>
        <w:ind w:left="360"/>
        <w:contextualSpacing/>
      </w:pPr>
      <w:r w:rsidRPr="00924AA3">
        <w:t xml:space="preserve">Promover la diversificación del sector manufacturero y la participación del capital </w:t>
      </w:r>
      <w:r>
        <w:t>puertorriqueño</w:t>
      </w:r>
      <w:r w:rsidRPr="00924AA3">
        <w:t xml:space="preserve"> en el </w:t>
      </w:r>
      <w:r>
        <w:t>sector</w:t>
      </w:r>
      <w:r w:rsidRPr="00924AA3">
        <w:t>.</w:t>
      </w:r>
    </w:p>
    <w:p w:rsidR="00A9525B" w:rsidRPr="00924AA3" w:rsidRDefault="00A9525B" w:rsidP="00CB3560">
      <w:pPr>
        <w:numPr>
          <w:ilvl w:val="0"/>
          <w:numId w:val="21"/>
        </w:numPr>
        <w:spacing w:after="120"/>
        <w:ind w:left="360"/>
        <w:contextualSpacing/>
      </w:pPr>
      <w:r w:rsidRPr="00924AA3">
        <w:t>Aumentar los eslabonamientos interindustriales mediante la sustitución selectiva y eficiente de importaciones.</w:t>
      </w:r>
    </w:p>
    <w:p w:rsidR="00A9525B" w:rsidRPr="00924AA3" w:rsidRDefault="00A9525B" w:rsidP="00CB3560">
      <w:pPr>
        <w:numPr>
          <w:ilvl w:val="0"/>
          <w:numId w:val="21"/>
        </w:numPr>
        <w:spacing w:after="120"/>
        <w:ind w:left="360"/>
        <w:contextualSpacing/>
      </w:pPr>
      <w:r w:rsidRPr="00924AA3">
        <w:t>Promover la exportación de servicios.</w:t>
      </w:r>
    </w:p>
    <w:p w:rsidR="00A9525B" w:rsidRPr="00924AA3" w:rsidRDefault="00A9525B" w:rsidP="00CB3560">
      <w:pPr>
        <w:numPr>
          <w:ilvl w:val="0"/>
          <w:numId w:val="21"/>
        </w:numPr>
        <w:spacing w:after="120"/>
        <w:ind w:left="360"/>
        <w:contextualSpacing/>
      </w:pPr>
      <w:r w:rsidRPr="00924AA3">
        <w:t>Desarrollar una estrategia para aumenta</w:t>
      </w:r>
      <w:r>
        <w:t>r la aportación del turismo al PNB</w:t>
      </w:r>
      <w:r w:rsidRPr="00924AA3">
        <w:t>.</w:t>
      </w:r>
    </w:p>
    <w:p w:rsidR="00A9525B" w:rsidRPr="00924AA3" w:rsidRDefault="00A9525B" w:rsidP="00CB3560">
      <w:pPr>
        <w:numPr>
          <w:ilvl w:val="0"/>
          <w:numId w:val="21"/>
        </w:numPr>
        <w:spacing w:after="120"/>
        <w:ind w:left="360"/>
        <w:contextualSpacing/>
      </w:pPr>
      <w:r w:rsidRPr="00924AA3">
        <w:t>Entablar un diálogo con Estados Unidos para mejorar la participación de Puerto Rico en los tratados de libre comercio.</w:t>
      </w:r>
    </w:p>
    <w:p w:rsidR="00A9525B" w:rsidRPr="00924AA3" w:rsidRDefault="00A9525B" w:rsidP="00CB3560">
      <w:pPr>
        <w:numPr>
          <w:ilvl w:val="0"/>
          <w:numId w:val="21"/>
        </w:numPr>
        <w:spacing w:after="120"/>
        <w:ind w:left="360"/>
        <w:contextualSpacing/>
      </w:pPr>
      <w:r w:rsidRPr="00924AA3">
        <w:t xml:space="preserve">Fomentar la investigación y </w:t>
      </w:r>
      <w:r>
        <w:t xml:space="preserve">el </w:t>
      </w:r>
      <w:r w:rsidRPr="00924AA3">
        <w:t>desarrollo para viabilizar una capacidad endógena de innovación.</w:t>
      </w:r>
    </w:p>
    <w:p w:rsidR="00A9525B" w:rsidRPr="00924AA3" w:rsidRDefault="00A9525B" w:rsidP="00CB3560">
      <w:pPr>
        <w:numPr>
          <w:ilvl w:val="0"/>
          <w:numId w:val="21"/>
        </w:numPr>
        <w:spacing w:after="120"/>
        <w:ind w:left="360"/>
        <w:contextualSpacing/>
      </w:pPr>
      <w:r w:rsidRPr="00924AA3">
        <w:t>Negociar con el Congreso de Estados Unidos la exención de Puerto Rico de la Ley de Cabojate (</w:t>
      </w:r>
      <w:r w:rsidRPr="00924AA3">
        <w:rPr>
          <w:i/>
        </w:rPr>
        <w:t>Jones Act</w:t>
      </w:r>
      <w:r w:rsidRPr="00924AA3">
        <w:t>).</w:t>
      </w:r>
    </w:p>
    <w:p w:rsidR="00A9525B" w:rsidRPr="00924AA3" w:rsidRDefault="00A9525B" w:rsidP="00CB3560">
      <w:pPr>
        <w:numPr>
          <w:ilvl w:val="0"/>
          <w:numId w:val="21"/>
        </w:numPr>
        <w:spacing w:after="120"/>
        <w:ind w:left="360"/>
        <w:contextualSpacing/>
      </w:pPr>
      <w:r w:rsidRPr="00924AA3">
        <w:t>Promover un mejor alineamiento entre el sistema educativo y las necesidades de un sistema enfocado en la economía del conocimiento.</w:t>
      </w:r>
    </w:p>
    <w:p w:rsidR="00A9525B" w:rsidRPr="00924AA3" w:rsidRDefault="00A9525B" w:rsidP="00CB3560">
      <w:pPr>
        <w:numPr>
          <w:ilvl w:val="0"/>
          <w:numId w:val="21"/>
        </w:numPr>
        <w:spacing w:after="120"/>
        <w:ind w:left="360"/>
        <w:contextualSpacing/>
      </w:pPr>
      <w:r w:rsidRPr="00924AA3">
        <w:t>Fortalecer las fuentes internas de recursos fiscales.</w:t>
      </w:r>
    </w:p>
    <w:p w:rsidR="00A9525B" w:rsidRPr="00924AA3" w:rsidRDefault="00A9525B" w:rsidP="00CB3560">
      <w:pPr>
        <w:numPr>
          <w:ilvl w:val="0"/>
          <w:numId w:val="21"/>
        </w:numPr>
        <w:spacing w:after="120"/>
        <w:ind w:left="360"/>
        <w:contextualSpacing/>
      </w:pPr>
      <w:r w:rsidRPr="00924AA3">
        <w:t>Darle permanencia y estabilidad al arbitrio de la Ley 154.</w:t>
      </w:r>
    </w:p>
    <w:p w:rsidR="00A9525B" w:rsidRPr="00924AA3" w:rsidRDefault="00A9525B" w:rsidP="00CB3560">
      <w:pPr>
        <w:numPr>
          <w:ilvl w:val="0"/>
          <w:numId w:val="21"/>
        </w:numPr>
        <w:spacing w:after="120"/>
        <w:ind w:left="360"/>
        <w:contextualSpacing/>
      </w:pPr>
      <w:r w:rsidRPr="00924AA3">
        <w:t>Crear un Fondo para Infraestructura</w:t>
      </w:r>
      <w:r>
        <w:t>,</w:t>
      </w:r>
      <w:r w:rsidRPr="00924AA3">
        <w:t xml:space="preserve"> utilizando parte de los recursos generados por el arbitrio de</w:t>
      </w:r>
      <w:r>
        <w:t>l</w:t>
      </w:r>
      <w:r w:rsidRPr="00924AA3">
        <w:t xml:space="preserve"> 4% a las corporaciones foráneas.</w:t>
      </w:r>
    </w:p>
    <w:p w:rsidR="00A9525B" w:rsidRPr="00924AA3" w:rsidRDefault="00A9525B" w:rsidP="00CB3560">
      <w:pPr>
        <w:numPr>
          <w:ilvl w:val="0"/>
          <w:numId w:val="21"/>
        </w:numPr>
        <w:spacing w:after="120"/>
        <w:ind w:left="360"/>
        <w:contextualSpacing/>
      </w:pPr>
      <w:r w:rsidRPr="00924AA3">
        <w:t>Diseñar nuevos mecanismos</w:t>
      </w:r>
      <w:r>
        <w:t xml:space="preserve"> </w:t>
      </w:r>
      <w:r w:rsidRPr="00924AA3">
        <w:t>—aparte de la exención contributiva—</w:t>
      </w:r>
      <w:r>
        <w:t xml:space="preserve"> </w:t>
      </w:r>
      <w:r w:rsidRPr="00924AA3">
        <w:t>para atraer inversión externa.</w:t>
      </w:r>
    </w:p>
    <w:p w:rsidR="00A9525B" w:rsidRPr="00924AA3" w:rsidRDefault="00A9525B" w:rsidP="00CB3560">
      <w:pPr>
        <w:numPr>
          <w:ilvl w:val="0"/>
          <w:numId w:val="21"/>
        </w:numPr>
        <w:spacing w:after="120"/>
        <w:ind w:left="360"/>
        <w:contextualSpacing/>
      </w:pPr>
      <w:r w:rsidRPr="00924AA3">
        <w:t>Asignar más recursos a la fiscalización contributiva.</w:t>
      </w:r>
    </w:p>
    <w:p w:rsidR="00A9525B" w:rsidRPr="00924AA3" w:rsidRDefault="00A9525B" w:rsidP="00CB3560">
      <w:pPr>
        <w:numPr>
          <w:ilvl w:val="0"/>
          <w:numId w:val="21"/>
        </w:numPr>
        <w:spacing w:after="120"/>
        <w:ind w:left="360"/>
        <w:contextualSpacing/>
      </w:pPr>
      <w:r w:rsidRPr="00924AA3">
        <w:t>Negociar mayor autonomía en la definición de prioridades para el uso de fondos federales en función de las necesidades particulares de la Isla.</w:t>
      </w:r>
    </w:p>
    <w:p w:rsidR="00A9525B" w:rsidRPr="00924AA3" w:rsidRDefault="00A9525B" w:rsidP="00CB3560">
      <w:pPr>
        <w:numPr>
          <w:ilvl w:val="0"/>
          <w:numId w:val="21"/>
        </w:numPr>
        <w:spacing w:after="120"/>
        <w:ind w:left="360"/>
        <w:contextualSpacing/>
      </w:pPr>
      <w:r w:rsidRPr="00924AA3">
        <w:t>Promover la diversificación de las exportaciones.</w:t>
      </w:r>
    </w:p>
    <w:p w:rsidR="00A9525B" w:rsidRPr="00924AA3" w:rsidRDefault="00A9525B" w:rsidP="00CB3560">
      <w:pPr>
        <w:numPr>
          <w:ilvl w:val="0"/>
          <w:numId w:val="21"/>
        </w:numPr>
        <w:spacing w:after="120"/>
        <w:ind w:left="360"/>
        <w:contextualSpacing/>
      </w:pPr>
      <w:r w:rsidRPr="00924AA3">
        <w:t>Aumentar la presencia de Puerto Rico en organismos regionales.</w:t>
      </w:r>
    </w:p>
    <w:p w:rsidR="00A9525B" w:rsidRPr="00924AA3" w:rsidRDefault="00A9525B" w:rsidP="00CB3560">
      <w:pPr>
        <w:numPr>
          <w:ilvl w:val="0"/>
          <w:numId w:val="21"/>
        </w:numPr>
        <w:spacing w:after="120"/>
        <w:ind w:left="360"/>
        <w:contextualSpacing/>
      </w:pPr>
      <w:r w:rsidRPr="00924AA3">
        <w:t xml:space="preserve">Potenciar el empresarismo </w:t>
      </w:r>
      <w:r>
        <w:t>puertorriqueño</w:t>
      </w:r>
      <w:r w:rsidRPr="00924AA3">
        <w:t>.</w:t>
      </w:r>
    </w:p>
    <w:p w:rsidR="00A9525B" w:rsidRPr="00924AA3" w:rsidRDefault="00A9525B" w:rsidP="00CB3560">
      <w:pPr>
        <w:numPr>
          <w:ilvl w:val="0"/>
          <w:numId w:val="21"/>
        </w:numPr>
        <w:spacing w:after="120"/>
        <w:ind w:left="360"/>
        <w:contextualSpacing/>
      </w:pPr>
      <w:r w:rsidRPr="00924AA3">
        <w:t xml:space="preserve">Mejorar los sistemas de información sobre las empresas </w:t>
      </w:r>
      <w:r>
        <w:t>puertorriqueñas</w:t>
      </w:r>
      <w:r w:rsidRPr="00924AA3">
        <w:t xml:space="preserve"> en el comercio exterior.</w:t>
      </w:r>
    </w:p>
    <w:p w:rsidR="00A9525B" w:rsidRPr="00924AA3" w:rsidRDefault="00A9525B" w:rsidP="00CB3560">
      <w:pPr>
        <w:numPr>
          <w:ilvl w:val="0"/>
          <w:numId w:val="21"/>
        </w:numPr>
        <w:spacing w:after="120"/>
        <w:ind w:left="360"/>
        <w:contextualSpacing/>
      </w:pPr>
      <w:r w:rsidRPr="00924AA3">
        <w:t>Enfocar la política pública en las variables determinantes del crecimiento económico.</w:t>
      </w:r>
    </w:p>
    <w:p w:rsidR="00A9525B" w:rsidRDefault="00A9525B" w:rsidP="00CB3560">
      <w:pPr>
        <w:numPr>
          <w:ilvl w:val="0"/>
          <w:numId w:val="21"/>
        </w:numPr>
        <w:spacing w:after="120"/>
        <w:ind w:left="360"/>
        <w:contextualSpacing/>
      </w:pPr>
      <w:r w:rsidRPr="00924AA3">
        <w:t xml:space="preserve">Atender las dimensiones institucionales de la convergencia con la </w:t>
      </w:r>
      <w:r>
        <w:t>e</w:t>
      </w:r>
      <w:r w:rsidRPr="00924AA3">
        <w:t>conomía de Estados Unidos, con énfasis en los determinantes de la capacidad de innovación.</w:t>
      </w:r>
    </w:p>
    <w:p w:rsidR="00191124" w:rsidRPr="00A9525B" w:rsidRDefault="00191124" w:rsidP="00191124">
      <w:pPr>
        <w:pStyle w:val="Heading1"/>
        <w:sectPr w:rsidR="00191124" w:rsidRPr="00A9525B">
          <w:headerReference w:type="default" r:id="rId10"/>
          <w:pgSz w:w="12240" w:h="15840"/>
          <w:pgMar w:top="1440" w:right="1440" w:bottom="1440" w:left="1418" w:gutter="0"/>
          <w:pgNumType w:start="1"/>
          <w:docGrid w:linePitch="360" w:charSpace="-2049"/>
        </w:sectPr>
      </w:pPr>
    </w:p>
    <w:p w:rsidR="005A5E7D" w:rsidRPr="00C904FA" w:rsidRDefault="005A5E7D" w:rsidP="00191124">
      <w:pPr>
        <w:pStyle w:val="Heading1"/>
        <w:rPr>
          <w:lang w:val="es-ES_tradnl"/>
        </w:rPr>
      </w:pPr>
      <w:bookmarkStart w:id="11" w:name="_Toc384769713"/>
      <w:r w:rsidRPr="00C904FA">
        <w:rPr>
          <w:lang w:val="es-ES_tradnl"/>
        </w:rPr>
        <w:t>Capítulo 1:</w:t>
      </w:r>
      <w:r>
        <w:rPr>
          <w:lang w:val="es-ES_tradnl"/>
        </w:rPr>
        <w:t xml:space="preserve"> </w:t>
      </w:r>
      <w:r w:rsidRPr="00C904FA">
        <w:rPr>
          <w:lang w:val="es-ES_tradnl"/>
        </w:rPr>
        <w:t>El Congreso de Estados Unidos y los escenarios políticos del estatus: una evaluación crítica</w:t>
      </w:r>
      <w:bookmarkEnd w:id="11"/>
    </w:p>
    <w:p w:rsidR="005A5E7D" w:rsidRPr="00C904FA" w:rsidRDefault="005A5E7D" w:rsidP="005A5E7D">
      <w:pPr>
        <w:widowControl w:val="0"/>
        <w:autoSpaceDE w:val="0"/>
        <w:autoSpaceDN w:val="0"/>
        <w:spacing w:line="240" w:lineRule="auto"/>
        <w:ind w:firstLine="0"/>
        <w:rPr>
          <w:rFonts w:eastAsia="Times New Roman"/>
          <w:szCs w:val="24"/>
          <w:lang w:val="es-ES_tradnl"/>
        </w:rPr>
      </w:pPr>
    </w:p>
    <w:p w:rsidR="005A5E7D" w:rsidRPr="0074665E" w:rsidRDefault="005A5E7D" w:rsidP="005A5E7D">
      <w:pPr>
        <w:widowControl w:val="0"/>
        <w:autoSpaceDE w:val="0"/>
        <w:autoSpaceDN w:val="0"/>
        <w:spacing w:line="240" w:lineRule="auto"/>
        <w:ind w:left="360"/>
        <w:jc w:val="right"/>
        <w:rPr>
          <w:rFonts w:eastAsia="Times New Roman"/>
          <w:b/>
          <w:i/>
          <w:iCs/>
          <w:szCs w:val="24"/>
          <w:lang w:val="es-ES_tradnl"/>
        </w:rPr>
      </w:pPr>
      <w:r w:rsidRPr="0074665E">
        <w:rPr>
          <w:rFonts w:eastAsia="Times New Roman"/>
          <w:b/>
          <w:iCs/>
          <w:szCs w:val="24"/>
          <w:lang w:val="es-ES_tradnl"/>
        </w:rPr>
        <w:tab/>
      </w:r>
      <w:r w:rsidRPr="0074665E">
        <w:rPr>
          <w:rFonts w:eastAsia="Times New Roman"/>
          <w:b/>
          <w:i/>
          <w:iCs/>
          <w:szCs w:val="24"/>
          <w:lang w:val="es-ES_tradnl"/>
        </w:rPr>
        <w:t>José Javier Colón Morera</w:t>
      </w:r>
    </w:p>
    <w:p w:rsidR="005A5E7D" w:rsidRPr="00C904FA" w:rsidRDefault="005A5E7D" w:rsidP="005A5E7D">
      <w:pPr>
        <w:suppressAutoHyphens/>
        <w:spacing w:line="240" w:lineRule="auto"/>
        <w:ind w:left="706" w:firstLine="706"/>
        <w:jc w:val="right"/>
        <w:rPr>
          <w:rFonts w:eastAsia="+mn-ea"/>
          <w:i/>
          <w:color w:val="000000"/>
          <w:kern w:val="1"/>
          <w:lang w:val="es-ES_tradnl" w:eastAsia="ar-SA"/>
        </w:rPr>
      </w:pPr>
      <w:r w:rsidRPr="00C904FA">
        <w:rPr>
          <w:rFonts w:eastAsia="+mn-ea"/>
          <w:i/>
          <w:color w:val="000000"/>
          <w:kern w:val="1"/>
          <w:lang w:val="es-ES_tradnl" w:eastAsia="ar-SA"/>
        </w:rPr>
        <w:t xml:space="preserve">Departamento de Ciencias Políticas, </w:t>
      </w:r>
    </w:p>
    <w:p w:rsidR="005A5E7D" w:rsidRPr="00C904FA" w:rsidRDefault="005A5E7D" w:rsidP="005A5E7D">
      <w:pPr>
        <w:suppressAutoHyphens/>
        <w:spacing w:line="240" w:lineRule="auto"/>
        <w:ind w:left="706" w:firstLine="706"/>
        <w:jc w:val="right"/>
        <w:rPr>
          <w:rFonts w:eastAsia="+mn-ea"/>
          <w:i/>
          <w:color w:val="000000"/>
          <w:kern w:val="1"/>
          <w:lang w:val="es-ES_tradnl" w:eastAsia="ar-SA"/>
        </w:rPr>
      </w:pPr>
      <w:r w:rsidRPr="00C904FA">
        <w:rPr>
          <w:rFonts w:eastAsia="+mn-ea"/>
          <w:i/>
          <w:color w:val="000000"/>
          <w:kern w:val="1"/>
          <w:lang w:val="es-ES_tradnl" w:eastAsia="ar-SA"/>
        </w:rPr>
        <w:t xml:space="preserve">Universidad de Puerto Rico </w:t>
      </w:r>
    </w:p>
    <w:p w:rsidR="005A5E7D" w:rsidRPr="00C904FA" w:rsidRDefault="005A5E7D" w:rsidP="005A5E7D">
      <w:pPr>
        <w:suppressAutoHyphens/>
        <w:spacing w:line="240" w:lineRule="auto"/>
        <w:ind w:left="706" w:firstLine="706"/>
        <w:jc w:val="right"/>
        <w:rPr>
          <w:rFonts w:eastAsia="+mn-ea"/>
          <w:i/>
          <w:color w:val="000000"/>
          <w:kern w:val="1"/>
          <w:szCs w:val="24"/>
          <w:lang w:val="es-ES_tradnl" w:eastAsia="ar-SA"/>
        </w:rPr>
      </w:pPr>
      <w:r w:rsidRPr="00C904FA">
        <w:rPr>
          <w:rFonts w:eastAsia="+mn-ea"/>
          <w:i/>
          <w:color w:val="000000"/>
          <w:kern w:val="1"/>
          <w:lang w:val="es-ES_tradnl" w:eastAsia="ar-SA"/>
        </w:rPr>
        <w:t>Recinto de Río Piedras</w:t>
      </w:r>
    </w:p>
    <w:p w:rsidR="005A5E7D" w:rsidRPr="00C904FA" w:rsidRDefault="005A5E7D" w:rsidP="005A5E7D">
      <w:pPr>
        <w:widowControl w:val="0"/>
        <w:autoSpaceDE w:val="0"/>
        <w:autoSpaceDN w:val="0"/>
        <w:spacing w:line="240" w:lineRule="auto"/>
        <w:ind w:left="360"/>
        <w:jc w:val="right"/>
        <w:rPr>
          <w:rFonts w:eastAsia="Times New Roman"/>
          <w:i/>
          <w:szCs w:val="24"/>
          <w:lang w:val="es-ES_tradnl"/>
        </w:rPr>
      </w:pPr>
    </w:p>
    <w:p w:rsidR="00B015EE" w:rsidRPr="00C904FA" w:rsidRDefault="00B015EE" w:rsidP="00CB3560">
      <w:pPr>
        <w:pStyle w:val="Heading2"/>
        <w:numPr>
          <w:ilvl w:val="0"/>
          <w:numId w:val="24"/>
        </w:numPr>
        <w:jc w:val="both"/>
        <w:rPr>
          <w:lang w:val="es-ES_tradnl"/>
        </w:rPr>
      </w:pPr>
      <w:bookmarkStart w:id="12" w:name="_Toc384769714"/>
      <w:r w:rsidRPr="00C904FA">
        <w:rPr>
          <w:lang w:val="es-ES_tradnl"/>
        </w:rPr>
        <w:t>Introducción</w:t>
      </w:r>
      <w:bookmarkEnd w:id="12"/>
    </w:p>
    <w:p w:rsidR="00B015EE" w:rsidRPr="00C904FA" w:rsidRDefault="00B015EE" w:rsidP="00B015EE">
      <w:pPr>
        <w:rPr>
          <w:lang w:val="es-ES_tradnl"/>
        </w:rPr>
      </w:pPr>
    </w:p>
    <w:p w:rsidR="00B015EE" w:rsidRPr="00C904FA" w:rsidRDefault="00B015EE" w:rsidP="00B015EE">
      <w:pPr>
        <w:rPr>
          <w:lang w:val="es-ES_tradnl"/>
        </w:rPr>
      </w:pPr>
      <w:r w:rsidRPr="00C904FA">
        <w:rPr>
          <w:lang w:val="es-ES_tradnl"/>
        </w:rPr>
        <w:t>En este ensayo exploro algunos de los factores principales que explican las acciones y, quizás más importante aún, las múltiples inacciones o posposiciones del Congreso de Estados Unidos en torno al tema del futuro de las relaciones políticas entre Puerto Rico y dicho país. Además, señalo los principales debates contemporáneos públicos y académicos sobre el tema al interior de Estados Unidos y algunas posibles áreas de oportunidad para gestionar alteraciones al marco jurídico-político presente.</w:t>
      </w:r>
      <w:r w:rsidRPr="00C904FA">
        <w:rPr>
          <w:vertAlign w:val="superscript"/>
          <w:lang w:val="es-ES_tradnl"/>
        </w:rPr>
        <w:footnoteReference w:id="5"/>
      </w:r>
      <w:r w:rsidRPr="00C904FA">
        <w:rPr>
          <w:lang w:val="es-ES_tradnl"/>
        </w:rPr>
        <w:t xml:space="preserve"> Esta nueva conversación de bajo nivel sobre el futuro de Puerto Rico ocurre en medio de una aguda crisis fiscal en la Isla</w:t>
      </w:r>
      <w:r>
        <w:rPr>
          <w:lang w:val="es-ES_tradnl"/>
        </w:rPr>
        <w:t>,</w:t>
      </w:r>
      <w:r w:rsidRPr="00C904FA">
        <w:rPr>
          <w:lang w:val="es-ES_tradnl"/>
        </w:rPr>
        <w:t xml:space="preserve"> que está generando atención amplia dentro y fuera de Estados Unidos. Esa crisis fiscal llevó a la agencia Standard and Poor’s a rebajar el crédito de Puerto Rico como uno de alto riesgo, y ello ha sido objeto de atención en Estados Unidos y en la prensa internacional (Hitchco</w:t>
      </w:r>
      <w:r>
        <w:rPr>
          <w:lang w:val="es-ES_tradnl"/>
        </w:rPr>
        <w:t>c</w:t>
      </w:r>
      <w:r w:rsidRPr="00C904FA">
        <w:rPr>
          <w:lang w:val="es-ES_tradnl"/>
        </w:rPr>
        <w:t>k, 2014, Pozzi, 2014; Yoon, 2014).</w:t>
      </w:r>
    </w:p>
    <w:p w:rsidR="00B015EE" w:rsidRPr="00C904FA" w:rsidRDefault="00B015EE" w:rsidP="00B015EE">
      <w:pPr>
        <w:rPr>
          <w:lang w:val="es-ES_tradnl"/>
        </w:rPr>
      </w:pPr>
      <w:r w:rsidRPr="00C904FA">
        <w:rPr>
          <w:lang w:val="es-ES_tradnl"/>
        </w:rPr>
        <w:t>Argumento que este contexto de crisis no necesariamente contribuye a la consideración de escenarios alternos para Puerto Rico en el legislativo estadounidense, especialmente si implican un aumento sustancial de erogación fondos federales. Existen, sin embargo, algunos investigadores que insisten en que este es un momento adecuado para propiciar nuevos niveles de autonomía para Puerto Rico en el campo económico, que le den respuesta a la crisis de forma efectiva y adapten el Estado Libre Asociado (ELA) al contexto global.</w:t>
      </w:r>
      <w:r w:rsidRPr="00C904FA">
        <w:rPr>
          <w:vertAlign w:val="superscript"/>
          <w:lang w:val="es-ES_tradnl"/>
        </w:rPr>
        <w:footnoteReference w:id="6"/>
      </w:r>
      <w:r w:rsidRPr="00C904FA">
        <w:rPr>
          <w:lang w:val="es-ES_tradnl"/>
        </w:rPr>
        <w:t xml:space="preserve"> Ello es especialmente cierto, se argumenta, después de votaciones recientes en Puerto Rico que muestran insatisfacción con el statu quo. </w:t>
      </w:r>
    </w:p>
    <w:p w:rsidR="00B015EE" w:rsidRPr="00C904FA" w:rsidRDefault="00B015EE" w:rsidP="00B015EE">
      <w:pPr>
        <w:rPr>
          <w:lang w:val="es-ES_tradnl"/>
        </w:rPr>
      </w:pPr>
      <w:r w:rsidRPr="00C904FA">
        <w:rPr>
          <w:lang w:val="es-ES_tradnl"/>
        </w:rPr>
        <w:t>Lo que impera en Washington, sin embargo, es el desinterés y la ausencia de una política nacional común sobre el futuro de Puerto Rico. El Gobierno de Puerto Rico, por otro lado, tampoco ha articulado hasta el presente cuál es el aumento de poder autonómico que está reclamando, ni está ut</w:t>
      </w:r>
      <w:r>
        <w:rPr>
          <w:lang w:val="es-ES_tradnl"/>
        </w:rPr>
        <w:t>i</w:t>
      </w:r>
      <w:r w:rsidRPr="00C904FA">
        <w:rPr>
          <w:lang w:val="es-ES_tradnl"/>
        </w:rPr>
        <w:t>lizando hasta el máximo los poderes que el ELA le provee para ampliar su marco de acción autonómico (Helfeld, 2011).</w:t>
      </w:r>
    </w:p>
    <w:p w:rsidR="00B015EE" w:rsidRPr="00C904FA" w:rsidRDefault="00B015EE" w:rsidP="00B015EE">
      <w:pPr>
        <w:rPr>
          <w:lang w:val="es-ES_tradnl"/>
        </w:rPr>
      </w:pPr>
      <w:r>
        <w:rPr>
          <w:lang w:val="es-ES_tradnl"/>
        </w:rPr>
        <w:t xml:space="preserve">Debido </w:t>
      </w:r>
      <w:r w:rsidRPr="00C904FA">
        <w:rPr>
          <w:lang w:val="es-ES_tradnl"/>
        </w:rPr>
        <w:t>a la coyuntura política específica en que se encuentra Puerto Rico, considero algunos de los pormenores de la legislación presentada dirigida admitir la Isla como un estado de Estados Unidos. Esta es la única petición de alteración sustantiva a las relaciones polí</w:t>
      </w:r>
      <w:r>
        <w:rPr>
          <w:lang w:val="es-ES_tradnl"/>
        </w:rPr>
        <w:t xml:space="preserve">ticas presentes (HR 2000, 2013) </w:t>
      </w:r>
      <w:r w:rsidRPr="00C904FA">
        <w:rPr>
          <w:lang w:val="es-ES_tradnl"/>
        </w:rPr>
        <w:t>que ha sido colocada en la mesa de trabajo del legislativo estadounidense, aunque las probabilidades de aprobación son mínimas luego de que el Congreso adoptara la iniciativa, eminentemente procesal, del presidente Barack Obama dirigida a facilitar la celebración un nuevo posible plebiscito de estatus bajo la responsabilidad del Gobierno de Puerto Rico (</w:t>
      </w:r>
      <w:r w:rsidRPr="00C904FA">
        <w:rPr>
          <w:i/>
          <w:lang w:val="es-ES_tradnl"/>
        </w:rPr>
        <w:t>Caribbean Business</w:t>
      </w:r>
      <w:r w:rsidRPr="00C904FA">
        <w:rPr>
          <w:lang w:val="es-ES_tradnl"/>
        </w:rPr>
        <w:t>, 2014).</w:t>
      </w:r>
    </w:p>
    <w:p w:rsidR="00B015EE" w:rsidRPr="00C904FA" w:rsidRDefault="00B015EE" w:rsidP="00B015EE">
      <w:pPr>
        <w:rPr>
          <w:lang w:val="es-ES_tradnl"/>
        </w:rPr>
      </w:pPr>
      <w:r w:rsidRPr="00C904FA">
        <w:rPr>
          <w:lang w:val="es-ES_tradnl"/>
        </w:rPr>
        <w:t xml:space="preserve">Es preciso aclarar, sin embargo, que ese examen sobre la estadidad se lleva a cabo en momentos en no existe ningún tipo de consenso académico sustancial, ni entre los </w:t>
      </w:r>
      <w:r>
        <w:rPr>
          <w:lang w:val="es-ES_tradnl"/>
        </w:rPr>
        <w:t>centros de estudio (</w:t>
      </w:r>
      <w:r w:rsidRPr="00633B3F">
        <w:rPr>
          <w:i/>
          <w:lang w:val="es-ES_tradnl"/>
        </w:rPr>
        <w:t>think tanks</w:t>
      </w:r>
      <w:r>
        <w:rPr>
          <w:lang w:val="es-ES_tradnl"/>
        </w:rPr>
        <w:t>)</w:t>
      </w:r>
      <w:r w:rsidRPr="00C904FA">
        <w:rPr>
          <w:lang w:val="es-ES_tradnl"/>
        </w:rPr>
        <w:t xml:space="preserve"> en Estados Unidos, sobre si Puerto Rico debe ser admitido o no como estado. En este siglo se han publicado varios libros y artículos sobre el tema del llamado estatus y el debate continúa. Aunque autores como Duffy Burnett (2007), Pastor (2009) y Thornburgh (2007) apoyan la estadidad, por distintos motivos y con distintos niveles de intensidad, ello es muy debatido por otras corrientes. Alexander Odishelidze y Arthur Laffer (2004) también favorecen un cambio hacia la estadidad o la independencia, sin que ello haya movido a los hacedores de política pública a actuar de forma decisiva.</w:t>
      </w:r>
    </w:p>
    <w:p w:rsidR="00B015EE" w:rsidRPr="00C904FA" w:rsidRDefault="00B015EE" w:rsidP="00B015EE">
      <w:pPr>
        <w:rPr>
          <w:lang w:val="es-ES_tradnl"/>
        </w:rPr>
      </w:pPr>
      <w:r w:rsidRPr="0095547C">
        <w:rPr>
          <w:lang w:val="en-US"/>
        </w:rPr>
        <w:t xml:space="preserve">Se han esbozado argumentos, por otro lado, fuertemente en contra de una mayor presencia hispana en Estados Unidos (Hungtinton, 2002); mientras que </w:t>
      </w:r>
      <w:r w:rsidRPr="005B5FEE">
        <w:rPr>
          <w:rFonts w:eastAsia="Times New Roman"/>
          <w:szCs w:val="24"/>
          <w:lang w:val="en-US"/>
        </w:rPr>
        <w:t>Rub</w:t>
      </w:r>
      <w:r>
        <w:rPr>
          <w:rFonts w:eastAsia="Times New Roman"/>
          <w:szCs w:val="24"/>
          <w:lang w:val="en-US"/>
        </w:rPr>
        <w:t>i</w:t>
      </w:r>
      <w:r w:rsidRPr="005B5FEE">
        <w:rPr>
          <w:rFonts w:eastAsia="Times New Roman"/>
          <w:szCs w:val="24"/>
          <w:lang w:val="en-US"/>
        </w:rPr>
        <w:t>nstein</w:t>
      </w:r>
      <w:r w:rsidRPr="0095547C">
        <w:rPr>
          <w:lang w:val="en-US"/>
        </w:rPr>
        <w:t xml:space="preserve"> (2001), por ejemplo, es claro y terminante al exponer: “</w:t>
      </w:r>
      <w:r w:rsidRPr="000433ED">
        <w:rPr>
          <w:lang w:val="en-US"/>
        </w:rPr>
        <w:t>The danger is clear: the admission of Puerto Rico as a state would make Spanish coequal with English as the language of the United States and give rise to political tensions that could threaten the stability of the federal union</w:t>
      </w:r>
      <w:r w:rsidRPr="0095547C">
        <w:rPr>
          <w:lang w:val="en-US"/>
        </w:rPr>
        <w:t xml:space="preserve">”. </w:t>
      </w:r>
      <w:r w:rsidRPr="00C904FA">
        <w:rPr>
          <w:lang w:val="es-ES_tradnl"/>
        </w:rPr>
        <w:t xml:space="preserve">Otros </w:t>
      </w:r>
      <w:r>
        <w:rPr>
          <w:lang w:val="es-ES_tradnl"/>
        </w:rPr>
        <w:t xml:space="preserve">intelectuales de Estados Unidos </w:t>
      </w:r>
      <w:r w:rsidRPr="00C904FA">
        <w:rPr>
          <w:lang w:val="es-ES_tradnl"/>
        </w:rPr>
        <w:t>anticipan la continuación del statu quo (Re</w:t>
      </w:r>
      <w:r>
        <w:rPr>
          <w:lang w:val="es-ES_tradnl"/>
        </w:rPr>
        <w:t>z</w:t>
      </w:r>
      <w:r w:rsidRPr="00C904FA">
        <w:rPr>
          <w:lang w:val="es-ES_tradnl"/>
        </w:rPr>
        <w:t>vani, 20</w:t>
      </w:r>
      <w:r>
        <w:rPr>
          <w:lang w:val="es-ES_tradnl"/>
        </w:rPr>
        <w:t xml:space="preserve">07) o </w:t>
      </w:r>
      <w:r w:rsidRPr="00C904FA">
        <w:rPr>
          <w:lang w:val="es-ES_tradnl"/>
        </w:rPr>
        <w:t>favorecen la exploración</w:t>
      </w:r>
      <w:r>
        <w:rPr>
          <w:lang w:val="es-ES_tradnl"/>
        </w:rPr>
        <w:t xml:space="preserve"> </w:t>
      </w:r>
      <w:r w:rsidRPr="00C904FA">
        <w:rPr>
          <w:lang w:val="es-ES_tradnl"/>
        </w:rPr>
        <w:t>de alteraciones al ELA (Aleinikoff, 2002).</w:t>
      </w:r>
    </w:p>
    <w:p w:rsidR="00B015EE" w:rsidRPr="00C904FA" w:rsidRDefault="00B015EE" w:rsidP="00B015EE">
      <w:pPr>
        <w:rPr>
          <w:lang w:val="es-ES_tradnl"/>
        </w:rPr>
      </w:pPr>
      <w:r w:rsidRPr="00C904FA">
        <w:rPr>
          <w:lang w:val="es-ES_tradnl"/>
        </w:rPr>
        <w:t>Incluso hay autores que favorecen la transición hacia la independencia (Ingram, 2001). Desde una perspectiva independentista crítica, Ayala y Bernabe (2007) apoyan un proceso amplio y participativo de autodeterminación. Duany (2003), por su parte, explica el auge del naciona</w:t>
      </w:r>
      <w:r>
        <w:rPr>
          <w:lang w:val="es-ES_tradnl"/>
        </w:rPr>
        <w:t xml:space="preserve">lismo cultural en la Isla y en </w:t>
      </w:r>
      <w:r w:rsidRPr="00C904FA">
        <w:rPr>
          <w:lang w:val="es-ES_tradnl"/>
        </w:rPr>
        <w:t>Estados Unidos movido en parte por patrones de intensa migración y cómo ello, paradójicamente, reduce las posibilidades de la independencia. Collado-Sc</w:t>
      </w:r>
      <w:r>
        <w:rPr>
          <w:lang w:val="es-ES_tradnl"/>
        </w:rPr>
        <w:t>h</w:t>
      </w:r>
      <w:r w:rsidRPr="00C904FA">
        <w:rPr>
          <w:lang w:val="es-ES_tradnl"/>
        </w:rPr>
        <w:t>warz (2012) argumenta fuertemente a favor de otorgarle la soberanía a Puerto Rico en</w:t>
      </w:r>
      <w:r>
        <w:rPr>
          <w:lang w:val="es-ES_tradnl"/>
        </w:rPr>
        <w:t xml:space="preserve"> un marco de interdependencia. </w:t>
      </w:r>
      <w:r w:rsidRPr="00C904FA">
        <w:rPr>
          <w:lang w:val="es-ES_tradnl"/>
        </w:rPr>
        <w:t>Describo este incipiente debate en otro lugar (Colón Morera, 2010), pero basta aquí destacar que no existe nada parecido en Estados Unidos a un consenso intelectual en torno al asunto.</w:t>
      </w:r>
    </w:p>
    <w:p w:rsidR="00B015EE" w:rsidRDefault="00B015EE" w:rsidP="00B015EE">
      <w:r>
        <w:t xml:space="preserve">En general, sin embargo, </w:t>
      </w:r>
      <w:r w:rsidRPr="000F11E7">
        <w:t xml:space="preserve">se percibe </w:t>
      </w:r>
      <w:r>
        <w:t>una inclinación</w:t>
      </w:r>
      <w:r w:rsidRPr="000F11E7">
        <w:t xml:space="preserve"> en el ámbito  aca</w:t>
      </w:r>
      <w:r>
        <w:t xml:space="preserve">démico de Estados Unidos a favor de la proposición de que la </w:t>
      </w:r>
      <w:r w:rsidRPr="000F11E7">
        <w:t>población del territorio en cuestión tiene que ser profundamente leal a una identidad política y cultural común</w:t>
      </w:r>
      <w:r>
        <w:t>,</w:t>
      </w:r>
      <w:r w:rsidRPr="000F11E7">
        <w:t xml:space="preserve"> si interesa </w:t>
      </w:r>
      <w:r>
        <w:t>ser parte de la unión federal.</w:t>
      </w:r>
      <w:r>
        <w:rPr>
          <w:rStyle w:val="FootnoteReference"/>
          <w:lang w:val="en-US"/>
        </w:rPr>
        <w:footnoteReference w:id="7"/>
      </w:r>
      <w:r w:rsidRPr="00323EE5" w:rsidDel="003B71B7">
        <w:t xml:space="preserve"> </w:t>
      </w:r>
      <w:r>
        <w:t>A</w:t>
      </w:r>
      <w:r w:rsidRPr="000F11E7">
        <w:t>unque los defensores de la estadidad apuntan</w:t>
      </w:r>
      <w:r>
        <w:t xml:space="preserve">, entre otros, </w:t>
      </w:r>
      <w:r w:rsidRPr="000F11E7">
        <w:t>hacia la participación de los puertorriqueños en los conflictos armados de Estados Unidos como una muestra de lealtad, (Gelpí, 2011, 24)</w:t>
      </w:r>
      <w:r>
        <w:t>, también es cierto que ha</w:t>
      </w:r>
      <w:r w:rsidRPr="000F11E7">
        <w:t xml:space="preserve"> habido fuertes enfrentamientos armados entre favorecedores de la independencia en actos de alto valor simbólico (Fernández, 1992). En el pasado reciente han ocurrido fuertes confrontaciones entre partidarios de la estadidad y la independencia</w:t>
      </w:r>
      <w:r>
        <w:t>,</w:t>
      </w:r>
      <w:r w:rsidRPr="000F11E7">
        <w:t xml:space="preserve"> motivados por  una llamada “guerra de banderas”  (Carrión, 2006)</w:t>
      </w:r>
      <w:r>
        <w:t>.</w:t>
      </w:r>
    </w:p>
    <w:p w:rsidR="00B015EE" w:rsidRPr="00C904FA" w:rsidRDefault="00B015EE" w:rsidP="00B015EE">
      <w:pPr>
        <w:rPr>
          <w:lang w:val="es-ES_tradnl"/>
        </w:rPr>
      </w:pPr>
      <w:r w:rsidRPr="00C904FA">
        <w:rPr>
          <w:lang w:val="es-ES_tradnl"/>
        </w:rPr>
        <w:t xml:space="preserve">En ese contexto, </w:t>
      </w:r>
      <w:r>
        <w:t>de ausencia de un contexto sustantivo sobre el problema</w:t>
      </w:r>
      <w:r>
        <w:rPr>
          <w:lang w:val="es-ES_tradnl"/>
        </w:rPr>
        <w:t xml:space="preserve">, </w:t>
      </w:r>
      <w:r w:rsidRPr="00C904FA">
        <w:rPr>
          <w:lang w:val="es-ES_tradnl"/>
        </w:rPr>
        <w:t xml:space="preserve">se explica mejor la política de posposición de </w:t>
      </w:r>
      <w:r>
        <w:rPr>
          <w:lang w:val="es-ES_tradnl"/>
        </w:rPr>
        <w:t xml:space="preserve">la </w:t>
      </w:r>
      <w:r w:rsidRPr="00C904FA">
        <w:rPr>
          <w:lang w:val="es-ES_tradnl"/>
        </w:rPr>
        <w:t>Casa Blanca de llevar a cabo un nuevo plebiscito en la Isla. Esta</w:t>
      </w:r>
      <w:r>
        <w:rPr>
          <w:lang w:val="es-ES_tradnl"/>
        </w:rPr>
        <w:t xml:space="preserve"> </w:t>
      </w:r>
      <w:r w:rsidRPr="00C904FA">
        <w:rPr>
          <w:lang w:val="es-ES_tradnl"/>
        </w:rPr>
        <w:t>iniciativa del presidente Obama fue aprobada por el Congreso de Estados Unidos y regiría de forma general la celebración de una consulta de estatus en una fecha futura, a ser determinada por la Asamblea Legislativa de Puerto Rico. Los términos específicos de esta potencial consulta electoral quedan en manos del Gobierno de Puerto Rico, pero la erogación de fondos para celebrarla se hará luego de que el secretario de Justicia de Estados Unidos dé el visto bueno constitucional a las definiciones de estatus a presentarse al electorado.</w:t>
      </w:r>
      <w:r>
        <w:rPr>
          <w:lang w:val="es-ES_tradnl"/>
        </w:rPr>
        <w:t xml:space="preserve"> </w:t>
      </w:r>
    </w:p>
    <w:p w:rsidR="00B015EE" w:rsidRPr="00C904FA" w:rsidRDefault="00B015EE" w:rsidP="00B015EE">
      <w:pPr>
        <w:rPr>
          <w:lang w:val="es-ES_tradnl"/>
        </w:rPr>
      </w:pPr>
      <w:r w:rsidRPr="00C904FA">
        <w:rPr>
          <w:lang w:val="es-ES_tradnl"/>
        </w:rPr>
        <w:t>El hecho de que el Congreso haya optado por favorecer la celebración de otra votación</w:t>
      </w:r>
      <w:r>
        <w:rPr>
          <w:lang w:val="es-ES_tradnl"/>
        </w:rPr>
        <w:t>,</w:t>
      </w:r>
      <w:r w:rsidRPr="00C904FA">
        <w:rPr>
          <w:lang w:val="es-ES_tradnl"/>
        </w:rPr>
        <w:t xml:space="preserve"> bajo los términos sugeridos por el presidente Obama, prácticamente anula la posibilidad de que el legislativo de Estados Unidos apruebe el HR 2000. Una vez más, el Congreso decide aplazar para una fecha futura la consideración sustantiva de las opciones de estatus, asunto que no ha sido tratado de forma detallada por el Senado y la Cámara de Estados Unidos desde 1991, hace ya más de veinte años. Ello es consistente con la ausencia de un consenso sustantivo sobre el futuro de Puerto Rico.</w:t>
      </w:r>
    </w:p>
    <w:p w:rsidR="00B015EE" w:rsidRDefault="00B015EE" w:rsidP="00B015EE">
      <w:pPr>
        <w:rPr>
          <w:lang w:val="es-ES_tradnl"/>
        </w:rPr>
      </w:pPr>
      <w:r w:rsidRPr="00C904FA">
        <w:rPr>
          <w:lang w:val="es-ES_tradnl"/>
        </w:rPr>
        <w:t>Aun tomando en cuenta la inminencia de una consulta electoral de estatus en Puerto Rico, organizada por el Gobierno</w:t>
      </w:r>
      <w:r>
        <w:rPr>
          <w:lang w:val="es-ES_tradnl"/>
        </w:rPr>
        <w:t xml:space="preserve"> de la Isla</w:t>
      </w:r>
      <w:r w:rsidRPr="00C904FA">
        <w:rPr>
          <w:lang w:val="es-ES_tradnl"/>
        </w:rPr>
        <w:t xml:space="preserve"> bajo supervisión fe</w:t>
      </w:r>
      <w:r>
        <w:rPr>
          <w:lang w:val="es-ES_tradnl"/>
        </w:rPr>
        <w:t xml:space="preserve">deral, argumento que </w:t>
      </w:r>
      <w:r w:rsidRPr="00C904FA">
        <w:rPr>
          <w:lang w:val="es-ES_tradnl"/>
        </w:rPr>
        <w:t>no es fácil de anticipar a corto o mediano plazo</w:t>
      </w:r>
      <w:r>
        <w:rPr>
          <w:lang w:val="es-ES_tradnl"/>
        </w:rPr>
        <w:t xml:space="preserve"> un alineamiento</w:t>
      </w:r>
      <w:r w:rsidRPr="00C904FA">
        <w:rPr>
          <w:lang w:val="es-ES_tradnl"/>
        </w:rPr>
        <w:t xml:space="preserve"> de factores diversos que produzca alteraciones significativas o una solución de largo plazo al tema de las relaciones políticas futuras entre Puerto Rico y Estados Unidos. Además de no existir consenso académico sobre el tema,</w:t>
      </w:r>
      <w:r>
        <w:rPr>
          <w:lang w:val="es-ES_tradnl"/>
        </w:rPr>
        <w:t xml:space="preserve"> </w:t>
      </w:r>
      <w:r w:rsidRPr="00C904FA">
        <w:rPr>
          <w:lang w:val="es-ES_tradnl"/>
        </w:rPr>
        <w:t>mucho menos existe consenso político en torno al mismo.</w:t>
      </w:r>
    </w:p>
    <w:p w:rsidR="00B015EE" w:rsidRPr="00C904FA" w:rsidRDefault="00B015EE" w:rsidP="00B015EE">
      <w:pPr>
        <w:rPr>
          <w:lang w:val="es-ES_tradnl"/>
        </w:rPr>
      </w:pPr>
      <w:r>
        <w:t>Por otro lado, existen poderosos grupos de interés que ejercen una influencia sobre el Congreso en dirección de que no se altere el statu quo de Puerto Rico. Me refiero especialmente a sectores vinculados a un nivel alto de inversión manufacturera que opera en Puerto Rico como si fuera un territorio extranjero para fines contributivos, disfrutando de beneficios sustanciales que son incompatibles con la estructura contributiva federal. Para este sector, un cambio de estatus en dirección a la estadidad podría hacerlos reconsiderar continuar su operación en Puerto Rico. Altos ejecutivos de la industria farmacéutica, por ejemplo, han admitido que la imposición de nuevos impuestos corporativos bajo el escenario de la estadidad obligaría a algunas de esas compañías a reconsiderar su nivel de inversión en la Isla.</w:t>
      </w:r>
      <w:r>
        <w:rPr>
          <w:rStyle w:val="FootnoteReference"/>
        </w:rPr>
        <w:footnoteReference w:id="8"/>
      </w:r>
    </w:p>
    <w:p w:rsidR="00B015EE" w:rsidRDefault="00B015EE" w:rsidP="00B015EE">
      <w:pPr>
        <w:rPr>
          <w:lang w:val="es-ES_tradnl"/>
        </w:rPr>
      </w:pPr>
      <w:r w:rsidRPr="00C904FA">
        <w:rPr>
          <w:lang w:val="es-ES_tradnl"/>
        </w:rPr>
        <w:t>Un nuevo plebiscito de estatus debería volver a reflejar</w:t>
      </w:r>
      <w:r>
        <w:t>,</w:t>
      </w:r>
      <w:r w:rsidRPr="00C904FA">
        <w:t xml:space="preserve"> </w:t>
      </w:r>
      <w:r w:rsidRPr="00F66969">
        <w:t>en el corto o mediano plazo</w:t>
      </w:r>
      <w:r>
        <w:t>,</w:t>
      </w:r>
      <w:r w:rsidRPr="00C904FA">
        <w:rPr>
          <w:lang w:val="es-ES_tradnl"/>
        </w:rPr>
        <w:t xml:space="preserve"> una profunda división de los residentes de Puerto Rico sobre este tema. Está por verse si la clase política posee la voluntad política de ponerse de acuerdo sobre mecanismos, al menos de naturaleza procesal, que permitan articular demandas de cambio</w:t>
      </w:r>
      <w:r>
        <w:rPr>
          <w:lang w:val="es-ES_tradnl"/>
        </w:rPr>
        <w:t xml:space="preserve"> que incidan de forma efectiva </w:t>
      </w:r>
      <w:r w:rsidRPr="00C904FA">
        <w:rPr>
          <w:lang w:val="es-ES_tradnl"/>
        </w:rPr>
        <w:t>a corto plazo. La convocatoria de una asamblea de estatus podría proveer esa oportunidad. A ese asunto regres</w:t>
      </w:r>
      <w:r>
        <w:rPr>
          <w:lang w:val="es-ES_tradnl"/>
        </w:rPr>
        <w:t>o</w:t>
      </w:r>
      <w:r w:rsidRPr="00C904FA">
        <w:rPr>
          <w:lang w:val="es-ES_tradnl"/>
        </w:rPr>
        <w:t xml:space="preserve"> más adelante.</w:t>
      </w:r>
    </w:p>
    <w:p w:rsidR="00B015EE" w:rsidRPr="00C904FA" w:rsidRDefault="00B015EE" w:rsidP="00B015EE">
      <w:pPr>
        <w:spacing w:line="240" w:lineRule="auto"/>
        <w:rPr>
          <w:lang w:val="es-ES_tradnl"/>
        </w:rPr>
      </w:pPr>
    </w:p>
    <w:p w:rsidR="00B015EE" w:rsidRPr="007538AA" w:rsidRDefault="00B015EE" w:rsidP="00CB3560">
      <w:pPr>
        <w:pStyle w:val="Heading2"/>
        <w:numPr>
          <w:ilvl w:val="0"/>
          <w:numId w:val="41"/>
        </w:numPr>
        <w:ind w:left="90" w:firstLine="0"/>
        <w:rPr>
          <w:lang w:val="es-ES_tradnl"/>
        </w:rPr>
      </w:pPr>
      <w:bookmarkStart w:id="13" w:name="_Toc384769715"/>
      <w:r w:rsidRPr="007538AA">
        <w:rPr>
          <w:lang w:val="es-ES_tradnl"/>
        </w:rPr>
        <w:t>Definición del problema</w:t>
      </w:r>
      <w:bookmarkEnd w:id="13"/>
    </w:p>
    <w:p w:rsidR="00B015EE" w:rsidRPr="00C904FA" w:rsidRDefault="00B015EE" w:rsidP="00B015EE">
      <w:pPr>
        <w:spacing w:line="360" w:lineRule="auto"/>
        <w:rPr>
          <w:lang w:val="es-ES_tradnl"/>
        </w:rPr>
      </w:pPr>
    </w:p>
    <w:p w:rsidR="00B015EE" w:rsidRPr="00C904FA" w:rsidRDefault="00B015EE" w:rsidP="00B015EE">
      <w:pPr>
        <w:rPr>
          <w:lang w:val="es-ES_tradnl"/>
        </w:rPr>
      </w:pPr>
      <w:r w:rsidRPr="00C904FA">
        <w:rPr>
          <w:lang w:val="es-ES_tradnl"/>
        </w:rPr>
        <w:t xml:space="preserve">Lo primero a considerar es la visión del legislativo estadounidense sobre el problema bajo </w:t>
      </w:r>
      <w:r>
        <w:rPr>
          <w:lang w:val="es-ES_tradnl"/>
        </w:rPr>
        <w:t xml:space="preserve">análisis. </w:t>
      </w:r>
      <w:r w:rsidRPr="00C904FA">
        <w:rPr>
          <w:lang w:val="es-ES_tradnl"/>
        </w:rPr>
        <w:t xml:space="preserve">¿Cómo lo define el Congreso de Estados Unidos? Uno de </w:t>
      </w:r>
      <w:r>
        <w:rPr>
          <w:lang w:val="es-ES_tradnl"/>
        </w:rPr>
        <w:t>su</w:t>
      </w:r>
      <w:r w:rsidRPr="00C904FA">
        <w:rPr>
          <w:lang w:val="es-ES_tradnl"/>
        </w:rPr>
        <w:t xml:space="preserve">s principales organismos investigativos, el </w:t>
      </w:r>
      <w:r w:rsidRPr="00C904FA">
        <w:rPr>
          <w:i/>
          <w:lang w:val="es-ES_tradnl"/>
        </w:rPr>
        <w:t>Congresional Research Service</w:t>
      </w:r>
      <w:r w:rsidRPr="00C904FA">
        <w:rPr>
          <w:lang w:val="es-ES_tradnl"/>
        </w:rPr>
        <w:t>, lo ha descrito recientemente:</w:t>
      </w:r>
    </w:p>
    <w:p w:rsidR="00B015EE" w:rsidRPr="001C66AC" w:rsidRDefault="00B015EE" w:rsidP="00B015EE">
      <w:pPr>
        <w:widowControl w:val="0"/>
        <w:autoSpaceDE w:val="0"/>
        <w:autoSpaceDN w:val="0"/>
        <w:spacing w:line="240" w:lineRule="auto"/>
        <w:ind w:left="357" w:firstLine="357"/>
        <w:rPr>
          <w:rFonts w:eastAsia="Times New Roman"/>
          <w:szCs w:val="24"/>
        </w:rPr>
      </w:pPr>
    </w:p>
    <w:p w:rsidR="00B015EE" w:rsidRPr="0095547C" w:rsidRDefault="00B015EE" w:rsidP="00B015EE">
      <w:pPr>
        <w:widowControl w:val="0"/>
        <w:autoSpaceDE w:val="0"/>
        <w:autoSpaceDN w:val="0"/>
        <w:spacing w:line="240" w:lineRule="auto"/>
        <w:ind w:left="720" w:firstLine="0"/>
        <w:rPr>
          <w:rFonts w:eastAsia="Times New Roman"/>
          <w:szCs w:val="24"/>
        </w:rPr>
      </w:pPr>
      <w:r w:rsidRPr="00C904FA">
        <w:rPr>
          <w:rFonts w:eastAsia="Times New Roman"/>
          <w:szCs w:val="24"/>
          <w:lang w:val="en-US"/>
        </w:rPr>
        <w:t xml:space="preserve">Elements of the U.S.-Puerto Rico relationship have been and continue to be matters of debate. Some contend that the current political status of Puerto Rico, perhaps with enhancements, remains a viable option. Others argue that commonwealth status is or should be only a temporary fix to be resolved in favor of other solutions considered permanent, non-colonial, and non-territorial. Some contend that if independence is achieved, the close relationship with the United States could be continued through compact negotiations with the federal government. One element apparently shared by all involved is that the people of Puerto Rico seek to attain full, democratic representation, notably through voting rights on national legislation to which they are subject. </w:t>
      </w:r>
      <w:r w:rsidRPr="0095547C">
        <w:rPr>
          <w:rFonts w:eastAsia="Times New Roman"/>
          <w:szCs w:val="24"/>
        </w:rPr>
        <w:t>(</w:t>
      </w:r>
      <w:r>
        <w:rPr>
          <w:rFonts w:eastAsia="Times New Roman"/>
          <w:szCs w:val="24"/>
        </w:rPr>
        <w:t xml:space="preserve">Garret, </w:t>
      </w:r>
      <w:r w:rsidRPr="0095547C">
        <w:rPr>
          <w:rFonts w:eastAsia="Times New Roman"/>
          <w:szCs w:val="24"/>
        </w:rPr>
        <w:t>CRS, 2011)</w:t>
      </w:r>
    </w:p>
    <w:p w:rsidR="00B015EE" w:rsidRPr="00C904FA" w:rsidRDefault="00B015EE" w:rsidP="00B015EE">
      <w:pPr>
        <w:widowControl w:val="0"/>
        <w:autoSpaceDE w:val="0"/>
        <w:autoSpaceDN w:val="0"/>
        <w:spacing w:line="480" w:lineRule="atLeast"/>
        <w:ind w:left="360" w:firstLine="360"/>
        <w:rPr>
          <w:rFonts w:eastAsia="Times New Roman"/>
          <w:szCs w:val="24"/>
          <w:lang w:val="es-ES_tradnl"/>
        </w:rPr>
      </w:pPr>
    </w:p>
    <w:p w:rsidR="00B015EE" w:rsidRPr="00C904FA" w:rsidRDefault="00B015EE" w:rsidP="00B015EE">
      <w:pPr>
        <w:rPr>
          <w:lang w:val="es-ES_tradnl"/>
        </w:rPr>
      </w:pPr>
      <w:r w:rsidRPr="00C904FA">
        <w:rPr>
          <w:lang w:val="es-ES_tradnl"/>
        </w:rPr>
        <w:t>De dicha descripción se puede deducir que las controversias que plantea la discusión del caso de Puerto Rico son múltiples, controvertibles, de largo alcance y que poseen una fuerte carga simbólica. El prestigioso, ya fallecido, senador Patrick Moynihan describió en cierta ocasión el caso de Puerto Rico como uno de muy difícil manejo (</w:t>
      </w:r>
      <w:r w:rsidRPr="00633B3F">
        <w:rPr>
          <w:i/>
          <w:lang w:val="es-ES_tradnl"/>
        </w:rPr>
        <w:t>intractable</w:t>
      </w:r>
      <w:r>
        <w:rPr>
          <w:lang w:val="es-ES_tradnl"/>
        </w:rPr>
        <w:t xml:space="preserve">; </w:t>
      </w:r>
      <w:r w:rsidRPr="00C904FA">
        <w:rPr>
          <w:lang w:val="es-ES_tradnl"/>
        </w:rPr>
        <w:t>Moynihan, 1993). Pocas veces, de un lado, en el Congreso se discute abiertamente que el Gobierno de Estados Unidos pueda estar deliberadamente realizando acciones de tipo colonial en un territorio bajo su control, que se dirija a incorporar a un estado “hispano” o a entrar en conversaciones bilaterales para promover una modalidad de</w:t>
      </w:r>
      <w:r>
        <w:rPr>
          <w:lang w:val="es-ES_tradnl"/>
        </w:rPr>
        <w:t xml:space="preserve"> independencia.</w:t>
      </w:r>
    </w:p>
    <w:p w:rsidR="00B015EE" w:rsidRPr="00C904FA" w:rsidRDefault="00B015EE" w:rsidP="00B015EE">
      <w:pPr>
        <w:rPr>
          <w:lang w:val="es-ES_tradnl"/>
        </w:rPr>
      </w:pPr>
      <w:r w:rsidRPr="00C904FA">
        <w:rPr>
          <w:lang w:val="es-ES_tradnl"/>
        </w:rPr>
        <w:t>Por otro lado, aunque el consenso sobre la necesidad de representación completa a nivel federal</w:t>
      </w:r>
      <w:r>
        <w:rPr>
          <w:lang w:val="es-ES_tradnl"/>
        </w:rPr>
        <w:t xml:space="preserve"> </w:t>
      </w:r>
      <w:r w:rsidRPr="008B456C">
        <w:t>—</w:t>
      </w:r>
      <w:r w:rsidRPr="00C904FA">
        <w:rPr>
          <w:lang w:val="es-ES_tradnl"/>
        </w:rPr>
        <w:t>al que hace refere</w:t>
      </w:r>
      <w:r>
        <w:rPr>
          <w:lang w:val="es-ES_tradnl"/>
        </w:rPr>
        <w:t>ncia el referido informe de 2011</w:t>
      </w:r>
      <w:r w:rsidRPr="008B456C">
        <w:t>—</w:t>
      </w:r>
      <w:r w:rsidRPr="00C904FA">
        <w:rPr>
          <w:lang w:val="es-ES_tradnl"/>
        </w:rPr>
        <w:t xml:space="preserve"> es debatible, es claro que es una corriente de opinión de una parte importante del electorado y es objeto de preocupación bajo la óptica de los derechos humanos (Colón Morera, 2012). Sin embargo, existe un número de congresistas que separan el tema de incorporar más congresistas de Puerto Rico en e</w:t>
      </w:r>
      <w:r>
        <w:rPr>
          <w:lang w:val="es-ES_tradnl"/>
        </w:rPr>
        <w:t>se cuerpo legislativo federal</w:t>
      </w:r>
      <w:r w:rsidRPr="00C904FA">
        <w:rPr>
          <w:lang w:val="es-ES_tradnl"/>
        </w:rPr>
        <w:t>, del tema de la posible admisión de Puerto Rico como estado federado, arguyendo que puede ampliarse dicha representación bajo la condición política actual (</w:t>
      </w:r>
      <w:r>
        <w:rPr>
          <w:lang w:val="es-ES_tradnl"/>
        </w:rPr>
        <w:t xml:space="preserve">Committee of Natural Resorces, </w:t>
      </w:r>
      <w:r w:rsidRPr="00C904FA">
        <w:rPr>
          <w:lang w:val="es-ES_tradnl"/>
        </w:rPr>
        <w:t>HR 2499 Hearings, 2009, 13).</w:t>
      </w:r>
    </w:p>
    <w:p w:rsidR="00B015EE" w:rsidRPr="0095547C" w:rsidRDefault="00B015EE" w:rsidP="00B015EE">
      <w:pPr>
        <w:rPr>
          <w:lang w:val="en-US"/>
        </w:rPr>
      </w:pPr>
      <w:r w:rsidRPr="00C904FA">
        <w:rPr>
          <w:lang w:val="es-ES_tradnl"/>
        </w:rPr>
        <w:t xml:space="preserve">Aunque desde un punto de vista técnico-legal es correcta la presentación del problema esbozado en este reciente informe del Congreso, es preciso enfatizar que la discusión del caso tiene también una dimensión ética que no se puede soslayar. </w:t>
      </w:r>
      <w:r w:rsidRPr="0095547C">
        <w:rPr>
          <w:lang w:val="en-US"/>
        </w:rPr>
        <w:t>Que Estados Unidos se involucre en la resolución del problema es indispensable: “</w:t>
      </w:r>
      <w:r w:rsidRPr="000433ED">
        <w:rPr>
          <w:lang w:val="en-US"/>
        </w:rPr>
        <w:t>in order for the United States to strive for a democratic potential, it must recognize its imperial stains and be a sincere and dedicated companion to reconciliation</w:t>
      </w:r>
      <w:r w:rsidRPr="0095547C">
        <w:rPr>
          <w:lang w:val="en-US"/>
        </w:rPr>
        <w:t xml:space="preserve">” (Burgos, 2013). </w:t>
      </w:r>
    </w:p>
    <w:p w:rsidR="00B015EE" w:rsidRPr="00C904FA" w:rsidRDefault="00B015EE" w:rsidP="00B015EE">
      <w:pPr>
        <w:rPr>
          <w:lang w:val="es-ES_tradnl"/>
        </w:rPr>
      </w:pPr>
      <w:r>
        <w:rPr>
          <w:lang w:val="es-ES_tradnl"/>
        </w:rPr>
        <w:t>H</w:t>
      </w:r>
      <w:r w:rsidRPr="00C904FA">
        <w:rPr>
          <w:lang w:val="es-ES_tradnl"/>
        </w:rPr>
        <w:t>asta el presente</w:t>
      </w:r>
      <w:r>
        <w:rPr>
          <w:lang w:val="es-ES_tradnl"/>
        </w:rPr>
        <w:t>,</w:t>
      </w:r>
      <w:r w:rsidRPr="00C904FA">
        <w:rPr>
          <w:lang w:val="es-ES_tradnl"/>
        </w:rPr>
        <w:t xml:space="preserve"> </w:t>
      </w:r>
      <w:r>
        <w:rPr>
          <w:lang w:val="es-ES_tradnl"/>
        </w:rPr>
        <w:t>h</w:t>
      </w:r>
      <w:r w:rsidRPr="00C904FA">
        <w:rPr>
          <w:lang w:val="es-ES_tradnl"/>
        </w:rPr>
        <w:t xml:space="preserve">a sido muy difícil obtener esa colaboración del Gobierno federal para lidiar constructivamente con las peticiones de reforma planteados desde Puerto Rico. Con el propósito de explicar la renuencia institucional del Congreso a actuar de forma decisiva sobre las propuestas de estatus que se encuentran ante su consideración, me propongo describir brevemente el trasfondo del caso de Puerto Rico en el legislativo estadounidense y la posición del Gobierno federal sobre el asunto. </w:t>
      </w:r>
    </w:p>
    <w:p w:rsidR="00B015EE" w:rsidRPr="00C904FA" w:rsidRDefault="00B015EE" w:rsidP="00B015EE">
      <w:pPr>
        <w:rPr>
          <w:lang w:val="es-ES_tradnl"/>
        </w:rPr>
      </w:pPr>
      <w:r w:rsidRPr="00C904FA">
        <w:rPr>
          <w:lang w:val="es-ES_tradnl"/>
        </w:rPr>
        <w:t>Analizaré también el difícil contexto por el que atraviesa Puerto Rico en lo relativo a la percepción generalizada en Estados Unidos y a nivel internacional sobre una inminente crisis financiera que puede tener efectos económicos y sociales de mediano y largo plazo. Todo ello debe servir para intentar proyectar los escenarios más probables a base de los datos e información analizada.</w:t>
      </w:r>
    </w:p>
    <w:p w:rsidR="00B015EE" w:rsidRPr="00C904FA" w:rsidRDefault="00B015EE" w:rsidP="00B015EE">
      <w:pPr>
        <w:widowControl w:val="0"/>
        <w:autoSpaceDE w:val="0"/>
        <w:autoSpaceDN w:val="0"/>
        <w:spacing w:line="240" w:lineRule="auto"/>
        <w:ind w:left="360" w:firstLine="360"/>
        <w:rPr>
          <w:rFonts w:eastAsia="Times New Roman"/>
          <w:szCs w:val="24"/>
          <w:lang w:val="es-ES_tradnl"/>
        </w:rPr>
      </w:pPr>
    </w:p>
    <w:p w:rsidR="00B015EE" w:rsidRPr="00C904FA" w:rsidRDefault="00B015EE" w:rsidP="00B015EE">
      <w:pPr>
        <w:pStyle w:val="Heading2"/>
        <w:ind w:left="426" w:hanging="426"/>
        <w:jc w:val="both"/>
        <w:rPr>
          <w:lang w:val="es-ES_tradnl"/>
        </w:rPr>
      </w:pPr>
      <w:bookmarkStart w:id="14" w:name="_Toc384769716"/>
      <w:r w:rsidRPr="00C904FA">
        <w:rPr>
          <w:lang w:val="es-ES_tradnl"/>
        </w:rPr>
        <w:t>Trasfondo general</w:t>
      </w:r>
      <w:bookmarkEnd w:id="14"/>
    </w:p>
    <w:p w:rsidR="00B015EE" w:rsidRPr="00C904FA" w:rsidRDefault="00B015EE" w:rsidP="00B015EE">
      <w:pPr>
        <w:spacing w:line="360" w:lineRule="auto"/>
        <w:rPr>
          <w:lang w:val="es-ES_tradnl"/>
        </w:rPr>
      </w:pPr>
    </w:p>
    <w:p w:rsidR="00B015EE" w:rsidRPr="00C904FA" w:rsidRDefault="00B015EE" w:rsidP="00B015EE">
      <w:pPr>
        <w:rPr>
          <w:rFonts w:eastAsia="Times New Roman"/>
          <w:szCs w:val="24"/>
          <w:lang w:val="es-ES_tradnl"/>
        </w:rPr>
      </w:pPr>
      <w:r w:rsidRPr="00C904FA">
        <w:rPr>
          <w:lang w:val="es-ES_tradnl"/>
        </w:rPr>
        <w:t xml:space="preserve">La Constitución del Estado Libre Asociado (ELA) se aprobó por virtud de la Ley 600 de 1950. Esta ley es esencial, ya que establece el marco presente de las relaciones políticas entre Puerto Rico y Estados Unidos. Un informe del Congreso de 2011 describe </w:t>
      </w:r>
      <w:r>
        <w:rPr>
          <w:lang w:val="es-ES_tradnl"/>
        </w:rPr>
        <w:t>su</w:t>
      </w:r>
      <w:r w:rsidRPr="00C904FA">
        <w:rPr>
          <w:lang w:val="es-ES_tradnl"/>
        </w:rPr>
        <w:t xml:space="preserve"> importancia de la siguiente forma:</w:t>
      </w:r>
    </w:p>
    <w:p w:rsidR="00B015EE" w:rsidRPr="0095547C" w:rsidRDefault="00B015EE" w:rsidP="00B015EE">
      <w:pPr>
        <w:widowControl w:val="0"/>
        <w:autoSpaceDE w:val="0"/>
        <w:autoSpaceDN w:val="0"/>
        <w:spacing w:line="240" w:lineRule="auto"/>
        <w:ind w:left="1080" w:firstLine="0"/>
        <w:rPr>
          <w:rFonts w:eastAsia="Times New Roman"/>
          <w:szCs w:val="24"/>
        </w:rPr>
      </w:pPr>
      <w:r w:rsidRPr="00C904FA">
        <w:rPr>
          <w:rFonts w:eastAsia="Times New Roman"/>
          <w:szCs w:val="24"/>
          <w:lang w:val="en-US"/>
        </w:rPr>
        <w:t xml:space="preserve">P.L. 81-600, which authorized the process that led to the constitution of 1952, also continued the provisions of the Jones Act of 1917 that govern the relationship between Puerto Rico and the United States. That set of provisions is commonly referred to as the Federal Relations Act (FRA).35 The FRA deals with matters that are subject to congressional authority and established pursuant to federal legislation, such as the citizenship status of residents, civil rights, trade and commerce, taxation and public finance, the administration of public lands controlled by the federal government, the application of federal law over navigable waters, congressional representation, and the judicial process. </w:t>
      </w:r>
      <w:r w:rsidRPr="0095547C">
        <w:rPr>
          <w:rFonts w:eastAsia="Times New Roman"/>
          <w:szCs w:val="24"/>
        </w:rPr>
        <w:t>(CRS, 20</w:t>
      </w:r>
      <w:r>
        <w:rPr>
          <w:rFonts w:eastAsia="Times New Roman"/>
          <w:szCs w:val="24"/>
        </w:rPr>
        <w:t>08</w:t>
      </w:r>
      <w:r w:rsidRPr="0095547C">
        <w:rPr>
          <w:rFonts w:eastAsia="Times New Roman"/>
          <w:szCs w:val="24"/>
        </w:rPr>
        <w:t xml:space="preserve">, </w:t>
      </w:r>
      <w:r>
        <w:rPr>
          <w:rFonts w:eastAsia="Times New Roman"/>
          <w:szCs w:val="24"/>
        </w:rPr>
        <w:t>8</w:t>
      </w:r>
      <w:r w:rsidRPr="0095547C">
        <w:rPr>
          <w:rFonts w:eastAsia="Times New Roman"/>
          <w:szCs w:val="24"/>
        </w:rPr>
        <w:t>)</w:t>
      </w:r>
    </w:p>
    <w:p w:rsidR="00B015EE" w:rsidRPr="00C904FA" w:rsidRDefault="00B015EE" w:rsidP="00B015EE">
      <w:pPr>
        <w:rPr>
          <w:lang w:val="es-ES_tradnl"/>
        </w:rPr>
      </w:pPr>
    </w:p>
    <w:p w:rsidR="00B015EE" w:rsidRPr="00C904FA" w:rsidRDefault="00B015EE" w:rsidP="00B015EE">
      <w:pPr>
        <w:rPr>
          <w:lang w:val="es-ES_tradnl"/>
        </w:rPr>
      </w:pPr>
      <w:r w:rsidRPr="00C904FA">
        <w:rPr>
          <w:lang w:val="es-ES_tradnl"/>
        </w:rPr>
        <w:t>Luego de la aprobación de la Ley 600 y la creación del ELA en 1952, han ocurrido varios ciclos de deliberaciones e intentos infructuosos dirigidos a alterar la condición política actual de Puerto Rico en el Congreso de Estados Unidos (Alegría Ortega, 1982; Gautier Mayoral, 1979, 5-6, Colón Morera, 1993; Trías Monge, 199</w:t>
      </w:r>
      <w:r>
        <w:rPr>
          <w:lang w:val="es-ES_tradnl"/>
        </w:rPr>
        <w:t>9, 162-166</w:t>
      </w:r>
      <w:r w:rsidRPr="00C904FA">
        <w:rPr>
          <w:lang w:val="es-ES_tradnl"/>
        </w:rPr>
        <w:t>). Se podría decir que los forjadores del ELA intentaron reformar la relación política iniciada en 1952 desde el momento mismo en que se acordó dicho</w:t>
      </w:r>
      <w:r>
        <w:rPr>
          <w:lang w:val="es-ES_tradnl"/>
        </w:rPr>
        <w:t xml:space="preserve"> arreglo político (Fernós Isern,</w:t>
      </w:r>
      <w:r w:rsidRPr="00C904FA">
        <w:rPr>
          <w:lang w:val="es-ES_tradnl"/>
        </w:rPr>
        <w:t xml:space="preserve"> 1974; Trías, 199</w:t>
      </w:r>
      <w:r>
        <w:rPr>
          <w:lang w:val="es-ES_tradnl"/>
        </w:rPr>
        <w:t>9</w:t>
      </w:r>
      <w:r w:rsidRPr="00C904FA">
        <w:rPr>
          <w:lang w:val="es-ES_tradnl"/>
        </w:rPr>
        <w:t>;</w:t>
      </w:r>
      <w:r>
        <w:rPr>
          <w:lang w:val="es-ES_tradnl"/>
        </w:rPr>
        <w:t xml:space="preserve"> </w:t>
      </w:r>
      <w:r w:rsidRPr="00C904FA">
        <w:rPr>
          <w:lang w:val="es-ES_tradnl"/>
        </w:rPr>
        <w:t>Fernández, 1992</w:t>
      </w:r>
      <w:r>
        <w:rPr>
          <w:lang w:val="es-ES_tradnl"/>
        </w:rPr>
        <w:t>, 194</w:t>
      </w:r>
      <w:r w:rsidRPr="00C904FA">
        <w:rPr>
          <w:lang w:val="es-ES_tradnl"/>
        </w:rPr>
        <w:t>; Duprey, 2002; Pantojas, 2013</w:t>
      </w:r>
      <w:r>
        <w:rPr>
          <w:lang w:val="es-ES_tradnl"/>
        </w:rPr>
        <w:t>, 44</w:t>
      </w:r>
      <w:r w:rsidRPr="00C904FA">
        <w:rPr>
          <w:lang w:val="es-ES_tradnl"/>
        </w:rPr>
        <w:t xml:space="preserve">). </w:t>
      </w:r>
    </w:p>
    <w:p w:rsidR="00B015EE" w:rsidRPr="00C904FA" w:rsidRDefault="00B015EE" w:rsidP="00B015EE">
      <w:pPr>
        <w:rPr>
          <w:lang w:val="es-ES_tradnl"/>
        </w:rPr>
      </w:pPr>
      <w:r w:rsidRPr="00C904FA">
        <w:rPr>
          <w:lang w:val="es-ES_tradnl"/>
        </w:rPr>
        <w:t xml:space="preserve">En general, esos esfuerzos iban dirigidos a ampliar el marco de acción autonómica del ELA dentro de un esfuerzo liderado por el propio Partido Popular Democrático (PPD). En esos momentos, el tema del estatus se visualizaba mayormente como uno relativo a la capacidad del ELA de crecer en capacidad autonómica. No es hasta 1967 que se </w:t>
      </w:r>
      <w:r>
        <w:rPr>
          <w:lang w:val="es-ES_tradnl"/>
        </w:rPr>
        <w:t>hace</w:t>
      </w:r>
      <w:r w:rsidRPr="00C904FA">
        <w:rPr>
          <w:lang w:val="es-ES_tradnl"/>
        </w:rPr>
        <w:t xml:space="preserve"> una consulta entre diversas opciones de estatus con el objetivo de realizar alteraciones al ámbito de autonomía del ELA.</w:t>
      </w:r>
    </w:p>
    <w:p w:rsidR="00B015EE" w:rsidRPr="00C904FA" w:rsidRDefault="00B015EE" w:rsidP="00B015EE">
      <w:pPr>
        <w:rPr>
          <w:lang w:val="es-ES_tradnl"/>
        </w:rPr>
      </w:pPr>
      <w:r w:rsidRPr="00C904FA">
        <w:rPr>
          <w:lang w:val="es-ES_tradnl"/>
        </w:rPr>
        <w:t>Entre 1989 y 1991 ocurrió en el Congreso un proceso de distinta naturaleza que rompió con el molde de los cabildeos y negociaciones anteriores. Los tres partidos decidieron, por primera vez,</w:t>
      </w:r>
      <w:r>
        <w:rPr>
          <w:lang w:val="es-ES_tradnl"/>
        </w:rPr>
        <w:t xml:space="preserve"> </w:t>
      </w:r>
      <w:r w:rsidRPr="00C904FA">
        <w:rPr>
          <w:lang w:val="es-ES_tradnl"/>
        </w:rPr>
        <w:t>crear un Comité de Diá</w:t>
      </w:r>
      <w:r>
        <w:rPr>
          <w:lang w:val="es-ES_tradnl"/>
        </w:rPr>
        <w:t xml:space="preserve">logo tripartita </w:t>
      </w:r>
      <w:r>
        <w:t>—</w:t>
      </w:r>
      <w:r w:rsidRPr="00C904FA">
        <w:rPr>
          <w:lang w:val="es-ES_tradnl"/>
        </w:rPr>
        <w:t xml:space="preserve">PPD, </w:t>
      </w:r>
      <w:r>
        <w:rPr>
          <w:lang w:val="es-ES_tradnl"/>
        </w:rPr>
        <w:t>Partido Nuevo Progresista (</w:t>
      </w:r>
      <w:r w:rsidRPr="00C904FA">
        <w:rPr>
          <w:lang w:val="es-ES_tradnl"/>
        </w:rPr>
        <w:t>PNP</w:t>
      </w:r>
      <w:r>
        <w:rPr>
          <w:lang w:val="es-ES_tradnl"/>
        </w:rPr>
        <w:t>) y Partido Independentista Puertorriqueño</w:t>
      </w:r>
      <w:r w:rsidRPr="00C904FA">
        <w:rPr>
          <w:lang w:val="es-ES_tradnl"/>
        </w:rPr>
        <w:t xml:space="preserve"> </w:t>
      </w:r>
      <w:r>
        <w:rPr>
          <w:lang w:val="es-ES_tradnl"/>
        </w:rPr>
        <w:t>(</w:t>
      </w:r>
      <w:r w:rsidRPr="00C904FA">
        <w:rPr>
          <w:lang w:val="es-ES_tradnl"/>
        </w:rPr>
        <w:t>PIP</w:t>
      </w:r>
      <w:r>
        <w:rPr>
          <w:lang w:val="es-ES_tradnl"/>
        </w:rPr>
        <w:t>)</w:t>
      </w:r>
      <w:r>
        <w:t>—</w:t>
      </w:r>
      <w:r w:rsidRPr="00C904FA">
        <w:rPr>
          <w:lang w:val="es-ES_tradnl"/>
        </w:rPr>
        <w:t xml:space="preserve"> y reclamar conjuntamente un proceso de autodeterminación política. </w:t>
      </w:r>
      <w:r w:rsidRPr="0095547C">
        <w:rPr>
          <w:lang w:val="en-US"/>
        </w:rPr>
        <w:t xml:space="preserve">De hecho, esos partidos enviaron una carta al presidente de Estados Unidos en la que se expresaba que: </w:t>
      </w:r>
      <w:r w:rsidRPr="005B5FEE">
        <w:rPr>
          <w:lang w:val="en-US"/>
        </w:rPr>
        <w:t>“… since Puerto Rico came under the Sovereignty of the Unites States of America through the Treaty of Paris in 1898, the People of Puerto Rico have not been formally consulted by the United States of America as to their choice of th</w:t>
      </w:r>
      <w:r>
        <w:rPr>
          <w:lang w:val="en-US"/>
        </w:rPr>
        <w:t>eir ultimate poli</w:t>
      </w:r>
      <w:r w:rsidRPr="005B5FEE">
        <w:rPr>
          <w:lang w:val="en-US"/>
        </w:rPr>
        <w:t xml:space="preserve">tical status…” </w:t>
      </w:r>
      <w:r w:rsidRPr="00C904FA">
        <w:rPr>
          <w:lang w:val="es-ES_tradnl"/>
        </w:rPr>
        <w:t xml:space="preserve">(Martínez, 1992, 13). </w:t>
      </w:r>
    </w:p>
    <w:p w:rsidR="00B015EE" w:rsidRPr="00C904FA" w:rsidRDefault="00B015EE" w:rsidP="00B015EE">
      <w:pPr>
        <w:rPr>
          <w:lang w:val="es-ES_tradnl"/>
        </w:rPr>
      </w:pPr>
      <w:r w:rsidRPr="00C904FA">
        <w:rPr>
          <w:lang w:val="es-ES_tradnl"/>
        </w:rPr>
        <w:t>En respuesta a ese requerimiento conjunto del liderato partidist</w:t>
      </w:r>
      <w:r>
        <w:rPr>
          <w:lang w:val="es-ES_tradnl"/>
        </w:rPr>
        <w:t>a, y al hecho de que el propio p</w:t>
      </w:r>
      <w:r w:rsidRPr="00C904FA">
        <w:rPr>
          <w:lang w:val="es-ES_tradnl"/>
        </w:rPr>
        <w:t xml:space="preserve">residente George </w:t>
      </w:r>
      <w:r>
        <w:rPr>
          <w:lang w:val="es-ES_tradnl"/>
        </w:rPr>
        <w:t xml:space="preserve">H. </w:t>
      </w:r>
      <w:r w:rsidRPr="00C904FA">
        <w:rPr>
          <w:lang w:val="es-ES_tradnl"/>
        </w:rPr>
        <w:t>Bush se expresó en su Mensaje de Estado a favor de esta iniciativa (Martínez, 1992), se produjo uno de los capítulos más productivos de acción legislativa estadounidense en torno al tema (Colón Morera, 1992; García Passalacqua y Rivera Lugo, 199</w:t>
      </w:r>
      <w:r>
        <w:rPr>
          <w:lang w:val="es-ES_tradnl"/>
        </w:rPr>
        <w:t>0</w:t>
      </w:r>
      <w:r w:rsidRPr="00C904FA">
        <w:rPr>
          <w:lang w:val="es-ES_tradnl"/>
        </w:rPr>
        <w:t xml:space="preserve">). </w:t>
      </w:r>
    </w:p>
    <w:p w:rsidR="00B015EE" w:rsidRPr="00C904FA" w:rsidRDefault="00B015EE" w:rsidP="00B015EE">
      <w:pPr>
        <w:rPr>
          <w:lang w:val="es-ES_tradnl"/>
        </w:rPr>
      </w:pPr>
      <w:r>
        <w:rPr>
          <w:lang w:val="es-ES_tradnl"/>
        </w:rPr>
        <w:t>En es</w:t>
      </w:r>
      <w:r w:rsidRPr="00C904FA">
        <w:rPr>
          <w:lang w:val="es-ES_tradnl"/>
        </w:rPr>
        <w:t>a ocasión se logró que el Congreso definiera los contornos generales de las tres opciones principales de estatus. Ese esfuerzo colapsó en el Senado</w:t>
      </w:r>
      <w:r>
        <w:rPr>
          <w:lang w:val="es-ES_tradnl"/>
        </w:rPr>
        <w:t>,</w:t>
      </w:r>
      <w:r w:rsidRPr="00C904FA">
        <w:rPr>
          <w:lang w:val="es-ES_tradnl"/>
        </w:rPr>
        <w:t xml:space="preserve"> debido al rechazo que recibió la medida en el Comité de Energía del Senado (Martínez, </w:t>
      </w:r>
      <w:r>
        <w:rPr>
          <w:lang w:val="es-ES_tradnl"/>
        </w:rPr>
        <w:t xml:space="preserve">1992, </w:t>
      </w:r>
      <w:r w:rsidRPr="00C904FA">
        <w:rPr>
          <w:lang w:val="es-ES_tradnl"/>
        </w:rPr>
        <w:t>599). Esa oposición se concentró en los legisladores repu</w:t>
      </w:r>
      <w:r>
        <w:rPr>
          <w:lang w:val="es-ES_tradnl"/>
        </w:rPr>
        <w:t xml:space="preserve">blicanos. </w:t>
      </w:r>
      <w:r w:rsidRPr="00C904FA">
        <w:rPr>
          <w:lang w:val="es-ES_tradnl"/>
        </w:rPr>
        <w:t>De todos modos</w:t>
      </w:r>
      <w:r>
        <w:rPr>
          <w:lang w:val="es-ES_tradnl"/>
        </w:rPr>
        <w:t>,</w:t>
      </w:r>
      <w:r w:rsidRPr="00C904FA">
        <w:rPr>
          <w:lang w:val="es-ES_tradnl"/>
        </w:rPr>
        <w:t xml:space="preserve"> el consenso del liderato partidista </w:t>
      </w:r>
      <w:r w:rsidRPr="008B456C">
        <w:t>—</w:t>
      </w:r>
      <w:r w:rsidRPr="00C904FA">
        <w:rPr>
          <w:lang w:val="es-ES_tradnl"/>
        </w:rPr>
        <w:t>de que era necesario implantar un proceso conjunto entre Estados Unidos y Puerto Rico para resolver conjuntamente el problema</w:t>
      </w:r>
      <w:r w:rsidRPr="008B456C">
        <w:t>—</w:t>
      </w:r>
      <w:r w:rsidRPr="00C904FA">
        <w:rPr>
          <w:lang w:val="es-ES_tradnl"/>
        </w:rPr>
        <w:t xml:space="preserve"> resultó ser una fórmula ganadora (Torres, 2000, 296), de la cual el liderato se apartó luego. Ese es el momento en que más cerca se ha e</w:t>
      </w:r>
      <w:r>
        <w:rPr>
          <w:lang w:val="es-ES_tradnl"/>
        </w:rPr>
        <w:t xml:space="preserve">stado en las últimas décadas de </w:t>
      </w:r>
      <w:r w:rsidRPr="00C904FA">
        <w:rPr>
          <w:lang w:val="es-ES_tradnl"/>
        </w:rPr>
        <w:t>logar una acción del Congreso para ayudar a des</w:t>
      </w:r>
      <w:r>
        <w:rPr>
          <w:lang w:val="es-ES_tradnl"/>
        </w:rPr>
        <w:t>a</w:t>
      </w:r>
      <w:r w:rsidRPr="00C904FA">
        <w:rPr>
          <w:lang w:val="es-ES_tradnl"/>
        </w:rPr>
        <w:t>t</w:t>
      </w:r>
      <w:r>
        <w:rPr>
          <w:lang w:val="es-ES_tradnl"/>
        </w:rPr>
        <w:t>as</w:t>
      </w:r>
      <w:r w:rsidRPr="00C904FA">
        <w:rPr>
          <w:lang w:val="es-ES_tradnl"/>
        </w:rPr>
        <w:t xml:space="preserve">car el </w:t>
      </w:r>
      <w:r>
        <w:rPr>
          <w:lang w:val="es-ES_tradnl"/>
        </w:rPr>
        <w:t>problema</w:t>
      </w:r>
      <w:r w:rsidRPr="00C904FA">
        <w:rPr>
          <w:lang w:val="es-ES_tradnl"/>
        </w:rPr>
        <w:t xml:space="preserve"> de Puerto Rico. El legislativo estadounidense, sin embargo, nunca ha estado dispuesto a realizar una consulta sobre las preferencias de estatus</w:t>
      </w:r>
      <w:r>
        <w:rPr>
          <w:lang w:val="es-ES_tradnl"/>
        </w:rPr>
        <w:t xml:space="preserve"> del p</w:t>
      </w:r>
      <w:r w:rsidRPr="00C904FA">
        <w:rPr>
          <w:lang w:val="es-ES_tradnl"/>
        </w:rPr>
        <w:t>ueblo puertorriqueño en que este cuerpo se comprometa a atender los reclamos de autodeterminación que s</w:t>
      </w:r>
      <w:r>
        <w:rPr>
          <w:lang w:val="es-ES_tradnl"/>
        </w:rPr>
        <w:t>urjan de ahí (legislación auto</w:t>
      </w:r>
      <w:r w:rsidRPr="00C904FA">
        <w:rPr>
          <w:lang w:val="es-ES_tradnl"/>
        </w:rPr>
        <w:t xml:space="preserve">ejecutable). </w:t>
      </w:r>
    </w:p>
    <w:p w:rsidR="00B015EE" w:rsidRPr="00C904FA" w:rsidRDefault="00B015EE" w:rsidP="00B015EE">
      <w:pPr>
        <w:rPr>
          <w:lang w:val="es-ES_tradnl"/>
        </w:rPr>
      </w:pPr>
      <w:r w:rsidRPr="00C904FA">
        <w:rPr>
          <w:lang w:val="es-ES_tradnl"/>
        </w:rPr>
        <w:t>La consulta de 1952</w:t>
      </w:r>
      <w:r>
        <w:rPr>
          <w:lang w:val="es-ES_tradnl"/>
        </w:rPr>
        <w:t>,</w:t>
      </w:r>
      <w:r w:rsidRPr="00C904FA">
        <w:rPr>
          <w:lang w:val="es-ES_tradnl"/>
        </w:rPr>
        <w:t xml:space="preserve"> dirigida a la creación del ELA</w:t>
      </w:r>
      <w:r>
        <w:rPr>
          <w:lang w:val="es-ES_tradnl"/>
        </w:rPr>
        <w:t>,</w:t>
      </w:r>
      <w:r w:rsidRPr="00C904FA">
        <w:rPr>
          <w:lang w:val="es-ES_tradnl"/>
        </w:rPr>
        <w:t xml:space="preserve"> no fue en muchos sentidos una sobre estatus</w:t>
      </w:r>
      <w:r>
        <w:rPr>
          <w:lang w:val="es-ES_tradnl"/>
        </w:rPr>
        <w:t>,</w:t>
      </w:r>
      <w:r w:rsidRPr="00C904FA">
        <w:rPr>
          <w:lang w:val="es-ES_tradnl"/>
        </w:rPr>
        <w:t xml:space="preserve"> ya que no se brindaron alternativas a la condición de territorio no incorporado</w:t>
      </w:r>
      <w:r>
        <w:rPr>
          <w:lang w:val="es-ES_tradnl"/>
        </w:rPr>
        <w:t>,</w:t>
      </w:r>
      <w:r w:rsidRPr="00C904FA">
        <w:rPr>
          <w:lang w:val="es-ES_tradnl"/>
        </w:rPr>
        <w:t xml:space="preserve"> sino que se ofreció ampliar los niveles de gobierno propio mediante la aprobación de una Constitución para la reglamentación de los asuntos estrictamente </w:t>
      </w:r>
      <w:r>
        <w:rPr>
          <w:lang w:val="es-ES_tradnl"/>
        </w:rPr>
        <w:t>interno</w:t>
      </w:r>
      <w:r w:rsidRPr="00C904FA">
        <w:rPr>
          <w:lang w:val="es-ES_tradnl"/>
        </w:rPr>
        <w:t>s (Torres, 2000, 374). Al propio tiempo</w:t>
      </w:r>
      <w:r>
        <w:rPr>
          <w:lang w:val="es-ES_tradnl"/>
        </w:rPr>
        <w:t>,</w:t>
      </w:r>
      <w:r w:rsidRPr="00C904FA">
        <w:rPr>
          <w:lang w:val="es-ES_tradnl"/>
        </w:rPr>
        <w:t xml:space="preserve"> el Gobierno de Estados Unidos argumentó a la Organización de Naciones Unidas </w:t>
      </w:r>
      <w:r>
        <w:rPr>
          <w:lang w:val="es-ES_tradnl"/>
        </w:rPr>
        <w:t xml:space="preserve">(ONU) </w:t>
      </w:r>
      <w:r w:rsidRPr="00C904FA">
        <w:rPr>
          <w:lang w:val="es-ES_tradnl"/>
        </w:rPr>
        <w:t xml:space="preserve">que se había creado un nuevo estatus político no dependiente (Lawson, Sloan, 2009). </w:t>
      </w:r>
    </w:p>
    <w:p w:rsidR="00B015EE" w:rsidRPr="00C904FA" w:rsidRDefault="00B015EE" w:rsidP="00B015EE">
      <w:pPr>
        <w:rPr>
          <w:lang w:val="es-ES_tradnl"/>
        </w:rPr>
      </w:pPr>
      <w:r w:rsidRPr="00C904FA">
        <w:rPr>
          <w:lang w:val="es-ES_tradnl"/>
        </w:rPr>
        <w:t>La razón principal por la cual el legislativo estadounidense se ha reiterado en no llevar a cabo un proceso de votación respaldado por una</w:t>
      </w:r>
      <w:r>
        <w:rPr>
          <w:lang w:val="es-ES_tradnl"/>
        </w:rPr>
        <w:t xml:space="preserve"> legislación del Congreso (auto</w:t>
      </w:r>
      <w:r w:rsidRPr="00C904FA">
        <w:rPr>
          <w:lang w:val="es-ES_tradnl"/>
        </w:rPr>
        <w:t>ejecutab</w:t>
      </w:r>
      <w:r>
        <w:rPr>
          <w:lang w:val="es-ES_tradnl"/>
        </w:rPr>
        <w:t xml:space="preserve">ilidad) se debe, parcialmente, </w:t>
      </w:r>
      <w:r w:rsidRPr="00C904FA">
        <w:rPr>
          <w:lang w:val="es-ES_tradnl"/>
        </w:rPr>
        <w:t xml:space="preserve">al poco consenso en ese cuerpo sobre cuáles son las opciones viables de futuro político para </w:t>
      </w:r>
      <w:r>
        <w:rPr>
          <w:lang w:val="es-ES_tradnl"/>
        </w:rPr>
        <w:t>Puerto Rico</w:t>
      </w:r>
      <w:r w:rsidRPr="00C904FA">
        <w:rPr>
          <w:lang w:val="es-ES_tradnl"/>
        </w:rPr>
        <w:t xml:space="preserve">. Lo </w:t>
      </w:r>
      <w:r>
        <w:rPr>
          <w:lang w:val="es-ES_tradnl"/>
        </w:rPr>
        <w:t>llev</w:t>
      </w:r>
      <w:r w:rsidRPr="00C904FA">
        <w:rPr>
          <w:lang w:val="es-ES_tradnl"/>
        </w:rPr>
        <w:t>ado</w:t>
      </w:r>
      <w:r>
        <w:rPr>
          <w:lang w:val="es-ES_tradnl"/>
        </w:rPr>
        <w:t xml:space="preserve"> a cabo</w:t>
      </w:r>
      <w:r w:rsidRPr="00C904FA">
        <w:rPr>
          <w:lang w:val="es-ES_tradnl"/>
        </w:rPr>
        <w:t xml:space="preserve"> en 1952, con el proceso que culminó en la Ley 600 que dio paso al ELA</w:t>
      </w:r>
      <w:r>
        <w:rPr>
          <w:lang w:val="es-ES_tradnl"/>
        </w:rPr>
        <w:t>,</w:t>
      </w:r>
      <w:r w:rsidRPr="00C904FA">
        <w:rPr>
          <w:lang w:val="es-ES_tradnl"/>
        </w:rPr>
        <w:t xml:space="preserve"> </w:t>
      </w:r>
      <w:r>
        <w:rPr>
          <w:lang w:val="es-ES_tradnl"/>
        </w:rPr>
        <w:t>se</w:t>
      </w:r>
      <w:r w:rsidRPr="00C904FA">
        <w:rPr>
          <w:lang w:val="es-ES_tradnl"/>
        </w:rPr>
        <w:t xml:space="preserve"> dirigi</w:t>
      </w:r>
      <w:r>
        <w:rPr>
          <w:lang w:val="es-ES_tradnl"/>
        </w:rPr>
        <w:t>ó</w:t>
      </w:r>
      <w:r w:rsidRPr="00C904FA">
        <w:rPr>
          <w:lang w:val="es-ES_tradnl"/>
        </w:rPr>
        <w:t xml:space="preserve"> a ampliar el marco de gobierno propio</w:t>
      </w:r>
      <w:r>
        <w:rPr>
          <w:lang w:val="es-ES_tradnl"/>
        </w:rPr>
        <w:t>,</w:t>
      </w:r>
      <w:r w:rsidRPr="00C904FA">
        <w:rPr>
          <w:lang w:val="es-ES_tradnl"/>
        </w:rPr>
        <w:t xml:space="preserve"> pero no </w:t>
      </w:r>
      <w:r>
        <w:rPr>
          <w:lang w:val="es-ES_tradnl"/>
        </w:rPr>
        <w:t xml:space="preserve">fue </w:t>
      </w:r>
      <w:r w:rsidRPr="00C904FA">
        <w:rPr>
          <w:lang w:val="es-ES_tradnl"/>
        </w:rPr>
        <w:t>una decisión final en materia de estatus o de autodeterminación política (Trías Monge, 199</w:t>
      </w:r>
      <w:r>
        <w:rPr>
          <w:lang w:val="es-ES_tradnl"/>
        </w:rPr>
        <w:t>9</w:t>
      </w:r>
      <w:r w:rsidRPr="00C904FA">
        <w:rPr>
          <w:lang w:val="es-ES_tradnl"/>
        </w:rPr>
        <w:t xml:space="preserve">). </w:t>
      </w:r>
      <w:r>
        <w:rPr>
          <w:lang w:val="es-ES_tradnl"/>
        </w:rPr>
        <w:t>S</w:t>
      </w:r>
      <w:r w:rsidRPr="00C904FA">
        <w:rPr>
          <w:lang w:val="es-ES_tradnl"/>
        </w:rPr>
        <w:t xml:space="preserve">in embargo, </w:t>
      </w:r>
      <w:r>
        <w:rPr>
          <w:lang w:val="es-ES_tradnl"/>
        </w:rPr>
        <w:t>d</w:t>
      </w:r>
      <w:r w:rsidRPr="00C904FA">
        <w:rPr>
          <w:lang w:val="es-ES_tradnl"/>
        </w:rPr>
        <w:t>esde la perspectiva de ciert</w:t>
      </w:r>
      <w:r>
        <w:rPr>
          <w:lang w:val="es-ES_tradnl"/>
        </w:rPr>
        <w:t xml:space="preserve">os académicos estadounidenses, </w:t>
      </w:r>
      <w:r w:rsidRPr="00C904FA">
        <w:rPr>
          <w:lang w:val="es-ES_tradnl"/>
        </w:rPr>
        <w:t>lo sucedido en 1952 cumple con los requisitos internacionales presentes en materia de autodeterminación (Lawson, Sloan, 2009).</w:t>
      </w:r>
    </w:p>
    <w:p w:rsidR="00B015EE" w:rsidRPr="00C904FA" w:rsidRDefault="00B015EE" w:rsidP="00B015EE">
      <w:pPr>
        <w:rPr>
          <w:lang w:val="es-ES_tradnl"/>
        </w:rPr>
      </w:pPr>
      <w:r w:rsidRPr="00C904FA">
        <w:rPr>
          <w:lang w:val="es-ES_tradnl"/>
        </w:rPr>
        <w:t>Los esfuerzos por alterar el ELA que se realicen hoy en día se harán, sin embargo,</w:t>
      </w:r>
      <w:r>
        <w:rPr>
          <w:lang w:val="es-ES_tradnl"/>
        </w:rPr>
        <w:t xml:space="preserve"> </w:t>
      </w:r>
      <w:r w:rsidRPr="00C904FA">
        <w:rPr>
          <w:lang w:val="es-ES_tradnl"/>
        </w:rPr>
        <w:t>bajo condiciones de mayor conflictividad. Varios informes internos del Gobierno de Estados Unidos denominan a Puerto Rico como un territorio y tienden a restarle legitimida</w:t>
      </w:r>
      <w:r>
        <w:rPr>
          <w:lang w:val="es-ES_tradnl"/>
        </w:rPr>
        <w:t>d al arreglo político de 1952 (i</w:t>
      </w:r>
      <w:r w:rsidRPr="00C904FA">
        <w:rPr>
          <w:lang w:val="es-ES_tradnl"/>
        </w:rPr>
        <w:t>nformes de Grupo de Trabajo de Casa Blanca, 2005, 2007)</w:t>
      </w:r>
      <w:r>
        <w:rPr>
          <w:lang w:val="es-ES_tradnl"/>
        </w:rPr>
        <w:t>,</w:t>
      </w:r>
      <w:r w:rsidRPr="00C904FA">
        <w:rPr>
          <w:lang w:val="es-ES_tradnl"/>
        </w:rPr>
        <w:t xml:space="preserve"> y a las representaciones que hizo el Gobierno </w:t>
      </w:r>
      <w:r>
        <w:rPr>
          <w:lang w:val="es-ES_tradnl"/>
        </w:rPr>
        <w:t>e</w:t>
      </w:r>
      <w:r w:rsidRPr="00C904FA">
        <w:rPr>
          <w:lang w:val="es-ES_tradnl"/>
        </w:rPr>
        <w:t>stado</w:t>
      </w:r>
      <w:r>
        <w:rPr>
          <w:lang w:val="es-ES_tradnl"/>
        </w:rPr>
        <w:t xml:space="preserve">unidense </w:t>
      </w:r>
      <w:r w:rsidRPr="00C904FA">
        <w:rPr>
          <w:lang w:val="es-ES_tradnl"/>
        </w:rPr>
        <w:t>al momento de sacar a Puerto Rico de la lista de territorios</w:t>
      </w:r>
      <w:r>
        <w:rPr>
          <w:lang w:val="es-ES_tradnl"/>
        </w:rPr>
        <w:t xml:space="preserve"> dependientes o coloniales. El i</w:t>
      </w:r>
      <w:r w:rsidRPr="00C904FA">
        <w:rPr>
          <w:lang w:val="es-ES_tradnl"/>
        </w:rPr>
        <w:t>nforme</w:t>
      </w:r>
      <w:r>
        <w:rPr>
          <w:lang w:val="es-ES_tradnl"/>
        </w:rPr>
        <w:t xml:space="preserve"> </w:t>
      </w:r>
      <w:r w:rsidRPr="00C904FA">
        <w:rPr>
          <w:lang w:val="es-ES_tradnl"/>
        </w:rPr>
        <w:t xml:space="preserve">de </w:t>
      </w:r>
      <w:r>
        <w:rPr>
          <w:lang w:val="es-ES_tradnl"/>
        </w:rPr>
        <w:t xml:space="preserve">la </w:t>
      </w:r>
      <w:r w:rsidRPr="00C904FA">
        <w:rPr>
          <w:lang w:val="es-ES_tradnl"/>
        </w:rPr>
        <w:t>Casa Blanca de 2005 representó un ataque frontal al ELA. Además</w:t>
      </w:r>
      <w:r>
        <w:rPr>
          <w:lang w:val="es-ES_tradnl"/>
        </w:rPr>
        <w:t>,</w:t>
      </w:r>
      <w:r w:rsidRPr="00C904FA">
        <w:rPr>
          <w:lang w:val="es-ES_tradnl"/>
        </w:rPr>
        <w:t xml:space="preserve"> el apoyo electoral al ELA en Puerto Rico ha ido descendiendo, mi</w:t>
      </w:r>
      <w:r>
        <w:rPr>
          <w:lang w:val="es-ES_tradnl"/>
        </w:rPr>
        <w:t xml:space="preserve">entras el apoyo a la estadidad </w:t>
      </w:r>
      <w:r w:rsidRPr="00C904FA">
        <w:rPr>
          <w:lang w:val="es-ES_tradnl"/>
        </w:rPr>
        <w:t xml:space="preserve">aumenta lentamente, por lo que se ha creado una situación de un relativo tranque electoral entre </w:t>
      </w:r>
      <w:r>
        <w:rPr>
          <w:lang w:val="es-ES_tradnl"/>
        </w:rPr>
        <w:t>ambas fórmulas</w:t>
      </w:r>
      <w:r w:rsidRPr="00C904FA">
        <w:rPr>
          <w:lang w:val="es-ES_tradnl"/>
        </w:rPr>
        <w:t>.</w:t>
      </w:r>
    </w:p>
    <w:p w:rsidR="00B015EE" w:rsidRPr="00C904FA" w:rsidRDefault="00B015EE" w:rsidP="00B015EE">
      <w:pPr>
        <w:rPr>
          <w:lang w:val="es-ES_tradnl"/>
        </w:rPr>
      </w:pPr>
      <w:r>
        <w:rPr>
          <w:lang w:val="es-ES_tradnl"/>
        </w:rPr>
        <w:t>La administración del presidente Obama,</w:t>
      </w:r>
      <w:r w:rsidRPr="00C904FA">
        <w:rPr>
          <w:lang w:val="es-ES_tradnl"/>
        </w:rPr>
        <w:t xml:space="preserve"> contrario a la </w:t>
      </w:r>
      <w:r>
        <w:rPr>
          <w:lang w:val="es-ES_tradnl"/>
        </w:rPr>
        <w:t>posición del p</w:t>
      </w:r>
      <w:r w:rsidRPr="00C904FA">
        <w:rPr>
          <w:lang w:val="es-ES_tradnl"/>
        </w:rPr>
        <w:t xml:space="preserve">residente George </w:t>
      </w:r>
      <w:r>
        <w:rPr>
          <w:lang w:val="es-ES_tradnl"/>
        </w:rPr>
        <w:t xml:space="preserve">W. </w:t>
      </w:r>
      <w:r w:rsidRPr="00C904FA">
        <w:rPr>
          <w:lang w:val="es-ES_tradnl"/>
        </w:rPr>
        <w:t>Bush, se ha mostrado más dispuesta a trabajar enmiendas al ELA y a aceptar esa opción como una que no debe ser descartada en futuras consultas de estatus:</w:t>
      </w:r>
    </w:p>
    <w:p w:rsidR="00B015EE" w:rsidRPr="0095547C" w:rsidRDefault="00B015EE" w:rsidP="00B015EE">
      <w:pPr>
        <w:widowControl w:val="0"/>
        <w:autoSpaceDE w:val="0"/>
        <w:autoSpaceDN w:val="0"/>
        <w:spacing w:line="240" w:lineRule="auto"/>
        <w:ind w:left="720" w:firstLine="0"/>
        <w:rPr>
          <w:rFonts w:eastAsia="Times New Roman"/>
          <w:szCs w:val="24"/>
        </w:rPr>
      </w:pPr>
      <w:r w:rsidRPr="005B5FEE">
        <w:rPr>
          <w:rFonts w:eastAsia="Times New Roman"/>
          <w:szCs w:val="24"/>
          <w:lang w:val="en-US"/>
        </w:rPr>
        <w:t>In March 2011, the President’s Task Force on Puerto Rico Status issued its latest report. The Task Force, whose members include various officials in the Obama Administration, agreed with its predecessors that the status quo, statehood, independence, or free association with the United States remain constitutionally viable options if Congress and the people of Puerto Rico wish to revisit the island’s political status</w:t>
      </w:r>
      <w:r>
        <w:rPr>
          <w:rFonts w:eastAsia="Times New Roman"/>
          <w:szCs w:val="24"/>
          <w:lang w:val="en-US"/>
        </w:rPr>
        <w:t>.</w:t>
      </w:r>
      <w:r w:rsidRPr="005B5FEE">
        <w:rPr>
          <w:rFonts w:eastAsia="Times New Roman"/>
          <w:szCs w:val="24"/>
          <w:lang w:val="en-US"/>
        </w:rPr>
        <w:t xml:space="preserve"> </w:t>
      </w:r>
      <w:r w:rsidRPr="0095547C">
        <w:rPr>
          <w:rFonts w:eastAsia="Times New Roman"/>
          <w:szCs w:val="24"/>
        </w:rPr>
        <w:t>(</w:t>
      </w:r>
      <w:r>
        <w:rPr>
          <w:rFonts w:eastAsia="Times New Roman"/>
          <w:szCs w:val="24"/>
        </w:rPr>
        <w:t xml:space="preserve">Garret, </w:t>
      </w:r>
      <w:r w:rsidRPr="0095547C">
        <w:rPr>
          <w:rFonts w:eastAsia="Times New Roman"/>
          <w:szCs w:val="24"/>
        </w:rPr>
        <w:t xml:space="preserve">CRS, 2011) </w:t>
      </w:r>
    </w:p>
    <w:p w:rsidR="00B015EE" w:rsidRDefault="00B015EE" w:rsidP="00B015EE"/>
    <w:p w:rsidR="00B015EE" w:rsidRPr="00C904FA" w:rsidRDefault="00B015EE" w:rsidP="00B015EE">
      <w:pPr>
        <w:rPr>
          <w:lang w:val="es-ES_tradnl"/>
        </w:rPr>
      </w:pPr>
      <w:r w:rsidRPr="00C904FA">
        <w:rPr>
          <w:lang w:val="es-ES_tradnl"/>
        </w:rPr>
        <w:t>La administración Obama ha mantenido un perfil bajo con relación al tema del futuro político de la Isla</w:t>
      </w:r>
      <w:r>
        <w:rPr>
          <w:lang w:val="es-ES_tradnl"/>
        </w:rPr>
        <w:t>,</w:t>
      </w:r>
      <w:r w:rsidRPr="00C904FA">
        <w:rPr>
          <w:lang w:val="es-ES_tradnl"/>
        </w:rPr>
        <w:t xml:space="preserve"> y todo indica que se mantiene en su postura de que Puerto Rico tiene que manifestar claramente en qué dirección se quiere encaminar si desea obtener reformas políticas. Contrario a la posición asumida por la administración republicana de George </w:t>
      </w:r>
      <w:r>
        <w:rPr>
          <w:lang w:val="es-ES_tradnl"/>
        </w:rPr>
        <w:t xml:space="preserve">W. </w:t>
      </w:r>
      <w:r w:rsidRPr="00C904FA">
        <w:rPr>
          <w:lang w:val="es-ES_tradnl"/>
        </w:rPr>
        <w:t>Bush</w:t>
      </w:r>
      <w:r>
        <w:rPr>
          <w:lang w:val="es-ES_tradnl"/>
        </w:rPr>
        <w:t>,</w:t>
      </w:r>
      <w:r w:rsidRPr="00C904FA">
        <w:rPr>
          <w:lang w:val="es-ES_tradnl"/>
        </w:rPr>
        <w:t xml:space="preserve"> el Grupo de Trabajo de Obama ha favorecido, y lo continua haciendo, que se incluyan cuatro opciones en una futura consulta de estatus: “El Grupo de Trabajo recomienda que las opciones permisibles de estatus incluyan estadidad, independencia, libre asociación y estado libre asociado</w:t>
      </w:r>
      <w:r>
        <w:rPr>
          <w:lang w:val="es-ES_tradnl"/>
        </w:rPr>
        <w:t>”</w:t>
      </w:r>
      <w:r w:rsidRPr="00C904FA">
        <w:rPr>
          <w:lang w:val="es-ES_tradnl"/>
        </w:rPr>
        <w:t xml:space="preserve"> (Grupo de Trabajo, 2011, 4).</w:t>
      </w:r>
    </w:p>
    <w:p w:rsidR="00B015EE" w:rsidRPr="00C904FA" w:rsidRDefault="00B015EE" w:rsidP="00B015EE">
      <w:pPr>
        <w:rPr>
          <w:lang w:val="es-ES_tradnl"/>
        </w:rPr>
      </w:pPr>
      <w:r w:rsidRPr="00C904FA">
        <w:rPr>
          <w:lang w:val="es-ES_tradnl"/>
        </w:rPr>
        <w:t>Décadas de discusiones públicas y privadas, de consultas electorales, de cabildeo en Puerto Rico, de denuncias en Estados Unidos y en varios foros internacionales, no han logrado convencer al legislativo de la necesidad de enfrentarse al problema de que Puerto Rico aún no ha logrado desarrollar su democracia a plenitud</w:t>
      </w:r>
      <w:r>
        <w:rPr>
          <w:lang w:val="es-ES_tradnl"/>
        </w:rPr>
        <w:t>,</w:t>
      </w:r>
      <w:r w:rsidRPr="00C904FA">
        <w:rPr>
          <w:lang w:val="es-ES_tradnl"/>
        </w:rPr>
        <w:t xml:space="preserve"> ni han </w:t>
      </w:r>
      <w:r>
        <w:rPr>
          <w:lang w:val="es-ES_tradnl"/>
        </w:rPr>
        <w:t>impulsad</w:t>
      </w:r>
      <w:r w:rsidRPr="00C904FA">
        <w:rPr>
          <w:lang w:val="es-ES_tradnl"/>
        </w:rPr>
        <w:t xml:space="preserve">o a </w:t>
      </w:r>
      <w:r>
        <w:rPr>
          <w:lang w:val="es-ES_tradnl"/>
        </w:rPr>
        <w:t xml:space="preserve">la </w:t>
      </w:r>
      <w:r w:rsidRPr="00C904FA">
        <w:rPr>
          <w:lang w:val="es-ES_tradnl"/>
        </w:rPr>
        <w:t xml:space="preserve">Casa Blanca a moverse agresivamente a revisar el contenido de las relaciones políticas actuales. </w:t>
      </w:r>
    </w:p>
    <w:p w:rsidR="00B015EE" w:rsidRPr="00C904FA" w:rsidRDefault="00B015EE" w:rsidP="00B015EE">
      <w:pPr>
        <w:rPr>
          <w:lang w:val="es-ES_tradnl"/>
        </w:rPr>
      </w:pPr>
      <w:r w:rsidRPr="00C904FA">
        <w:rPr>
          <w:lang w:val="es-ES_tradnl"/>
        </w:rPr>
        <w:t>Los intentos de los creadores del ELA de perfeccionarlo</w:t>
      </w:r>
      <w:r>
        <w:rPr>
          <w:lang w:val="es-ES_tradnl"/>
        </w:rPr>
        <w:t>,</w:t>
      </w:r>
      <w:r w:rsidRPr="00C904FA">
        <w:rPr>
          <w:lang w:val="es-ES_tradnl"/>
        </w:rPr>
        <w:t xml:space="preserve"> en sintonía con el derecho internacional aplicable</w:t>
      </w:r>
      <w:r>
        <w:rPr>
          <w:lang w:val="es-ES_tradnl"/>
        </w:rPr>
        <w:t>,</w:t>
      </w:r>
      <w:r w:rsidRPr="00C904FA">
        <w:rPr>
          <w:lang w:val="es-ES_tradnl"/>
        </w:rPr>
        <w:t xml:space="preserve"> han fracasado (ONU, Resolución 748, 1953). Al mismo tiempo</w:t>
      </w:r>
      <w:r>
        <w:rPr>
          <w:lang w:val="es-ES_tradnl"/>
        </w:rPr>
        <w:t>,</w:t>
      </w:r>
      <w:r w:rsidRPr="00C904FA">
        <w:rPr>
          <w:lang w:val="es-ES_tradnl"/>
        </w:rPr>
        <w:t xml:space="preserve"> el proceso migratorio ha causado una transformación sustancial mediante la cual la mayoría de la población de descendencia puertorriqueña vive en los estados de </w:t>
      </w:r>
      <w:r>
        <w:rPr>
          <w:lang w:val="es-ES_tradnl"/>
        </w:rPr>
        <w:t>Estados Unidos</w:t>
      </w:r>
      <w:r w:rsidRPr="00C904FA">
        <w:rPr>
          <w:lang w:val="es-ES_tradnl"/>
        </w:rPr>
        <w:t xml:space="preserve"> (Duany, 2012). Algunos sectores de esa comunidad muestran interés en </w:t>
      </w:r>
      <w:r>
        <w:rPr>
          <w:lang w:val="es-ES_tradnl"/>
        </w:rPr>
        <w:t>que se les</w:t>
      </w:r>
      <w:r w:rsidRPr="00C904FA">
        <w:rPr>
          <w:lang w:val="es-ES_tradnl"/>
        </w:rPr>
        <w:t xml:space="preserve"> tom</w:t>
      </w:r>
      <w:r>
        <w:rPr>
          <w:lang w:val="es-ES_tradnl"/>
        </w:rPr>
        <w:t>e</w:t>
      </w:r>
      <w:r w:rsidRPr="00C904FA">
        <w:rPr>
          <w:lang w:val="es-ES_tradnl"/>
        </w:rPr>
        <w:t xml:space="preserve"> en cu</w:t>
      </w:r>
      <w:r>
        <w:rPr>
          <w:lang w:val="es-ES_tradnl"/>
        </w:rPr>
        <w:t>enta en un proceso potencial de</w:t>
      </w:r>
      <w:r w:rsidRPr="00C904FA">
        <w:rPr>
          <w:lang w:val="es-ES_tradnl"/>
        </w:rPr>
        <w:t xml:space="preserve"> cambio de estatus.</w:t>
      </w:r>
    </w:p>
    <w:p w:rsidR="00B015EE" w:rsidRPr="00C904FA" w:rsidRDefault="00B015EE" w:rsidP="00B015EE">
      <w:pPr>
        <w:rPr>
          <w:lang w:val="es-ES_tradnl"/>
        </w:rPr>
      </w:pPr>
      <w:r w:rsidRPr="00C904FA">
        <w:rPr>
          <w:lang w:val="es-ES_tradnl"/>
        </w:rPr>
        <w:t>Se puede entrever, de otro modo, frustración entre algunos líderes</w:t>
      </w:r>
      <w:r>
        <w:rPr>
          <w:lang w:val="es-ES_tradnl"/>
        </w:rPr>
        <w:t xml:space="preserve"> del legislativo estadounidense</w:t>
      </w:r>
      <w:r w:rsidRPr="00C904FA">
        <w:rPr>
          <w:lang w:val="es-ES_tradnl"/>
        </w:rPr>
        <w:t xml:space="preserve"> </w:t>
      </w:r>
      <w:r w:rsidRPr="008B456C">
        <w:t>—</w:t>
      </w:r>
      <w:r w:rsidRPr="00C904FA">
        <w:rPr>
          <w:lang w:val="es-ES_tradnl"/>
        </w:rPr>
        <w:t>principalmente aquellos identificados con el Partido Demócrata</w:t>
      </w:r>
      <w:r w:rsidRPr="008B456C">
        <w:t>—</w:t>
      </w:r>
      <w:r w:rsidRPr="00C904FA">
        <w:rPr>
          <w:lang w:val="es-ES_tradnl"/>
        </w:rPr>
        <w:t xml:space="preserve"> que empiezan a reconocer que el tema de Puerto Rico, en la medida en que se mantienen altos niveles de pobreza y dependencia, pudiera</w:t>
      </w:r>
      <w:r>
        <w:rPr>
          <w:lang w:val="es-ES_tradnl"/>
        </w:rPr>
        <w:t xml:space="preserve"> </w:t>
      </w:r>
      <w:r w:rsidRPr="00C904FA">
        <w:rPr>
          <w:lang w:val="es-ES_tradnl"/>
        </w:rPr>
        <w:t>empezar a ser una fuente de desprestigio internacio</w:t>
      </w:r>
      <w:r>
        <w:rPr>
          <w:lang w:val="es-ES_tradnl"/>
        </w:rPr>
        <w:t>nal. Las expresiones del p</w:t>
      </w:r>
      <w:r w:rsidRPr="00C904FA">
        <w:rPr>
          <w:lang w:val="es-ES_tradnl"/>
        </w:rPr>
        <w:t>residente de la Comisión de Recursos Naturales del Senado, Ron Wyden (D-Or</w:t>
      </w:r>
      <w:r>
        <w:rPr>
          <w:lang w:val="es-ES_tradnl"/>
        </w:rPr>
        <w:t>.</w:t>
      </w:r>
      <w:r w:rsidRPr="00C904FA">
        <w:rPr>
          <w:lang w:val="es-ES_tradnl"/>
        </w:rPr>
        <w:t>)</w:t>
      </w:r>
      <w:r>
        <w:rPr>
          <w:lang w:val="es-ES_tradnl"/>
        </w:rPr>
        <w:t>,</w:t>
      </w:r>
      <w:r w:rsidRPr="00C904FA">
        <w:rPr>
          <w:lang w:val="es-ES_tradnl"/>
        </w:rPr>
        <w:t xml:space="preserve"> en unas vistas recientes en el Comité de Energía y Recursos Naturales del Senado, ilustran esta tendencia:</w:t>
      </w:r>
    </w:p>
    <w:p w:rsidR="00B015EE" w:rsidRPr="00E929D6" w:rsidRDefault="00B015EE" w:rsidP="00B015EE">
      <w:pPr>
        <w:widowControl w:val="0"/>
        <w:autoSpaceDE w:val="0"/>
        <w:autoSpaceDN w:val="0"/>
        <w:spacing w:line="240" w:lineRule="auto"/>
        <w:ind w:left="360" w:firstLine="360"/>
        <w:rPr>
          <w:rFonts w:eastAsia="Times New Roman"/>
          <w:sz w:val="16"/>
          <w:szCs w:val="24"/>
          <w:lang w:val="es-ES_tradnl"/>
        </w:rPr>
      </w:pPr>
    </w:p>
    <w:p w:rsidR="00B015EE" w:rsidRDefault="00B015EE" w:rsidP="00B015EE">
      <w:pPr>
        <w:widowControl w:val="0"/>
        <w:autoSpaceDE w:val="0"/>
        <w:autoSpaceDN w:val="0"/>
        <w:spacing w:line="240" w:lineRule="auto"/>
        <w:ind w:left="720" w:firstLine="0"/>
        <w:rPr>
          <w:rFonts w:eastAsia="Times New Roman"/>
          <w:szCs w:val="24"/>
          <w:lang w:val="en-US"/>
        </w:rPr>
      </w:pPr>
      <w:r w:rsidRPr="00E078A7">
        <w:rPr>
          <w:rFonts w:eastAsia="Times New Roman"/>
          <w:szCs w:val="24"/>
          <w:lang w:val="en-US"/>
        </w:rPr>
        <w:t xml:space="preserve">Puerto Rico faces huge economic and social challenges. </w:t>
      </w:r>
      <w:r w:rsidRPr="00E078A7">
        <w:rPr>
          <w:rFonts w:cs="Arial"/>
          <w:color w:val="000000"/>
          <w:szCs w:val="24"/>
          <w:lang w:val="en-US"/>
        </w:rPr>
        <w:t>Per capita income is stuck at about half that of the poorest U.S. state and the violent crime rate is well above the national average, and rising.</w:t>
      </w:r>
    </w:p>
    <w:p w:rsidR="00B015EE" w:rsidRDefault="00B015EE" w:rsidP="00B015EE">
      <w:pPr>
        <w:widowControl w:val="0"/>
        <w:autoSpaceDE w:val="0"/>
        <w:autoSpaceDN w:val="0"/>
        <w:spacing w:line="240" w:lineRule="auto"/>
        <w:ind w:left="720" w:firstLine="0"/>
        <w:rPr>
          <w:rFonts w:eastAsia="Times New Roman"/>
          <w:szCs w:val="24"/>
          <w:lang w:val="en-US"/>
        </w:rPr>
      </w:pPr>
    </w:p>
    <w:p w:rsidR="00B015EE" w:rsidRPr="00E078A7" w:rsidRDefault="00B015EE" w:rsidP="00B015EE">
      <w:pPr>
        <w:widowControl w:val="0"/>
        <w:autoSpaceDE w:val="0"/>
        <w:autoSpaceDN w:val="0"/>
        <w:spacing w:line="240" w:lineRule="auto"/>
        <w:ind w:left="720" w:firstLine="0"/>
        <w:rPr>
          <w:rFonts w:eastAsia="Times New Roman"/>
          <w:szCs w:val="24"/>
          <w:lang w:val="en-US"/>
        </w:rPr>
      </w:pPr>
      <w:r w:rsidRPr="00E078A7">
        <w:rPr>
          <w:rFonts w:eastAsia="Times New Roman"/>
          <w:szCs w:val="24"/>
          <w:lang w:val="en-US"/>
        </w:rPr>
        <w:t>The lack of resolution of Puerto Rico’s status not only distracts from addressing these and other issues, it contributes to them.</w:t>
      </w:r>
    </w:p>
    <w:p w:rsidR="00B015EE" w:rsidRPr="005B5FEE" w:rsidRDefault="00B015EE" w:rsidP="00B015EE">
      <w:pPr>
        <w:widowControl w:val="0"/>
        <w:autoSpaceDE w:val="0"/>
        <w:autoSpaceDN w:val="0"/>
        <w:spacing w:line="240" w:lineRule="auto"/>
        <w:ind w:left="720" w:firstLine="0"/>
        <w:rPr>
          <w:rFonts w:eastAsia="Times New Roman"/>
          <w:szCs w:val="24"/>
          <w:lang w:val="en-US"/>
        </w:rPr>
      </w:pPr>
    </w:p>
    <w:p w:rsidR="00B015EE" w:rsidRPr="0095547C" w:rsidRDefault="00B015EE" w:rsidP="00B015EE">
      <w:pPr>
        <w:widowControl w:val="0"/>
        <w:autoSpaceDE w:val="0"/>
        <w:autoSpaceDN w:val="0"/>
        <w:spacing w:line="240" w:lineRule="auto"/>
        <w:ind w:left="720" w:firstLine="0"/>
        <w:rPr>
          <w:rFonts w:eastAsia="Times New Roman"/>
          <w:szCs w:val="24"/>
        </w:rPr>
      </w:pPr>
      <w:r w:rsidRPr="005B5FEE">
        <w:rPr>
          <w:rFonts w:eastAsia="Times New Roman"/>
          <w:szCs w:val="24"/>
          <w:lang w:val="en-US"/>
        </w:rPr>
        <w:t>As the most recent reports from the President’s Task Force on Puerto Rico’s status found</w:t>
      </w:r>
      <w:r>
        <w:rPr>
          <w:rFonts w:eastAsia="Times New Roman"/>
          <w:szCs w:val="24"/>
          <w:lang w:val="en-US"/>
        </w:rPr>
        <w:t>,</w:t>
      </w:r>
      <w:r w:rsidRPr="005B5FEE">
        <w:rPr>
          <w:rFonts w:eastAsia="Times New Roman"/>
          <w:szCs w:val="24"/>
          <w:lang w:val="en-US"/>
        </w:rPr>
        <w:t xml:space="preserve"> </w:t>
      </w:r>
      <w:r>
        <w:rPr>
          <w:rFonts w:eastAsia="Times New Roman"/>
          <w:szCs w:val="24"/>
          <w:lang w:val="en-US"/>
        </w:rPr>
        <w:t>‘</w:t>
      </w:r>
      <w:r w:rsidRPr="005B5FEE">
        <w:rPr>
          <w:rFonts w:eastAsia="Times New Roman"/>
          <w:szCs w:val="24"/>
          <w:lang w:val="en-US"/>
        </w:rPr>
        <w:t>identifying the most effective means of assisting the Puerto Rican economy depends on resolving the ultimate question of status</w:t>
      </w:r>
      <w:r>
        <w:rPr>
          <w:rFonts w:eastAsia="Times New Roman"/>
          <w:szCs w:val="24"/>
          <w:lang w:val="en-US"/>
        </w:rPr>
        <w:t xml:space="preserve">.’ </w:t>
      </w:r>
      <w:r w:rsidRPr="0095547C">
        <w:rPr>
          <w:rFonts w:eastAsia="Times New Roman"/>
          <w:szCs w:val="24"/>
        </w:rPr>
        <w:t>(U.S. Senate Hearings, 2013)</w:t>
      </w:r>
    </w:p>
    <w:p w:rsidR="00B015EE" w:rsidRDefault="00B015EE" w:rsidP="00B015EE">
      <w:pPr>
        <w:spacing w:line="360" w:lineRule="auto"/>
      </w:pPr>
    </w:p>
    <w:p w:rsidR="00B015EE" w:rsidRPr="00C904FA" w:rsidRDefault="00B015EE" w:rsidP="00B015EE">
      <w:pPr>
        <w:rPr>
          <w:lang w:val="es-ES_tradnl"/>
        </w:rPr>
      </w:pPr>
      <w:r w:rsidRPr="00C904FA">
        <w:rPr>
          <w:lang w:val="es-ES_tradnl"/>
        </w:rPr>
        <w:t>Sería un error, sin embargo, dejar de contextualizar estas expresiones viendo en ellas el preludio de una acción inminente o decisiva por parte del Congreso. La estructura política es compleja y fragmentada</w:t>
      </w:r>
      <w:r>
        <w:rPr>
          <w:lang w:val="es-ES_tradnl"/>
        </w:rPr>
        <w:t>,</w:t>
      </w:r>
      <w:r w:rsidRPr="00C904FA">
        <w:rPr>
          <w:lang w:val="es-ES_tradnl"/>
        </w:rPr>
        <w:t xml:space="preserve"> y la expresión de un líder legislativo rara vez captura la posición institucional del Congreso, especialmente en el Senado</w:t>
      </w:r>
      <w:r>
        <w:rPr>
          <w:lang w:val="es-ES_tradnl"/>
        </w:rPr>
        <w:t>,</w:t>
      </w:r>
      <w:r w:rsidRPr="00C904FA">
        <w:rPr>
          <w:lang w:val="es-ES_tradnl"/>
        </w:rPr>
        <w:t xml:space="preserve"> en donde existen tantos mecanismos reglamentarios para proteger los criterios individuales de lo</w:t>
      </w:r>
      <w:r>
        <w:rPr>
          <w:lang w:val="es-ES_tradnl"/>
        </w:rPr>
        <w:t>s senadores. La posición de un p</w:t>
      </w:r>
      <w:r w:rsidRPr="00C904FA">
        <w:rPr>
          <w:lang w:val="es-ES_tradnl"/>
        </w:rPr>
        <w:t>residente de un Comité en el Senado de Estados Unidos, como veremos, es s</w:t>
      </w:r>
      <w:r>
        <w:rPr>
          <w:lang w:val="es-ES_tradnl"/>
        </w:rPr>
        <w:t>o</w:t>
      </w:r>
      <w:r w:rsidRPr="00C904FA">
        <w:rPr>
          <w:lang w:val="es-ES_tradnl"/>
        </w:rPr>
        <w:t>lo una pieza de un engranaje institucionalmente complejo y crecientemente polarizado (Mann, Ornstein, 2008).</w:t>
      </w:r>
    </w:p>
    <w:p w:rsidR="00B015EE" w:rsidRPr="0095547C" w:rsidRDefault="00B015EE" w:rsidP="00B015EE">
      <w:pPr>
        <w:rPr>
          <w:lang w:val="en-US"/>
        </w:rPr>
      </w:pPr>
      <w:r>
        <w:rPr>
          <w:lang w:val="es-ES_tradnl"/>
        </w:rPr>
        <w:t>A</w:t>
      </w:r>
      <w:r w:rsidRPr="00C904FA">
        <w:rPr>
          <w:lang w:val="es-ES_tradnl"/>
        </w:rPr>
        <w:t xml:space="preserve">demás, </w:t>
      </w:r>
      <w:r>
        <w:rPr>
          <w:lang w:val="es-ES_tradnl"/>
        </w:rPr>
        <w:t>e</w:t>
      </w:r>
      <w:r w:rsidRPr="00C904FA">
        <w:rPr>
          <w:lang w:val="es-ES_tradnl"/>
        </w:rPr>
        <w:t xml:space="preserve">l Congreso no actúa aislado de otras fuentes de poder e influencia que definen cursos de acción en materias que influyen las relaciones de Estados Unidos en el plano interamericano (Pantojas 2013). Las dificultades que enfrenta </w:t>
      </w:r>
      <w:r>
        <w:rPr>
          <w:lang w:val="es-ES_tradnl"/>
        </w:rPr>
        <w:t>la cuestión</w:t>
      </w:r>
      <w:r w:rsidRPr="00C904FA">
        <w:rPr>
          <w:lang w:val="es-ES_tradnl"/>
        </w:rPr>
        <w:t xml:space="preserve"> de Puerto Rico en el Congreso se puede observar en el alto número de esfuerzos fallidos por atender</w:t>
      </w:r>
      <w:r>
        <w:rPr>
          <w:lang w:val="es-ES_tradnl"/>
        </w:rPr>
        <w:t>lo</w:t>
      </w:r>
      <w:r w:rsidRPr="00C904FA">
        <w:rPr>
          <w:lang w:val="es-ES_tradnl"/>
        </w:rPr>
        <w:t xml:space="preserve">: “Going back just to the 1970’s, at least 40 separate measures have been introduced in Congress to resolve or clarify Puerto Rico political status. </w:t>
      </w:r>
      <w:r w:rsidRPr="0095547C">
        <w:rPr>
          <w:lang w:val="en-US"/>
        </w:rPr>
        <w:t>In addition, Congress has held at least 12 hearings and four measures have received either House or Senate” (</w:t>
      </w:r>
      <w:r>
        <w:rPr>
          <w:lang w:val="en-US"/>
        </w:rPr>
        <w:t xml:space="preserve">Natural Resources Committee, </w:t>
      </w:r>
      <w:r w:rsidRPr="0095547C">
        <w:rPr>
          <w:lang w:val="en-US"/>
        </w:rPr>
        <w:t>Testimony of Nick J. Rahall, II, 2009, 3).</w:t>
      </w:r>
    </w:p>
    <w:p w:rsidR="00B015EE" w:rsidRPr="00C904FA" w:rsidRDefault="00B015EE" w:rsidP="00B015EE">
      <w:pPr>
        <w:rPr>
          <w:lang w:val="es-ES_tradnl"/>
        </w:rPr>
      </w:pPr>
      <w:r w:rsidRPr="00C904FA">
        <w:rPr>
          <w:lang w:val="es-ES_tradnl"/>
        </w:rPr>
        <w:t>Es muy difícil pronosticar la acción de un cuerpo tan numeroso y heterogéneo a base de la expresión de algunos de sus líderes. Lo cierto es que el Senado de Estados Unidos ha rechazado pasivamente varias ofertas de acción congresional en la pasada década. En el 1998, por ejemplo, el Senado se negó a aprobar el HR 856 presentado por el representante Don Young de Alaska (llamado “Proyecto Young”</w:t>
      </w:r>
      <w:r>
        <w:rPr>
          <w:lang w:val="es-ES_tradnl"/>
        </w:rPr>
        <w:t xml:space="preserve"> </w:t>
      </w:r>
      <w:r w:rsidRPr="00C904FA">
        <w:rPr>
          <w:lang w:val="es-ES_tradnl"/>
        </w:rPr>
        <w:t xml:space="preserve">en Puerto Rico) que definía una ruta muy favorable para la estadidad y que le daba al Gobierno de Estados Unidos un término máximo de </w:t>
      </w:r>
      <w:r>
        <w:rPr>
          <w:lang w:val="es-ES_tradnl"/>
        </w:rPr>
        <w:t>diez</w:t>
      </w:r>
      <w:r w:rsidRPr="00C904FA">
        <w:rPr>
          <w:lang w:val="es-ES_tradnl"/>
        </w:rPr>
        <w:t xml:space="preserve"> años para </w:t>
      </w:r>
      <w:r>
        <w:rPr>
          <w:lang w:val="es-ES_tradnl"/>
        </w:rPr>
        <w:t>hace</w:t>
      </w:r>
      <w:r w:rsidRPr="00C904FA">
        <w:rPr>
          <w:lang w:val="es-ES_tradnl"/>
        </w:rPr>
        <w:t xml:space="preserve">r esa transición. </w:t>
      </w:r>
    </w:p>
    <w:p w:rsidR="00B015EE" w:rsidRPr="00C904FA" w:rsidRDefault="00B015EE" w:rsidP="00B015EE">
      <w:pPr>
        <w:rPr>
          <w:lang w:val="es-ES_tradnl"/>
        </w:rPr>
      </w:pPr>
      <w:r w:rsidRPr="00C904FA">
        <w:rPr>
          <w:lang w:val="es-ES_tradnl"/>
        </w:rPr>
        <w:t>Más recientemente</w:t>
      </w:r>
      <w:r>
        <w:rPr>
          <w:lang w:val="es-ES_tradnl"/>
        </w:rPr>
        <w:t>,</w:t>
      </w:r>
      <w:r w:rsidRPr="00C904FA">
        <w:rPr>
          <w:lang w:val="es-ES_tradnl"/>
        </w:rPr>
        <w:t xml:space="preserve"> el Senado también se negó de forma tajante a considerar una legislación (HR 2499) que hubiese propiciado un proceso de alteración en el estatus y que incluía prominentemente la estadidad como una de las opciones (</w:t>
      </w:r>
      <w:r>
        <w:rPr>
          <w:lang w:val="es-ES_tradnl"/>
        </w:rPr>
        <w:t xml:space="preserve">Committee of Natural Resources, </w:t>
      </w:r>
      <w:r w:rsidRPr="00C904FA">
        <w:rPr>
          <w:i/>
          <w:lang w:val="es-ES_tradnl"/>
        </w:rPr>
        <w:t>HR 2499 Hearings</w:t>
      </w:r>
      <w:r w:rsidRPr="00C904FA">
        <w:rPr>
          <w:lang w:val="es-ES_tradnl"/>
        </w:rPr>
        <w:t>, 2009). Esta reciente negativa es significativa</w:t>
      </w:r>
      <w:r>
        <w:rPr>
          <w:lang w:val="es-ES_tradnl"/>
        </w:rPr>
        <w:t>, por cuanto se produjo au</w:t>
      </w:r>
      <w:r w:rsidRPr="00C904FA">
        <w:rPr>
          <w:lang w:val="es-ES_tradnl"/>
        </w:rPr>
        <w:t>n luego de que se enmendara dicho proyecto para incorporar la opción del ELA en todas las fases del</w:t>
      </w:r>
      <w:r>
        <w:rPr>
          <w:lang w:val="es-ES_tradnl"/>
        </w:rPr>
        <w:t xml:space="preserve"> </w:t>
      </w:r>
      <w:r w:rsidRPr="00C904FA">
        <w:rPr>
          <w:lang w:val="es-ES_tradnl"/>
        </w:rPr>
        <w:t>proceso de votación. Algunos análisis de sectores de la prensa conservadora de Esta</w:t>
      </w:r>
      <w:r>
        <w:rPr>
          <w:lang w:val="es-ES_tradnl"/>
        </w:rPr>
        <w:t xml:space="preserve">dos Unidos fueron muy críticos </w:t>
      </w:r>
      <w:r w:rsidRPr="00C904FA">
        <w:rPr>
          <w:lang w:val="es-ES_tradnl"/>
        </w:rPr>
        <w:t>de dicha legislación (McAlpin, 2009).</w:t>
      </w:r>
    </w:p>
    <w:p w:rsidR="00B015EE" w:rsidRPr="00C904FA" w:rsidRDefault="00B015EE" w:rsidP="00B015EE">
      <w:pPr>
        <w:rPr>
          <w:lang w:val="es-ES_tradnl"/>
        </w:rPr>
      </w:pPr>
      <w:r w:rsidRPr="00C904FA">
        <w:rPr>
          <w:lang w:val="es-ES_tradnl"/>
        </w:rPr>
        <w:t>El Senado no considera el tema del estatus político de forma abarcadora desde 1991 y las expresiones del senador Wyden tampoco deben anticipar acción inminente. De cualquier forma</w:t>
      </w:r>
      <w:r>
        <w:rPr>
          <w:lang w:val="es-ES_tradnl"/>
        </w:rPr>
        <w:t>,</w:t>
      </w:r>
      <w:r w:rsidRPr="00C904FA">
        <w:rPr>
          <w:lang w:val="es-ES_tradnl"/>
        </w:rPr>
        <w:t xml:space="preserve"> la conversación en el Congreso en el último año, hasta donde </w:t>
      </w:r>
      <w:r>
        <w:rPr>
          <w:lang w:val="es-ES_tradnl"/>
        </w:rPr>
        <w:t xml:space="preserve">existe, se ha concentrado </w:t>
      </w:r>
      <w:r w:rsidRPr="00C904FA">
        <w:rPr>
          <w:lang w:val="es-ES_tradnl"/>
        </w:rPr>
        <w:t>en el tema de la estadidad</w:t>
      </w:r>
      <w:r>
        <w:rPr>
          <w:lang w:val="es-ES_tradnl"/>
        </w:rPr>
        <w:t>,</w:t>
      </w:r>
      <w:r w:rsidRPr="00C904FA">
        <w:rPr>
          <w:lang w:val="es-ES_tradnl"/>
        </w:rPr>
        <w:t xml:space="preserve"> en vista de la radicación del proyecto HR 2000 (HR 2000, 2012). </w:t>
      </w:r>
    </w:p>
    <w:p w:rsidR="00B015EE" w:rsidRPr="00C904FA" w:rsidRDefault="00B015EE" w:rsidP="00B015EE">
      <w:pPr>
        <w:widowControl w:val="0"/>
        <w:autoSpaceDE w:val="0"/>
        <w:autoSpaceDN w:val="0"/>
        <w:spacing w:line="240" w:lineRule="auto"/>
        <w:ind w:firstLine="0"/>
        <w:rPr>
          <w:rFonts w:eastAsia="Times New Roman"/>
          <w:b/>
          <w:szCs w:val="24"/>
          <w:lang w:val="es-ES_tradnl"/>
        </w:rPr>
      </w:pPr>
    </w:p>
    <w:p w:rsidR="00B015EE" w:rsidRPr="00C904FA" w:rsidRDefault="00B015EE" w:rsidP="00B015EE">
      <w:pPr>
        <w:pStyle w:val="Heading2"/>
        <w:ind w:left="426" w:hanging="426"/>
        <w:jc w:val="both"/>
        <w:rPr>
          <w:lang w:val="es-ES_tradnl"/>
        </w:rPr>
      </w:pPr>
      <w:bookmarkStart w:id="15" w:name="_Toc384769717"/>
      <w:r w:rsidRPr="00C904FA">
        <w:rPr>
          <w:lang w:val="es-ES_tradnl"/>
        </w:rPr>
        <w:t>El plebiscito de 2012</w:t>
      </w:r>
      <w:bookmarkEnd w:id="15"/>
      <w:r w:rsidRPr="00C904FA">
        <w:rPr>
          <w:lang w:val="es-ES_tradnl"/>
        </w:rPr>
        <w:t xml:space="preserve"> </w:t>
      </w:r>
    </w:p>
    <w:p w:rsidR="00B015EE" w:rsidRDefault="00B015EE" w:rsidP="00B015EE">
      <w:pPr>
        <w:spacing w:line="360" w:lineRule="auto"/>
        <w:rPr>
          <w:lang w:val="es-ES_tradnl"/>
        </w:rPr>
      </w:pPr>
    </w:p>
    <w:p w:rsidR="00B015EE" w:rsidRPr="00C904FA" w:rsidRDefault="00B015EE" w:rsidP="00B015EE">
      <w:pPr>
        <w:rPr>
          <w:lang w:val="es-ES_tradnl"/>
        </w:rPr>
      </w:pPr>
      <w:r w:rsidRPr="00C904FA">
        <w:rPr>
          <w:lang w:val="es-ES_tradnl"/>
        </w:rPr>
        <w:t>Una consulta sobre las opciones de estatus político celebrad</w:t>
      </w:r>
      <w:r>
        <w:rPr>
          <w:lang w:val="es-ES_tradnl"/>
        </w:rPr>
        <w:t>a</w:t>
      </w:r>
      <w:r w:rsidRPr="00C904FA">
        <w:rPr>
          <w:lang w:val="es-ES_tradnl"/>
        </w:rPr>
        <w:t xml:space="preserve"> en noviembre de 2012</w:t>
      </w:r>
      <w:r>
        <w:rPr>
          <w:lang w:val="es-ES_tradnl"/>
        </w:rPr>
        <w:t>, junto con e</w:t>
      </w:r>
      <w:r w:rsidRPr="00C904FA">
        <w:rPr>
          <w:lang w:val="es-ES_tradnl"/>
        </w:rPr>
        <w:t>l proceso electoral para la elección del gobierno insular, ha sido</w:t>
      </w:r>
      <w:r>
        <w:rPr>
          <w:lang w:val="es-ES_tradnl"/>
        </w:rPr>
        <w:t xml:space="preserve"> </w:t>
      </w:r>
      <w:r>
        <w:t>—</w:t>
      </w:r>
      <w:r w:rsidRPr="00C904FA">
        <w:rPr>
          <w:lang w:val="es-ES_tradnl"/>
        </w:rPr>
        <w:t>hasta ahora</w:t>
      </w:r>
      <w:r>
        <w:t>—</w:t>
      </w:r>
      <w:r w:rsidRPr="00C904FA">
        <w:rPr>
          <w:lang w:val="es-ES_tradnl"/>
        </w:rPr>
        <w:t xml:space="preserve"> el punto de partida de la nueva ronda de conversaciones sobre el estatus político. Esta fue la tercera consulta sobre preferencias de estatus que se </w:t>
      </w:r>
      <w:r>
        <w:rPr>
          <w:lang w:val="es-ES_tradnl"/>
        </w:rPr>
        <w:t>celebr</w:t>
      </w:r>
      <w:r w:rsidRPr="00C904FA">
        <w:rPr>
          <w:lang w:val="es-ES_tradnl"/>
        </w:rPr>
        <w:t xml:space="preserve">a en la Isla (Cotto Serrano, 2013). </w:t>
      </w:r>
    </w:p>
    <w:p w:rsidR="00B015EE" w:rsidRPr="00C904FA" w:rsidRDefault="00B015EE" w:rsidP="00B015EE">
      <w:pPr>
        <w:rPr>
          <w:lang w:val="es-ES_tradnl"/>
        </w:rPr>
      </w:pPr>
      <w:r w:rsidRPr="00C904FA">
        <w:rPr>
          <w:lang w:val="es-ES_tradnl"/>
        </w:rPr>
        <w:t xml:space="preserve">Esta consulta se realizó luego de que fracasara un proyecto de ley radicado por el </w:t>
      </w:r>
      <w:r>
        <w:rPr>
          <w:lang w:val="es-ES_tradnl"/>
        </w:rPr>
        <w:t xml:space="preserve">comisionado residente </w:t>
      </w:r>
      <w:r w:rsidRPr="00C904FA">
        <w:rPr>
          <w:lang w:val="es-ES_tradnl"/>
        </w:rPr>
        <w:t>de Puerto Rico</w:t>
      </w:r>
      <w:r>
        <w:rPr>
          <w:lang w:val="es-ES_tradnl"/>
        </w:rPr>
        <w:t>,</w:t>
      </w:r>
      <w:r w:rsidRPr="00C904FA">
        <w:rPr>
          <w:lang w:val="es-ES_tradnl"/>
        </w:rPr>
        <w:t xml:space="preserve"> que h</w:t>
      </w:r>
      <w:r>
        <w:rPr>
          <w:lang w:val="es-ES_tradnl"/>
        </w:rPr>
        <w:t>abrí</w:t>
      </w:r>
      <w:r w:rsidRPr="00C904FA">
        <w:rPr>
          <w:lang w:val="es-ES_tradnl"/>
        </w:rPr>
        <w:t>a ordenado la celebración de un plebiscito con el aval del legislativo estadounidense (HR 2499). Dicho</w:t>
      </w:r>
      <w:r>
        <w:rPr>
          <w:lang w:val="es-ES_tradnl"/>
        </w:rPr>
        <w:t xml:space="preserve"> </w:t>
      </w:r>
      <w:r w:rsidRPr="00C904FA">
        <w:rPr>
          <w:lang w:val="es-ES_tradnl"/>
        </w:rPr>
        <w:t>proyecto fue aprobado en la Cámara de Representantes federal el 29 de abril de 2010, con una amplio margen de 223 a favor y 169 en contra</w:t>
      </w:r>
      <w:r>
        <w:rPr>
          <w:lang w:val="es-ES_tradnl"/>
        </w:rPr>
        <w:t>;</w:t>
      </w:r>
      <w:r w:rsidRPr="00C904FA">
        <w:rPr>
          <w:lang w:val="es-ES_tradnl"/>
        </w:rPr>
        <w:t xml:space="preserve"> no obstante</w:t>
      </w:r>
      <w:r>
        <w:rPr>
          <w:lang w:val="es-ES_tradnl"/>
        </w:rPr>
        <w:t>,</w:t>
      </w:r>
      <w:r w:rsidRPr="00C904FA">
        <w:rPr>
          <w:lang w:val="es-ES_tradnl"/>
        </w:rPr>
        <w:t xml:space="preserve"> fue engavetado en el Senado de Estados Unidos (</w:t>
      </w:r>
      <w:r>
        <w:rPr>
          <w:lang w:val="es-ES_tradnl"/>
        </w:rPr>
        <w:t xml:space="preserve">Garret, </w:t>
      </w:r>
      <w:r w:rsidRPr="00C904FA">
        <w:rPr>
          <w:lang w:val="es-ES_tradnl"/>
        </w:rPr>
        <w:t>CRS, 2011, 7).</w:t>
      </w:r>
    </w:p>
    <w:p w:rsidR="00B015EE" w:rsidRPr="00C904FA" w:rsidRDefault="00B015EE" w:rsidP="00B015EE">
      <w:pPr>
        <w:rPr>
          <w:lang w:val="es-ES_tradnl"/>
        </w:rPr>
      </w:pPr>
      <w:r w:rsidRPr="00C904FA">
        <w:rPr>
          <w:lang w:val="es-ES_tradnl"/>
        </w:rPr>
        <w:t xml:space="preserve">Aunque no se aprobó, la discusión del HR 2499 sirvió para impulsar el debate sobre cuáles debían ser los mecanismos procesales para </w:t>
      </w:r>
      <w:r>
        <w:rPr>
          <w:lang w:val="es-ES_tradnl"/>
        </w:rPr>
        <w:t>hace</w:t>
      </w:r>
      <w:r w:rsidRPr="00C904FA">
        <w:rPr>
          <w:lang w:val="es-ES_tradnl"/>
        </w:rPr>
        <w:t>r un cambio en l</w:t>
      </w:r>
      <w:r>
        <w:rPr>
          <w:lang w:val="es-ES_tradnl"/>
        </w:rPr>
        <w:t>a relación política actual. El i</w:t>
      </w:r>
      <w:r w:rsidRPr="00C904FA">
        <w:rPr>
          <w:lang w:val="es-ES_tradnl"/>
        </w:rPr>
        <w:t xml:space="preserve">nforme del </w:t>
      </w:r>
      <w:r w:rsidRPr="00C904FA">
        <w:rPr>
          <w:i/>
          <w:lang w:val="es-ES_tradnl"/>
        </w:rPr>
        <w:t>Congressional Research Office</w:t>
      </w:r>
      <w:r w:rsidRPr="00C904FA">
        <w:rPr>
          <w:lang w:val="es-ES_tradnl"/>
        </w:rPr>
        <w:t xml:space="preserve"> describe el debate en los siguientes términos: </w:t>
      </w:r>
    </w:p>
    <w:p w:rsidR="00B015EE" w:rsidRPr="00C904FA" w:rsidRDefault="00B015EE" w:rsidP="00B015EE">
      <w:pPr>
        <w:widowControl w:val="0"/>
        <w:autoSpaceDE w:val="0"/>
        <w:autoSpaceDN w:val="0"/>
        <w:spacing w:line="240" w:lineRule="auto"/>
        <w:ind w:left="357" w:firstLine="357"/>
        <w:rPr>
          <w:rFonts w:eastAsia="Times New Roman"/>
          <w:szCs w:val="24"/>
          <w:lang w:val="es-ES_tradnl"/>
        </w:rPr>
      </w:pPr>
    </w:p>
    <w:p w:rsidR="00B015EE" w:rsidRPr="0095547C" w:rsidRDefault="00B015EE" w:rsidP="00B015EE">
      <w:pPr>
        <w:widowControl w:val="0"/>
        <w:autoSpaceDE w:val="0"/>
        <w:autoSpaceDN w:val="0"/>
        <w:spacing w:line="240" w:lineRule="auto"/>
        <w:ind w:left="720" w:firstLine="0"/>
        <w:rPr>
          <w:rFonts w:eastAsia="Times New Roman"/>
          <w:szCs w:val="24"/>
        </w:rPr>
      </w:pPr>
      <w:r w:rsidRPr="00C904FA">
        <w:rPr>
          <w:rFonts w:eastAsia="Times New Roman"/>
          <w:szCs w:val="24"/>
          <w:lang w:val="en-US"/>
        </w:rPr>
        <w:t xml:space="preserve">Plebiscites necessarily include pre-determined questions and answers (i.e., only the options listed on the ballot). Others advocated an alternative approach; most recently, H.R. 1230 (Velázquez) in the 110th Congress would have authorized establishment of a constitutional convention without preconditions on the issues to be considered or the options to be proposed. The plebiscite approach arguably is a more efficient way to ascertain the electorate’s views on specific questions, but plebiscites do not allow for modification of the questions presented. By contrast, conventions have the potential advantage of allowing for wide-ranging debate and consideration of alternatives. Convention delegates are elected to represent popular will and might or might not be able to reach a politically viable or constitutionally valid status choice…. </w:t>
      </w:r>
      <w:r w:rsidRPr="0095547C">
        <w:rPr>
          <w:rFonts w:eastAsia="Times New Roman"/>
          <w:szCs w:val="24"/>
        </w:rPr>
        <w:t>(</w:t>
      </w:r>
      <w:r>
        <w:rPr>
          <w:rFonts w:eastAsia="Times New Roman"/>
          <w:szCs w:val="24"/>
        </w:rPr>
        <w:t xml:space="preserve">Garret, </w:t>
      </w:r>
      <w:r w:rsidRPr="0095547C">
        <w:rPr>
          <w:rFonts w:eastAsia="Times New Roman"/>
          <w:szCs w:val="24"/>
        </w:rPr>
        <w:t>CRS 2011)</w:t>
      </w:r>
    </w:p>
    <w:p w:rsidR="00B015EE" w:rsidRDefault="00B015EE" w:rsidP="00B015EE"/>
    <w:p w:rsidR="00B015EE" w:rsidRPr="00C904FA" w:rsidRDefault="00B015EE" w:rsidP="00B015EE">
      <w:pPr>
        <w:rPr>
          <w:lang w:val="es-ES_tradnl"/>
        </w:rPr>
      </w:pPr>
      <w:r w:rsidRPr="00C904FA">
        <w:rPr>
          <w:lang w:val="es-ES_tradnl"/>
        </w:rPr>
        <w:t>En ese proceso de votación del 2012</w:t>
      </w:r>
      <w:r>
        <w:rPr>
          <w:lang w:val="es-ES_tradnl"/>
        </w:rPr>
        <w:t>, por primera vez, un 54% (970,</w:t>
      </w:r>
      <w:r w:rsidRPr="00C904FA">
        <w:rPr>
          <w:lang w:val="es-ES_tradnl"/>
        </w:rPr>
        <w:t>910) de los electores votó en contra de “continuar la relación política territorial actual”, contestando a u</w:t>
      </w:r>
      <w:r>
        <w:rPr>
          <w:lang w:val="es-ES_tradnl"/>
        </w:rPr>
        <w:t>na pregunta redactada en esos té</w:t>
      </w:r>
      <w:r w:rsidRPr="00C904FA">
        <w:rPr>
          <w:lang w:val="es-ES_tradnl"/>
        </w:rPr>
        <w:t>rminos. Sin embargo, el electorado se dividió en varias facciones al optar entre las opciones de estadidad</w:t>
      </w:r>
      <w:r>
        <w:rPr>
          <w:lang w:val="es-ES_tradnl"/>
        </w:rPr>
        <w:t>,</w:t>
      </w:r>
      <w:r w:rsidRPr="00C904FA">
        <w:rPr>
          <w:lang w:val="es-ES_tradnl"/>
        </w:rPr>
        <w:t xml:space="preserve"> que obtuvo 834,191 votos (</w:t>
      </w:r>
      <w:r>
        <w:rPr>
          <w:lang w:val="es-ES_tradnl"/>
        </w:rPr>
        <w:t xml:space="preserve">un </w:t>
      </w:r>
      <w:r w:rsidRPr="00C904FA">
        <w:rPr>
          <w:lang w:val="es-ES_tradnl"/>
        </w:rPr>
        <w:t>44.2% de los votos e</w:t>
      </w:r>
      <w:r>
        <w:rPr>
          <w:lang w:val="es-ES_tradnl"/>
        </w:rPr>
        <w:t xml:space="preserve">mitidos), Estado Libre Asociado </w:t>
      </w:r>
      <w:r w:rsidRPr="00C904FA">
        <w:rPr>
          <w:lang w:val="es-ES_tradnl"/>
        </w:rPr>
        <w:t xml:space="preserve">soberano </w:t>
      </w:r>
      <w:r>
        <w:rPr>
          <w:lang w:val="es-ES_tradnl"/>
        </w:rPr>
        <w:t xml:space="preserve">con 454,768 </w:t>
      </w:r>
      <w:r w:rsidRPr="00C904FA">
        <w:rPr>
          <w:lang w:val="es-ES_tradnl"/>
        </w:rPr>
        <w:t xml:space="preserve">(24.2%), la independencia </w:t>
      </w:r>
      <w:r>
        <w:rPr>
          <w:lang w:val="es-ES_tradnl"/>
        </w:rPr>
        <w:t xml:space="preserve">con 74,895 </w:t>
      </w:r>
      <w:r w:rsidRPr="00C904FA">
        <w:rPr>
          <w:lang w:val="es-ES_tradnl"/>
        </w:rPr>
        <w:t>(4%) y</w:t>
      </w:r>
      <w:r>
        <w:rPr>
          <w:lang w:val="es-ES_tradnl"/>
        </w:rPr>
        <w:t>,</w:t>
      </w:r>
      <w:r w:rsidRPr="00C904FA">
        <w:rPr>
          <w:lang w:val="es-ES_tradnl"/>
        </w:rPr>
        <w:t xml:space="preserve"> luego de una campaña para no contest</w:t>
      </w:r>
      <w:r>
        <w:rPr>
          <w:lang w:val="es-ES_tradnl"/>
        </w:rPr>
        <w:t>a</w:t>
      </w:r>
      <w:r w:rsidRPr="00C904FA">
        <w:rPr>
          <w:lang w:val="es-ES_tradnl"/>
        </w:rPr>
        <w:t>r a la segunda pregunta</w:t>
      </w:r>
      <w:r>
        <w:rPr>
          <w:lang w:val="es-ES_tradnl"/>
        </w:rPr>
        <w:t>,</w:t>
      </w:r>
      <w:r w:rsidRPr="00C904FA">
        <w:rPr>
          <w:lang w:val="es-ES_tradnl"/>
        </w:rPr>
        <w:t xml:space="preserve"> se registraron </w:t>
      </w:r>
      <w:r>
        <w:rPr>
          <w:lang w:val="es-ES_tradnl"/>
        </w:rPr>
        <w:t>498,604 votos en blanco,</w:t>
      </w:r>
      <w:r w:rsidRPr="00C904FA">
        <w:rPr>
          <w:lang w:val="es-ES_tradnl"/>
        </w:rPr>
        <w:t xml:space="preserve"> un 26.5% del total (Álvarez Rivera, 2012</w:t>
      </w:r>
      <w:r>
        <w:rPr>
          <w:lang w:val="es-ES_tradnl"/>
        </w:rPr>
        <w:t>, CRS, 2013, 12</w:t>
      </w:r>
      <w:r w:rsidRPr="00C904FA">
        <w:rPr>
          <w:lang w:val="es-ES_tradnl"/>
        </w:rPr>
        <w:t>). Tomando en cuenta la intención de los electores al momento de ejercer el voto</w:t>
      </w:r>
      <w:r>
        <w:rPr>
          <w:lang w:val="es-ES_tradnl"/>
        </w:rPr>
        <w:t>,</w:t>
      </w:r>
      <w:r w:rsidRPr="00C904FA">
        <w:rPr>
          <w:lang w:val="es-ES_tradnl"/>
        </w:rPr>
        <w:t xml:space="preserve"> resulta obvio el mensaje del electorado a favor de un cambio en las relaciones políticas presentes</w:t>
      </w:r>
      <w:r>
        <w:rPr>
          <w:lang w:val="es-ES_tradnl"/>
        </w:rPr>
        <w:t>,</w:t>
      </w:r>
      <w:r w:rsidRPr="00C904FA">
        <w:rPr>
          <w:lang w:val="es-ES_tradnl"/>
        </w:rPr>
        <w:t xml:space="preserve"> pero de </w:t>
      </w:r>
      <w:r>
        <w:rPr>
          <w:lang w:val="es-ES_tradnl"/>
        </w:rPr>
        <w:t xml:space="preserve">mucha </w:t>
      </w:r>
      <w:r w:rsidRPr="00C904FA">
        <w:rPr>
          <w:lang w:val="es-ES_tradnl"/>
        </w:rPr>
        <w:t>confusión en cuanto a cuáles son las opciones de futuro que prefiere. Ello, como vere</w:t>
      </w:r>
      <w:r>
        <w:rPr>
          <w:lang w:val="es-ES_tradnl"/>
        </w:rPr>
        <w:t xml:space="preserve">mos, no contribuye a proyectar </w:t>
      </w:r>
      <w:r w:rsidRPr="00C904FA">
        <w:rPr>
          <w:lang w:val="es-ES_tradnl"/>
        </w:rPr>
        <w:t>un mensaje claro de cambio que el Congreso tenga que enfrentar de forma inmediata.</w:t>
      </w:r>
    </w:p>
    <w:p w:rsidR="00B015EE" w:rsidRPr="00C904FA" w:rsidRDefault="00B015EE" w:rsidP="00B015EE">
      <w:pPr>
        <w:rPr>
          <w:lang w:val="es-ES_tradnl"/>
        </w:rPr>
      </w:pPr>
      <w:r w:rsidRPr="00C904FA">
        <w:rPr>
          <w:lang w:val="es-ES_tradnl"/>
        </w:rPr>
        <w:t>El hecho de que los resultados del plebiscito llevado a cabo en noviembre 2012 no necesariamente implican un mandato evidente de cambio en materia de estatus</w:t>
      </w:r>
      <w:r>
        <w:rPr>
          <w:lang w:val="es-ES_tradnl"/>
        </w:rPr>
        <w:t>,</w:t>
      </w:r>
      <w:r w:rsidRPr="00C904FA">
        <w:rPr>
          <w:lang w:val="es-ES_tradnl"/>
        </w:rPr>
        <w:t xml:space="preserve"> es algo que puede deducirse también de informes recientes del Congreso sobre el tema: </w:t>
      </w:r>
    </w:p>
    <w:p w:rsidR="00B015EE" w:rsidRPr="004E58D5" w:rsidRDefault="00B015EE" w:rsidP="00B015EE">
      <w:pPr>
        <w:widowControl w:val="0"/>
        <w:autoSpaceDE w:val="0"/>
        <w:autoSpaceDN w:val="0"/>
        <w:spacing w:line="240" w:lineRule="auto"/>
        <w:ind w:left="720" w:firstLine="0"/>
        <w:rPr>
          <w:rFonts w:eastAsia="Times New Roman"/>
          <w:szCs w:val="24"/>
        </w:rPr>
      </w:pPr>
    </w:p>
    <w:p w:rsidR="00B015EE" w:rsidRPr="0095547C" w:rsidRDefault="00B015EE" w:rsidP="00B015EE">
      <w:pPr>
        <w:widowControl w:val="0"/>
        <w:autoSpaceDE w:val="0"/>
        <w:autoSpaceDN w:val="0"/>
        <w:spacing w:line="240" w:lineRule="auto"/>
        <w:ind w:left="720" w:firstLine="0"/>
        <w:rPr>
          <w:rFonts w:eastAsia="Times New Roman"/>
          <w:szCs w:val="24"/>
        </w:rPr>
      </w:pPr>
      <w:r w:rsidRPr="005B5FEE">
        <w:rPr>
          <w:rFonts w:eastAsia="Times New Roman"/>
          <w:szCs w:val="24"/>
          <w:lang w:val="en-US"/>
        </w:rPr>
        <w:t>The 2012 plebiscite results are potentially significant if they are interpreted to mark the electorate’s desire to change the island’s present political status. The significance of the plebiscite remains to be seen, however, particularly because in the same election in which voters arguably endorsed a change in the status quo and favored statehood, they also voted out the pro-statehood incumbent governor and former Resident Commissioner, Luis Fortuño, as well as majorities in the territorial legislature believed to be generally supportive of statehood</w:t>
      </w:r>
      <w:r>
        <w:rPr>
          <w:rFonts w:eastAsia="Times New Roman"/>
          <w:szCs w:val="24"/>
          <w:lang w:val="en-US"/>
        </w:rPr>
        <w:t xml:space="preserve">. </w:t>
      </w:r>
      <w:r w:rsidRPr="0095547C">
        <w:rPr>
          <w:rFonts w:eastAsia="Times New Roman"/>
          <w:szCs w:val="24"/>
        </w:rPr>
        <w:t>(CRS, 2013</w:t>
      </w:r>
      <w:r>
        <w:rPr>
          <w:rFonts w:eastAsia="Times New Roman"/>
          <w:szCs w:val="24"/>
        </w:rPr>
        <w:t>, 13</w:t>
      </w:r>
      <w:r w:rsidRPr="0095547C">
        <w:rPr>
          <w:rFonts w:eastAsia="Times New Roman"/>
          <w:szCs w:val="24"/>
        </w:rPr>
        <w:t>)</w:t>
      </w:r>
    </w:p>
    <w:p w:rsidR="00B015EE" w:rsidRDefault="00B015EE" w:rsidP="00B015EE">
      <w:pPr>
        <w:rPr>
          <w:lang w:val="es-ES_tradnl"/>
        </w:rPr>
      </w:pPr>
    </w:p>
    <w:p w:rsidR="00B015EE" w:rsidRPr="00C904FA" w:rsidRDefault="00B015EE" w:rsidP="00B015EE">
      <w:pPr>
        <w:rPr>
          <w:lang w:val="es-ES_tradnl"/>
        </w:rPr>
      </w:pPr>
      <w:r w:rsidRPr="00C904FA">
        <w:rPr>
          <w:lang w:val="es-ES_tradnl"/>
        </w:rPr>
        <w:t>Mientras el PNP sostiene que la opción de estadidad obtuvo en dicha consulta un 65% de los</w:t>
      </w:r>
      <w:r>
        <w:rPr>
          <w:lang w:val="es-ES_tradnl"/>
        </w:rPr>
        <w:t xml:space="preserve"> votos, la Asamblea Legislativa</w:t>
      </w:r>
      <w:r w:rsidRPr="00C904FA">
        <w:rPr>
          <w:lang w:val="es-ES_tradnl"/>
        </w:rPr>
        <w:t xml:space="preserve"> </w:t>
      </w:r>
      <w:r w:rsidRPr="008B456C">
        <w:t>—</w:t>
      </w:r>
      <w:r w:rsidRPr="00C904FA">
        <w:rPr>
          <w:lang w:val="es-ES_tradnl"/>
        </w:rPr>
        <w:t>dominada ahora por el PPD</w:t>
      </w:r>
      <w:r w:rsidRPr="008B456C">
        <w:t>—</w:t>
      </w:r>
      <w:r w:rsidRPr="00C904FA">
        <w:rPr>
          <w:lang w:val="es-ES_tradnl"/>
        </w:rPr>
        <w:t xml:space="preserve"> aprobó una Resolución Concurrente expresando una posición diametralmente contraria. Dicha resolución fue circulada en el Congreso y en una de sus partes indica:</w:t>
      </w:r>
    </w:p>
    <w:p w:rsidR="00B015EE" w:rsidRPr="00C904FA" w:rsidRDefault="00B015EE" w:rsidP="00B015EE">
      <w:pPr>
        <w:widowControl w:val="0"/>
        <w:autoSpaceDE w:val="0"/>
        <w:autoSpaceDN w:val="0"/>
        <w:spacing w:line="240" w:lineRule="auto"/>
        <w:ind w:left="720" w:firstLine="0"/>
        <w:rPr>
          <w:rFonts w:eastAsia="Times New Roman"/>
          <w:szCs w:val="24"/>
          <w:lang w:val="es-ES_tradnl"/>
        </w:rPr>
      </w:pPr>
      <w:r w:rsidRPr="00C904FA">
        <w:rPr>
          <w:rFonts w:eastAsia="Times New Roman"/>
          <w:szCs w:val="24"/>
          <w:lang w:val="es-ES_tradnl"/>
        </w:rPr>
        <w:t>Si lo que desea conocer el Congreso de los Estados Unidos es qué proporción del electorado puertorriqueño no favorece la estadidad para Puerto Rico, la papeleta en blanco se tiene que tomar en cuenta, pues, ese voto expresa una clara intención de no favorecerla. De ese modo, debe entenderse que el voto a favor de la estadidad no superó el cuarenta y cuatro punto cuatro (44.4) por ciento, lo que representa una disminución de aproximadamente dos (2) puntos porcentuales de su pico histórico obtenido en el 1998. Es decir, que en el plebiscito de 2012 un cincuenta y cinco punto seis (55.6) por ciento de los votantes puertorriqueños expresaron su rechazo a la estadidad. (Asamblea Legislativa de Puerto Rico, Resolución</w:t>
      </w:r>
      <w:r>
        <w:rPr>
          <w:rFonts w:eastAsia="Times New Roman"/>
          <w:szCs w:val="24"/>
          <w:lang w:val="es-ES_tradnl"/>
        </w:rPr>
        <w:t xml:space="preserve"> Concurrente, 2013)</w:t>
      </w:r>
    </w:p>
    <w:p w:rsidR="00B015EE" w:rsidRPr="00C904FA" w:rsidRDefault="00B015EE" w:rsidP="00B015EE">
      <w:pPr>
        <w:rPr>
          <w:lang w:val="es-ES_tradnl"/>
        </w:rPr>
      </w:pPr>
    </w:p>
    <w:p w:rsidR="00B015EE" w:rsidRPr="00C904FA" w:rsidRDefault="00B015EE" w:rsidP="00B015EE">
      <w:pPr>
        <w:rPr>
          <w:lang w:val="es-ES_tradnl"/>
        </w:rPr>
      </w:pPr>
      <w:r w:rsidRPr="00C904FA">
        <w:rPr>
          <w:lang w:val="es-ES_tradnl"/>
        </w:rPr>
        <w:t xml:space="preserve">Es de suponer que esta controversia sobre el significado mismo de los resultados de este ejercicio electoral </w:t>
      </w:r>
      <w:r w:rsidRPr="008B456C">
        <w:t>—</w:t>
      </w:r>
      <w:r w:rsidRPr="00C904FA">
        <w:rPr>
          <w:lang w:val="es-ES_tradnl"/>
        </w:rPr>
        <w:t>propiciado por el Gobierno de Puerto Rico</w:t>
      </w:r>
      <w:r w:rsidRPr="008B456C">
        <w:t>—</w:t>
      </w:r>
      <w:r w:rsidRPr="00C904FA">
        <w:rPr>
          <w:lang w:val="es-ES_tradnl"/>
        </w:rPr>
        <w:t xml:space="preserve"> gen</w:t>
      </w:r>
      <w:r>
        <w:rPr>
          <w:lang w:val="es-ES_tradnl"/>
        </w:rPr>
        <w:t>ere dudas y debates. El propio p</w:t>
      </w:r>
      <w:r w:rsidRPr="00C904FA">
        <w:rPr>
          <w:lang w:val="es-ES_tradnl"/>
        </w:rPr>
        <w:t>residente de la Comisión de Recur</w:t>
      </w:r>
      <w:r>
        <w:rPr>
          <w:lang w:val="es-ES_tradnl"/>
        </w:rPr>
        <w:t>sos Naturales del Senado, Ron Wy</w:t>
      </w:r>
      <w:r w:rsidRPr="00C904FA">
        <w:rPr>
          <w:lang w:val="es-ES_tradnl"/>
        </w:rPr>
        <w:t>den, reconoció que, en su criterio, el resultado de la votación era claro con relación al primer asunto (rechazo a la condición territorial)</w:t>
      </w:r>
      <w:r>
        <w:rPr>
          <w:lang w:val="es-ES_tradnl"/>
        </w:rPr>
        <w:t>,</w:t>
      </w:r>
      <w:r w:rsidRPr="00C904FA">
        <w:rPr>
          <w:lang w:val="es-ES_tradnl"/>
        </w:rPr>
        <w:t xml:space="preserve"> pero no al segundo (petición de estadidad).</w:t>
      </w:r>
    </w:p>
    <w:p w:rsidR="00B015EE" w:rsidRPr="00C904FA" w:rsidRDefault="00B015EE" w:rsidP="00B015EE">
      <w:pPr>
        <w:widowControl w:val="0"/>
        <w:autoSpaceDE w:val="0"/>
        <w:autoSpaceDN w:val="0"/>
        <w:spacing w:line="240" w:lineRule="auto"/>
        <w:ind w:left="360" w:firstLine="360"/>
        <w:rPr>
          <w:rFonts w:eastAsia="Times New Roman"/>
          <w:szCs w:val="24"/>
          <w:lang w:val="es-ES_tradnl"/>
        </w:rPr>
      </w:pPr>
    </w:p>
    <w:p w:rsidR="00B015EE" w:rsidRPr="00C904FA" w:rsidRDefault="00B015EE" w:rsidP="00B015EE">
      <w:pPr>
        <w:pStyle w:val="Heading2"/>
        <w:ind w:left="426" w:hanging="426"/>
        <w:jc w:val="both"/>
        <w:rPr>
          <w:lang w:val="es-ES_tradnl"/>
        </w:rPr>
      </w:pPr>
      <w:bookmarkStart w:id="16" w:name="_Toc384769718"/>
      <w:r w:rsidRPr="00C904FA">
        <w:rPr>
          <w:lang w:val="es-ES_tradnl"/>
        </w:rPr>
        <w:t>El HR 2000</w:t>
      </w:r>
      <w:bookmarkEnd w:id="16"/>
    </w:p>
    <w:p w:rsidR="00B015EE" w:rsidRDefault="00B015EE" w:rsidP="00B015EE">
      <w:pPr>
        <w:spacing w:line="360" w:lineRule="auto"/>
        <w:rPr>
          <w:lang w:val="es-ES_tradnl"/>
        </w:rPr>
      </w:pPr>
    </w:p>
    <w:p w:rsidR="00B015EE" w:rsidRDefault="00B015EE" w:rsidP="00B015EE">
      <w:pPr>
        <w:rPr>
          <w:lang w:val="es-ES_tradnl"/>
        </w:rPr>
      </w:pPr>
      <w:r w:rsidRPr="00C904FA">
        <w:rPr>
          <w:lang w:val="es-ES_tradnl"/>
        </w:rPr>
        <w:t>De todas formas</w:t>
      </w:r>
      <w:r>
        <w:rPr>
          <w:lang w:val="es-ES_tradnl"/>
        </w:rPr>
        <w:t>,</w:t>
      </w:r>
      <w:r w:rsidRPr="00C904FA">
        <w:rPr>
          <w:lang w:val="es-ES_tradnl"/>
        </w:rPr>
        <w:t xml:space="preserve"> de esa votación plebiscitaria de 2012 surgió la solicitud presentada por el representante del Gobierno de Puerto Rico, el </w:t>
      </w:r>
      <w:r>
        <w:rPr>
          <w:lang w:val="es-ES_tradnl"/>
        </w:rPr>
        <w:t>c</w:t>
      </w:r>
      <w:r w:rsidRPr="00C904FA">
        <w:rPr>
          <w:lang w:val="es-ES_tradnl"/>
        </w:rPr>
        <w:t xml:space="preserve">omisionado </w:t>
      </w:r>
      <w:r>
        <w:rPr>
          <w:lang w:val="es-ES_tradnl"/>
        </w:rPr>
        <w:t>r</w:t>
      </w:r>
      <w:r w:rsidRPr="00C904FA">
        <w:rPr>
          <w:lang w:val="es-ES_tradnl"/>
        </w:rPr>
        <w:t xml:space="preserve">esidente Pedro Pierluisi, para que </w:t>
      </w:r>
      <w:r>
        <w:rPr>
          <w:lang w:val="es-ES_tradnl"/>
        </w:rPr>
        <w:t xml:space="preserve">se admita a </w:t>
      </w:r>
      <w:r w:rsidRPr="00C904FA">
        <w:rPr>
          <w:lang w:val="es-ES_tradnl"/>
        </w:rPr>
        <w:t>Puerto Rico como estado en igualdad de derechos con los estados federados de ese país. Este es el único proyecto dirigido, sustantivamente, y de forma relativamente expedita, a</w:t>
      </w:r>
      <w:r>
        <w:rPr>
          <w:lang w:val="es-ES_tradnl"/>
        </w:rPr>
        <w:t xml:space="preserve"> alterar la condición política.</w:t>
      </w:r>
    </w:p>
    <w:p w:rsidR="00B015EE" w:rsidRDefault="00B015EE" w:rsidP="00B015EE">
      <w:r w:rsidRPr="008F24D2">
        <w:t>El otro proyecto de estadidad que está considerando el Congreso es la admisión de Washington D.</w:t>
      </w:r>
      <w:r>
        <w:t xml:space="preserve"> </w:t>
      </w:r>
      <w:r w:rsidRPr="008F24D2">
        <w:t xml:space="preserve">C. como estado de la </w:t>
      </w:r>
      <w:r>
        <w:t>u</w:t>
      </w:r>
      <w:r w:rsidRPr="008F24D2">
        <w:t>nión (HR 2</w:t>
      </w:r>
      <w:r>
        <w:t>9</w:t>
      </w:r>
      <w:r w:rsidRPr="008F24D2">
        <w:t xml:space="preserve">2, 2013).  El proyecto de ley sobre la admisión del Distrito de Columbia fue presentado por </w:t>
      </w:r>
      <w:r>
        <w:t>su</w:t>
      </w:r>
      <w:r w:rsidRPr="008F24D2">
        <w:t xml:space="preserve"> delegada, Eleanor Norton. Ti</w:t>
      </w:r>
      <w:r>
        <w:t>ene 65 auspiciadores y</w:t>
      </w:r>
      <w:r w:rsidRPr="008F24D2">
        <w:t xml:space="preserve"> una parte importante del liderato demócrata del Congreso</w:t>
      </w:r>
      <w:r>
        <w:t xml:space="preserve"> lo </w:t>
      </w:r>
      <w:r w:rsidRPr="008F24D2">
        <w:t>apoya. T</w:t>
      </w:r>
      <w:r>
        <w:t xml:space="preserve">ambién </w:t>
      </w:r>
      <w:r w:rsidRPr="008F24D2">
        <w:t xml:space="preserve">apoyan la iniciativa el </w:t>
      </w:r>
      <w:r>
        <w:t>c</w:t>
      </w:r>
      <w:r w:rsidRPr="008F24D2">
        <w:t xml:space="preserve">omisionado </w:t>
      </w:r>
      <w:r>
        <w:t>r</w:t>
      </w:r>
      <w:r w:rsidRPr="008F24D2">
        <w:t>esidente de Puerto Rico</w:t>
      </w:r>
      <w:r>
        <w:t>,</w:t>
      </w:r>
      <w:r w:rsidRPr="008F24D2">
        <w:t xml:space="preserve"> el congresista José Serrano de (D-NY) y el representante Luis Gutiérrez (D-Ill.). En el Congreso se visualiza a</w:t>
      </w:r>
      <w:r>
        <w:t>l</w:t>
      </w:r>
      <w:r w:rsidRPr="008F24D2">
        <w:t xml:space="preserve"> D</w:t>
      </w:r>
      <w:r>
        <w:t xml:space="preserve">. </w:t>
      </w:r>
      <w:r w:rsidRPr="008F24D2">
        <w:t>C</w:t>
      </w:r>
      <w:r>
        <w:t>.</w:t>
      </w:r>
      <w:r w:rsidRPr="008F24D2">
        <w:t xml:space="preserve"> como un potencial estado de inclinación electoral fuertemente demócrata ) y el Partido Republicano se opone activamente a esta petición</w:t>
      </w:r>
      <w:r>
        <w:t xml:space="preserve"> (Helderman, 2012).</w:t>
      </w:r>
    </w:p>
    <w:p w:rsidR="00B015EE" w:rsidRPr="00C904FA" w:rsidRDefault="00B015EE" w:rsidP="00B015EE">
      <w:pPr>
        <w:rPr>
          <w:lang w:val="es-ES_tradnl"/>
        </w:rPr>
      </w:pPr>
      <w:r>
        <w:rPr>
          <w:lang w:val="es-ES_tradnl"/>
        </w:rPr>
        <w:t>El HR 2000 es significativo,</w:t>
      </w:r>
      <w:r w:rsidRPr="00C904FA">
        <w:rPr>
          <w:lang w:val="es-ES_tradnl"/>
        </w:rPr>
        <w:t xml:space="preserve"> debido a</w:t>
      </w:r>
      <w:r>
        <w:rPr>
          <w:lang w:val="es-ES_tradnl"/>
        </w:rPr>
        <w:t xml:space="preserve"> </w:t>
      </w:r>
      <w:r w:rsidRPr="00C904FA">
        <w:rPr>
          <w:lang w:val="es-ES_tradnl"/>
        </w:rPr>
        <w:t>varios factores. En primer término porque sirve para ilustrar las dificultades que presenta una estrategia partidista en el Congreso</w:t>
      </w:r>
      <w:r>
        <w:rPr>
          <w:lang w:val="es-ES_tradnl"/>
        </w:rPr>
        <w:t>,</w:t>
      </w:r>
      <w:r w:rsidRPr="00C904FA">
        <w:rPr>
          <w:lang w:val="es-ES_tradnl"/>
        </w:rPr>
        <w:t xml:space="preserve"> que se concentra en adelantar una propuesta de estatus específica. </w:t>
      </w:r>
      <w:r>
        <w:rPr>
          <w:lang w:val="es-ES_tradnl"/>
        </w:rPr>
        <w:t>T</w:t>
      </w:r>
      <w:r w:rsidRPr="00C904FA">
        <w:rPr>
          <w:lang w:val="es-ES_tradnl"/>
        </w:rPr>
        <w:t>ampoco ayuda</w:t>
      </w:r>
      <w:r>
        <w:rPr>
          <w:lang w:val="es-ES_tradnl"/>
        </w:rPr>
        <w:t>n</w:t>
      </w:r>
      <w:r w:rsidRPr="00C904FA">
        <w:rPr>
          <w:lang w:val="es-ES_tradnl"/>
        </w:rPr>
        <w:t xml:space="preserve"> a favorecer las oportunidades de esta iniciativa </w:t>
      </w:r>
      <w:r>
        <w:rPr>
          <w:lang w:val="es-ES_tradnl"/>
        </w:rPr>
        <w:t>e</w:t>
      </w:r>
      <w:r w:rsidRPr="00C904FA">
        <w:rPr>
          <w:lang w:val="es-ES_tradnl"/>
        </w:rPr>
        <w:t xml:space="preserve">l cuestionamiento de la existencia </w:t>
      </w:r>
      <w:r>
        <w:rPr>
          <w:lang w:val="es-ES_tradnl"/>
        </w:rPr>
        <w:t xml:space="preserve">de un mandato electoral válido </w:t>
      </w:r>
      <w:r w:rsidRPr="00C904FA">
        <w:rPr>
          <w:lang w:val="es-ES_tradnl"/>
        </w:rPr>
        <w:t>para comenzar tal proceso de admisión</w:t>
      </w:r>
      <w:r>
        <w:rPr>
          <w:lang w:val="es-ES_tradnl"/>
        </w:rPr>
        <w:t>, unido a</w:t>
      </w:r>
      <w:r w:rsidRPr="00C904FA">
        <w:rPr>
          <w:lang w:val="es-ES_tradnl"/>
        </w:rPr>
        <w:t xml:space="preserve"> la división en Puerto Rico entre la</w:t>
      </w:r>
      <w:r>
        <w:rPr>
          <w:lang w:val="es-ES_tradnl"/>
        </w:rPr>
        <w:t>s</w:t>
      </w:r>
      <w:r w:rsidRPr="00C904FA">
        <w:rPr>
          <w:lang w:val="es-ES_tradnl"/>
        </w:rPr>
        <w:t xml:space="preserve"> rama</w:t>
      </w:r>
      <w:r>
        <w:rPr>
          <w:lang w:val="es-ES_tradnl"/>
        </w:rPr>
        <w:t>s</w:t>
      </w:r>
      <w:r w:rsidRPr="00C904FA">
        <w:rPr>
          <w:lang w:val="es-ES_tradnl"/>
        </w:rPr>
        <w:t xml:space="preserve"> ejecutiva y legislativa que defi</w:t>
      </w:r>
      <w:r>
        <w:rPr>
          <w:lang w:val="es-ES_tradnl"/>
        </w:rPr>
        <w:t xml:space="preserve">enden un punto de vista versus </w:t>
      </w:r>
      <w:r w:rsidRPr="00C904FA">
        <w:rPr>
          <w:lang w:val="es-ES_tradnl"/>
        </w:rPr>
        <w:t xml:space="preserve">el </w:t>
      </w:r>
      <w:r>
        <w:rPr>
          <w:lang w:val="es-ES_tradnl"/>
        </w:rPr>
        <w:t>comisionado residente con uno opuesto</w:t>
      </w:r>
      <w:r w:rsidRPr="00C904FA">
        <w:rPr>
          <w:lang w:val="es-ES_tradnl"/>
        </w:rPr>
        <w:t xml:space="preserve">. </w:t>
      </w:r>
    </w:p>
    <w:p w:rsidR="00B015EE" w:rsidRPr="00C904FA" w:rsidRDefault="00B015EE" w:rsidP="00B015EE">
      <w:pPr>
        <w:rPr>
          <w:lang w:val="es-ES_tradnl"/>
        </w:rPr>
      </w:pPr>
      <w:r w:rsidRPr="00C904FA">
        <w:rPr>
          <w:lang w:val="es-ES_tradnl"/>
        </w:rPr>
        <w:t>Sin embargo,</w:t>
      </w:r>
      <w:r>
        <w:rPr>
          <w:lang w:val="es-ES_tradnl"/>
        </w:rPr>
        <w:t xml:space="preserve"> se trata de un proyecto de ley</w:t>
      </w:r>
      <w:r w:rsidRPr="00C904FA">
        <w:rPr>
          <w:lang w:val="es-ES_tradnl"/>
        </w:rPr>
        <w:t xml:space="preserve"> que ha generado un interés y apoyo entre un número sustancial de congresistas (1</w:t>
      </w:r>
      <w:r>
        <w:rPr>
          <w:lang w:val="es-ES_tradnl"/>
        </w:rPr>
        <w:t>30</w:t>
      </w:r>
      <w:r w:rsidRPr="00C904FA">
        <w:rPr>
          <w:lang w:val="es-ES_tradnl"/>
        </w:rPr>
        <w:t xml:space="preserve">) </w:t>
      </w:r>
      <w:r>
        <w:rPr>
          <w:lang w:val="es-ES_tradnl"/>
        </w:rPr>
        <w:t>de la Cámara de Representantes f</w:t>
      </w:r>
      <w:r w:rsidRPr="00C904FA">
        <w:rPr>
          <w:lang w:val="es-ES_tradnl"/>
        </w:rPr>
        <w:t xml:space="preserve">ederal. </w:t>
      </w:r>
      <w:r>
        <w:rPr>
          <w:lang w:val="es-ES_tradnl"/>
        </w:rPr>
        <w:t>Un alto porcentaje</w:t>
      </w:r>
      <w:r w:rsidRPr="00C904FA">
        <w:rPr>
          <w:lang w:val="es-ES_tradnl"/>
        </w:rPr>
        <w:t xml:space="preserve"> de </w:t>
      </w:r>
      <w:r>
        <w:rPr>
          <w:lang w:val="es-ES_tradnl"/>
        </w:rPr>
        <w:t>est</w:t>
      </w:r>
      <w:r w:rsidRPr="00C904FA">
        <w:rPr>
          <w:lang w:val="es-ES_tradnl"/>
        </w:rPr>
        <w:t>os representantes corresponde a estados en donde existe una alta proporción de electores hispanos</w:t>
      </w:r>
      <w:r>
        <w:rPr>
          <w:lang w:val="es-ES_tradnl"/>
        </w:rPr>
        <w:t>,</w:t>
      </w:r>
      <w:r w:rsidRPr="00C904FA">
        <w:rPr>
          <w:lang w:val="es-ES_tradnl"/>
        </w:rPr>
        <w:t xml:space="preserve"> como son los representantes de California (21 endosos); Nueva York (14 endosos); Florida (13 endosos) y Texas (8 endosos). La amplia mayoría de los legisladores que han apoyado el HR 2000 son del Partido Demócrata y cerca del 70% corresponden a una ideología liberal (Sierra, 2013). Ello exhibe un muy bajo nivel de bipartidismo</w:t>
      </w:r>
      <w:r>
        <w:rPr>
          <w:lang w:val="es-ES_tradnl"/>
        </w:rPr>
        <w:t>,</w:t>
      </w:r>
      <w:r w:rsidRPr="00C904FA">
        <w:rPr>
          <w:lang w:val="es-ES_tradnl"/>
        </w:rPr>
        <w:t xml:space="preserve"> l</w:t>
      </w:r>
      <w:r>
        <w:rPr>
          <w:lang w:val="es-ES_tradnl"/>
        </w:rPr>
        <w:t>o</w:t>
      </w:r>
      <w:r w:rsidRPr="00C904FA">
        <w:rPr>
          <w:lang w:val="es-ES_tradnl"/>
        </w:rPr>
        <w:t xml:space="preserve"> cual es cónson</w:t>
      </w:r>
      <w:r>
        <w:rPr>
          <w:lang w:val="es-ES_tradnl"/>
        </w:rPr>
        <w:t>o</w:t>
      </w:r>
      <w:r w:rsidRPr="00C904FA">
        <w:rPr>
          <w:lang w:val="es-ES_tradnl"/>
        </w:rPr>
        <w:t xml:space="preserve"> con las tendencias de polarización en el Congreso que examinaré más adelante.</w:t>
      </w:r>
      <w:r>
        <w:rPr>
          <w:lang w:val="es-ES_tradnl"/>
        </w:rPr>
        <w:t xml:space="preserve"> </w:t>
      </w:r>
    </w:p>
    <w:p w:rsidR="00B015EE" w:rsidRPr="00C904FA" w:rsidRDefault="00B015EE" w:rsidP="00B015EE">
      <w:pPr>
        <w:rPr>
          <w:lang w:val="es-ES_tradnl"/>
        </w:rPr>
      </w:pPr>
      <w:r w:rsidRPr="00C904FA">
        <w:rPr>
          <w:lang w:val="es-ES_tradnl"/>
        </w:rPr>
        <w:t>En segundo término</w:t>
      </w:r>
      <w:r>
        <w:rPr>
          <w:lang w:val="es-ES_tradnl"/>
        </w:rPr>
        <w:t>,</w:t>
      </w:r>
      <w:r w:rsidRPr="00C904FA">
        <w:rPr>
          <w:lang w:val="es-ES_tradnl"/>
        </w:rPr>
        <w:t xml:space="preserve"> el HR 2000 es un proyecto que pretende movilizar al Congreso para adelantar un nuevo estatus (estadidad)</w:t>
      </w:r>
      <w:r>
        <w:rPr>
          <w:lang w:val="es-ES_tradnl"/>
        </w:rPr>
        <w:t>, en vez de insistir</w:t>
      </w:r>
      <w:r w:rsidRPr="00C904FA">
        <w:rPr>
          <w:lang w:val="es-ES_tradnl"/>
        </w:rPr>
        <w:t xml:space="preserve"> </w:t>
      </w:r>
      <w:r w:rsidRPr="008B456C">
        <w:t>—</w:t>
      </w:r>
      <w:r w:rsidRPr="00C904FA">
        <w:rPr>
          <w:lang w:val="es-ES_tradnl"/>
        </w:rPr>
        <w:t>como en el pasado</w:t>
      </w:r>
      <w:r w:rsidRPr="008B456C">
        <w:t>—</w:t>
      </w:r>
      <w:r w:rsidRPr="00C904FA">
        <w:rPr>
          <w:lang w:val="es-ES_tradnl"/>
        </w:rPr>
        <w:t xml:space="preserve"> </w:t>
      </w:r>
      <w:r>
        <w:rPr>
          <w:lang w:val="es-ES_tradnl"/>
        </w:rPr>
        <w:t>en</w:t>
      </w:r>
      <w:r w:rsidRPr="00C904FA">
        <w:rPr>
          <w:lang w:val="es-ES_tradnl"/>
        </w:rPr>
        <w:t xml:space="preserve"> una vía procesal en que se pudieran expresar todas las preferencias. Ello plantea el escenario inusual en el Congreso de tener la solicitud del </w:t>
      </w:r>
      <w:r>
        <w:rPr>
          <w:lang w:val="es-ES_tradnl"/>
        </w:rPr>
        <w:t xml:space="preserve">comisionado residente </w:t>
      </w:r>
      <w:r>
        <w:t>en disputa frontal</w:t>
      </w:r>
      <w:r w:rsidRPr="00F71EB3">
        <w:t xml:space="preserve"> </w:t>
      </w:r>
      <w:r w:rsidRPr="00C904FA">
        <w:rPr>
          <w:lang w:val="es-ES_tradnl"/>
        </w:rPr>
        <w:t>con la postura oficial del Gobierno de Puerto Rico</w:t>
      </w:r>
      <w:r>
        <w:rPr>
          <w:lang w:val="es-ES_tradnl"/>
        </w:rPr>
        <w:t>,</w:t>
      </w:r>
      <w:r w:rsidRPr="00C904FA">
        <w:rPr>
          <w:lang w:val="es-ES_tradnl"/>
        </w:rPr>
        <w:t xml:space="preserve"> expresada a través del Gobernador y de una Resolución Concurrente de la Asamblea Legislativa. </w:t>
      </w:r>
    </w:p>
    <w:p w:rsidR="00B015EE" w:rsidRPr="00C904FA" w:rsidRDefault="00B015EE" w:rsidP="00B015EE">
      <w:pPr>
        <w:rPr>
          <w:lang w:val="es-ES_tradnl"/>
        </w:rPr>
      </w:pPr>
      <w:r w:rsidRPr="00C904FA">
        <w:rPr>
          <w:lang w:val="es-ES_tradnl"/>
        </w:rPr>
        <w:t>De esta forma</w:t>
      </w:r>
      <w:r>
        <w:rPr>
          <w:lang w:val="es-ES_tradnl"/>
        </w:rPr>
        <w:t>,</w:t>
      </w:r>
      <w:r w:rsidRPr="00C904FA">
        <w:rPr>
          <w:lang w:val="es-ES_tradnl"/>
        </w:rPr>
        <w:t xml:space="preserve"> se coloca al Congreso en la posición de evaluar la posibilidad de considerar la admisión en una legislación separada que excluye las demás opciones de estatus. Sin embargo, la previa consideración detallada y seria que el Congreso le había prestado a la opción de la estadidad ocurrió en el contexto del proceso de 1989 a 1991</w:t>
      </w:r>
      <w:r>
        <w:rPr>
          <w:lang w:val="es-ES_tradnl"/>
        </w:rPr>
        <w:t>,</w:t>
      </w:r>
      <w:r w:rsidRPr="00C904FA">
        <w:rPr>
          <w:lang w:val="es-ES_tradnl"/>
        </w:rPr>
        <w:t xml:space="preserve"> en donde se estudió esa opción en detalle en conjunto con las otras. Iniciativas excl</w:t>
      </w:r>
      <w:r>
        <w:rPr>
          <w:lang w:val="es-ES_tradnl"/>
        </w:rPr>
        <w:t>usivas en favor de la estadidad</w:t>
      </w:r>
      <w:r w:rsidRPr="00C904FA">
        <w:rPr>
          <w:lang w:val="es-ES_tradnl"/>
        </w:rPr>
        <w:t xml:space="preserve"> </w:t>
      </w:r>
      <w:r w:rsidRPr="008B456C">
        <w:t>—</w:t>
      </w:r>
      <w:r w:rsidRPr="00C904FA">
        <w:rPr>
          <w:lang w:val="es-ES_tradnl"/>
        </w:rPr>
        <w:t xml:space="preserve">como la impulsada por el </w:t>
      </w:r>
      <w:r>
        <w:rPr>
          <w:lang w:val="es-ES_tradnl"/>
        </w:rPr>
        <w:t xml:space="preserve">presidente </w:t>
      </w:r>
      <w:r w:rsidRPr="00C904FA">
        <w:rPr>
          <w:lang w:val="es-ES_tradnl"/>
        </w:rPr>
        <w:t>Gerald Ford durante su mandato mediante la radicación de un proyecto de le</w:t>
      </w:r>
      <w:r>
        <w:rPr>
          <w:lang w:val="es-ES_tradnl"/>
        </w:rPr>
        <w:t>y a esos efectos</w:t>
      </w:r>
      <w:r w:rsidRPr="008B456C">
        <w:t>—</w:t>
      </w:r>
      <w:r w:rsidRPr="00C904FA">
        <w:rPr>
          <w:lang w:val="es-ES_tradnl"/>
        </w:rPr>
        <w:t xml:space="preserve"> no gener</w:t>
      </w:r>
      <w:r>
        <w:rPr>
          <w:lang w:val="es-ES_tradnl"/>
        </w:rPr>
        <w:t>aron</w:t>
      </w:r>
      <w:r w:rsidRPr="00C904FA">
        <w:rPr>
          <w:lang w:val="es-ES_tradnl"/>
        </w:rPr>
        <w:t xml:space="preserve"> acción legislativa. </w:t>
      </w:r>
    </w:p>
    <w:p w:rsidR="00B015EE" w:rsidRPr="00C904FA" w:rsidRDefault="00B015EE" w:rsidP="00B015EE">
      <w:pPr>
        <w:rPr>
          <w:lang w:val="es-ES_tradnl"/>
        </w:rPr>
      </w:pPr>
      <w:r>
        <w:rPr>
          <w:lang w:val="es-ES_tradnl"/>
        </w:rPr>
        <w:t>D</w:t>
      </w:r>
      <w:r w:rsidRPr="00C904FA">
        <w:rPr>
          <w:lang w:val="es-ES_tradnl"/>
        </w:rPr>
        <w:t xml:space="preserve">e cualquier modo, </w:t>
      </w:r>
      <w:r>
        <w:rPr>
          <w:lang w:val="es-ES_tradnl"/>
        </w:rPr>
        <w:t>la petición de estadidad</w:t>
      </w:r>
      <w:r w:rsidRPr="00C904FA">
        <w:rPr>
          <w:lang w:val="es-ES_tradnl"/>
        </w:rPr>
        <w:t xml:space="preserve"> </w:t>
      </w:r>
      <w:r w:rsidRPr="008B456C">
        <w:t>—</w:t>
      </w:r>
      <w:r w:rsidRPr="00C904FA">
        <w:rPr>
          <w:lang w:val="es-ES_tradnl"/>
        </w:rPr>
        <w:t xml:space="preserve">realizada oficialmente por el </w:t>
      </w:r>
      <w:r>
        <w:rPr>
          <w:lang w:val="es-ES_tradnl"/>
        </w:rPr>
        <w:t>c</w:t>
      </w:r>
      <w:r w:rsidRPr="00C904FA">
        <w:rPr>
          <w:lang w:val="es-ES_tradnl"/>
        </w:rPr>
        <w:t xml:space="preserve">omisionado </w:t>
      </w:r>
      <w:r>
        <w:rPr>
          <w:lang w:val="es-ES_tradnl"/>
        </w:rPr>
        <w:t>residente</w:t>
      </w:r>
      <w:r w:rsidRPr="008B456C">
        <w:t>—</w:t>
      </w:r>
      <w:r w:rsidRPr="00C904FA">
        <w:rPr>
          <w:lang w:val="es-ES_tradnl"/>
        </w:rPr>
        <w:t xml:space="preserve"> coloca el tema de la posible admisión</w:t>
      </w:r>
      <w:r>
        <w:rPr>
          <w:lang w:val="es-ES_tradnl"/>
        </w:rPr>
        <w:t xml:space="preserve"> </w:t>
      </w:r>
      <w:r w:rsidRPr="00C904FA">
        <w:rPr>
          <w:lang w:val="es-ES_tradnl"/>
        </w:rPr>
        <w:t xml:space="preserve">en la mira de sectores de la opinión pública de Estados Unidos, aunque sea brevemente. Importantes periódicos y medios de comunicación </w:t>
      </w:r>
      <w:r>
        <w:t>—</w:t>
      </w:r>
      <w:r w:rsidRPr="00C904FA">
        <w:rPr>
          <w:lang w:val="es-ES_tradnl"/>
        </w:rPr>
        <w:t xml:space="preserve">como el </w:t>
      </w:r>
      <w:r w:rsidRPr="00C904FA">
        <w:rPr>
          <w:i/>
          <w:lang w:val="es-ES_tradnl"/>
        </w:rPr>
        <w:t>Washington Post</w:t>
      </w:r>
      <w:r w:rsidRPr="00C904FA">
        <w:rPr>
          <w:lang w:val="es-ES_tradnl"/>
        </w:rPr>
        <w:t xml:space="preserve">, </w:t>
      </w:r>
      <w:r w:rsidRPr="00C904FA">
        <w:rPr>
          <w:i/>
          <w:lang w:val="es-ES_tradnl"/>
        </w:rPr>
        <w:t>CNN</w:t>
      </w:r>
      <w:r w:rsidRPr="00C904FA">
        <w:rPr>
          <w:lang w:val="es-ES_tradnl"/>
        </w:rPr>
        <w:t xml:space="preserve"> y </w:t>
      </w:r>
      <w:r w:rsidRPr="00C904FA">
        <w:rPr>
          <w:i/>
          <w:lang w:val="es-ES_tradnl"/>
        </w:rPr>
        <w:t>The New York Times</w:t>
      </w:r>
      <w:r>
        <w:t>—</w:t>
      </w:r>
      <w:r w:rsidRPr="00C904FA">
        <w:rPr>
          <w:lang w:val="es-ES_tradnl"/>
        </w:rPr>
        <w:t xml:space="preserve"> se han encargado de informar sobre la petición de estadidad (Castillo, 2012; Alexandrino, Shoichet, 2012, Khazan, 2012)</w:t>
      </w:r>
      <w:r>
        <w:rPr>
          <w:lang w:val="es-ES_tradnl"/>
        </w:rPr>
        <w:t>,</w:t>
      </w:r>
      <w:r w:rsidRPr="00C904FA">
        <w:rPr>
          <w:lang w:val="es-ES_tradnl"/>
        </w:rPr>
        <w:t xml:space="preserve"> aunque la consideración del tema pasa luego a un segundo plano</w:t>
      </w:r>
      <w:r>
        <w:rPr>
          <w:lang w:val="es-ES_tradnl"/>
        </w:rPr>
        <w:t xml:space="preserve"> y hasta </w:t>
      </w:r>
      <w:r w:rsidRPr="00C904FA">
        <w:rPr>
          <w:lang w:val="es-ES_tradnl"/>
        </w:rPr>
        <w:t>es objeto de burlas de los comediantes estadounidenses (Stewart, 2012)</w:t>
      </w:r>
      <w:r>
        <w:rPr>
          <w:lang w:val="es-ES_tradnl"/>
        </w:rPr>
        <w:t>.</w:t>
      </w:r>
    </w:p>
    <w:p w:rsidR="00B015EE" w:rsidRPr="00C904FA" w:rsidRDefault="00B015EE" w:rsidP="00B015EE">
      <w:pPr>
        <w:rPr>
          <w:lang w:val="es-ES_tradnl"/>
        </w:rPr>
      </w:pPr>
      <w:r w:rsidRPr="00C904FA">
        <w:rPr>
          <w:lang w:val="es-ES_tradnl"/>
        </w:rPr>
        <w:t>Enfrentado con la opción de confrontar directamente el problema de la estadidad o posponer el asunto para una fecha futura</w:t>
      </w:r>
      <w:r>
        <w:rPr>
          <w:lang w:val="es-ES_tradnl"/>
        </w:rPr>
        <w:t>,</w:t>
      </w:r>
      <w:r w:rsidRPr="00C904FA">
        <w:rPr>
          <w:lang w:val="es-ES_tradnl"/>
        </w:rPr>
        <w:t xml:space="preserve"> el Congreso parece haber optado nuevamente por la po</w:t>
      </w:r>
      <w:r>
        <w:rPr>
          <w:lang w:val="es-ES_tradnl"/>
        </w:rPr>
        <w:t>lítica de posposición. En enero de</w:t>
      </w:r>
      <w:r w:rsidRPr="00C904FA">
        <w:rPr>
          <w:lang w:val="es-ES_tradnl"/>
        </w:rPr>
        <w:t xml:space="preserve"> 2014</w:t>
      </w:r>
      <w:r>
        <w:rPr>
          <w:lang w:val="es-ES_tradnl"/>
        </w:rPr>
        <w:t>,</w:t>
      </w:r>
      <w:r w:rsidRPr="00C904FA">
        <w:rPr>
          <w:lang w:val="es-ES_tradnl"/>
        </w:rPr>
        <w:t xml:space="preserve"> el Congreso aprobó la petición de fondos del </w:t>
      </w:r>
      <w:r>
        <w:rPr>
          <w:lang w:val="es-ES_tradnl"/>
        </w:rPr>
        <w:t xml:space="preserve">presidente </w:t>
      </w:r>
      <w:r w:rsidRPr="00C904FA">
        <w:rPr>
          <w:lang w:val="es-ES_tradnl"/>
        </w:rPr>
        <w:t>Obama en su presupuesto para el año fiscal 2013-14. En ese proyecto de administración se asignaron $2.5 millones para la celebración de un nuevo plebiscito de estatus (</w:t>
      </w:r>
      <w:r w:rsidRPr="00411C55">
        <w:rPr>
          <w:i/>
          <w:lang w:val="es-ES_tradnl"/>
        </w:rPr>
        <w:t>US Department of Justice</w:t>
      </w:r>
      <w:r w:rsidRPr="00C904FA">
        <w:rPr>
          <w:lang w:val="es-ES_tradnl"/>
        </w:rPr>
        <w:t xml:space="preserve">, 2013, 29). </w:t>
      </w:r>
    </w:p>
    <w:p w:rsidR="00B015EE" w:rsidRPr="00411C55" w:rsidRDefault="00B015EE" w:rsidP="00B015EE">
      <w:pPr>
        <w:widowControl w:val="0"/>
        <w:autoSpaceDE w:val="0"/>
        <w:autoSpaceDN w:val="0"/>
        <w:spacing w:line="240" w:lineRule="auto"/>
        <w:ind w:left="360" w:firstLine="360"/>
        <w:rPr>
          <w:rFonts w:eastAsia="Times New Roman"/>
          <w:sz w:val="16"/>
          <w:szCs w:val="24"/>
          <w:lang w:val="es-ES_tradnl"/>
        </w:rPr>
      </w:pPr>
    </w:p>
    <w:p w:rsidR="00B015EE" w:rsidRPr="00C904FA" w:rsidRDefault="00B015EE" w:rsidP="00B015EE">
      <w:pPr>
        <w:pStyle w:val="Heading2"/>
        <w:ind w:left="426" w:hanging="426"/>
        <w:jc w:val="both"/>
        <w:rPr>
          <w:lang w:val="es-ES_tradnl"/>
        </w:rPr>
      </w:pPr>
      <w:bookmarkStart w:id="17" w:name="_Toc384769719"/>
      <w:r w:rsidRPr="00C904FA">
        <w:rPr>
          <w:lang w:val="es-ES_tradnl"/>
        </w:rPr>
        <w:t xml:space="preserve">El </w:t>
      </w:r>
      <w:r>
        <w:rPr>
          <w:lang w:val="es-ES_tradnl"/>
        </w:rPr>
        <w:t>p</w:t>
      </w:r>
      <w:r w:rsidRPr="00C904FA">
        <w:rPr>
          <w:lang w:val="es-ES_tradnl"/>
        </w:rPr>
        <w:t>lan de Obama v</w:t>
      </w:r>
      <w:r>
        <w:rPr>
          <w:lang w:val="es-ES_tradnl"/>
        </w:rPr>
        <w:t>ersus</w:t>
      </w:r>
      <w:r w:rsidRPr="00C904FA">
        <w:rPr>
          <w:lang w:val="es-ES_tradnl"/>
        </w:rPr>
        <w:t xml:space="preserve"> el HR 2000</w:t>
      </w:r>
      <w:bookmarkEnd w:id="17"/>
    </w:p>
    <w:p w:rsidR="00B015EE" w:rsidRDefault="00B015EE" w:rsidP="00B015EE">
      <w:pPr>
        <w:spacing w:line="240" w:lineRule="auto"/>
        <w:rPr>
          <w:lang w:val="es-ES_tradnl"/>
        </w:rPr>
      </w:pPr>
    </w:p>
    <w:p w:rsidR="00B015EE" w:rsidRPr="00C904FA" w:rsidRDefault="00B015EE" w:rsidP="00B015EE">
      <w:pPr>
        <w:rPr>
          <w:lang w:val="es-ES_tradnl"/>
        </w:rPr>
      </w:pPr>
      <w:r w:rsidRPr="00C904FA">
        <w:rPr>
          <w:lang w:val="es-ES_tradnl"/>
        </w:rPr>
        <w:t xml:space="preserve">Barack Obama, como candidato a </w:t>
      </w:r>
      <w:r>
        <w:rPr>
          <w:lang w:val="es-ES_tradnl"/>
        </w:rPr>
        <w:t xml:space="preserve">presidente </w:t>
      </w:r>
      <w:r w:rsidRPr="00C904FA">
        <w:rPr>
          <w:lang w:val="es-ES_tradnl"/>
        </w:rPr>
        <w:t>del Partido Demócrata, se comprometió a</w:t>
      </w:r>
      <w:r>
        <w:rPr>
          <w:lang w:val="es-ES_tradnl"/>
        </w:rPr>
        <w:t xml:space="preserve"> </w:t>
      </w:r>
      <w:r w:rsidRPr="00C904FA">
        <w:rPr>
          <w:lang w:val="es-ES_tradnl"/>
        </w:rPr>
        <w:t>que el tema del estatus estaría encaminado en los primeros cuatro años de su mandato. Al igual que Obama, los presidentes de E</w:t>
      </w:r>
      <w:r>
        <w:rPr>
          <w:lang w:val="es-ES_tradnl"/>
        </w:rPr>
        <w:t xml:space="preserve">stados </w:t>
      </w:r>
      <w:r w:rsidRPr="00C904FA">
        <w:rPr>
          <w:lang w:val="es-ES_tradnl"/>
        </w:rPr>
        <w:t>U</w:t>
      </w:r>
      <w:r>
        <w:rPr>
          <w:lang w:val="es-ES_tradnl"/>
        </w:rPr>
        <w:t xml:space="preserve">nidos se han </w:t>
      </w:r>
      <w:r w:rsidRPr="00C904FA">
        <w:rPr>
          <w:lang w:val="es-ES_tradnl"/>
        </w:rPr>
        <w:t xml:space="preserve">pronunciado en el pasado sobre el tema del futuro político de </w:t>
      </w:r>
      <w:r>
        <w:rPr>
          <w:lang w:val="es-ES_tradnl"/>
        </w:rPr>
        <w:t>la Isla,</w:t>
      </w:r>
      <w:r w:rsidRPr="00C904FA">
        <w:rPr>
          <w:lang w:val="es-ES_tradnl"/>
        </w:rPr>
        <w:t xml:space="preserve"> pero luego ha habido poca acción por parte de </w:t>
      </w:r>
      <w:r>
        <w:rPr>
          <w:lang w:val="es-ES_tradnl"/>
        </w:rPr>
        <w:t xml:space="preserve">la </w:t>
      </w:r>
      <w:r w:rsidRPr="00C904FA">
        <w:rPr>
          <w:lang w:val="es-ES_tradnl"/>
        </w:rPr>
        <w:t>Casa Blanca (Trías Monge, 199</w:t>
      </w:r>
      <w:r>
        <w:rPr>
          <w:lang w:val="es-ES_tradnl"/>
        </w:rPr>
        <w:t>9</w:t>
      </w:r>
      <w:r w:rsidRPr="00C904FA">
        <w:rPr>
          <w:lang w:val="es-ES_tradnl"/>
        </w:rPr>
        <w:t xml:space="preserve">). </w:t>
      </w:r>
      <w:r>
        <w:rPr>
          <w:lang w:val="es-ES_tradnl"/>
        </w:rPr>
        <w:t>George H. Bush</w:t>
      </w:r>
      <w:r w:rsidRPr="00C904FA">
        <w:rPr>
          <w:lang w:val="es-ES_tradnl"/>
        </w:rPr>
        <w:t xml:space="preserve"> </w:t>
      </w:r>
      <w:r>
        <w:rPr>
          <w:lang w:val="es-ES_tradnl"/>
        </w:rPr>
        <w:t>fue e</w:t>
      </w:r>
      <w:r w:rsidRPr="00C904FA">
        <w:rPr>
          <w:lang w:val="es-ES_tradnl"/>
        </w:rPr>
        <w:t>l único presidente que incluyó el tema de Puerto Rico en años re</w:t>
      </w:r>
      <w:r>
        <w:rPr>
          <w:lang w:val="es-ES_tradnl"/>
        </w:rPr>
        <w:t>cientes en un Mensaje sobre el E</w:t>
      </w:r>
      <w:r w:rsidRPr="00C904FA">
        <w:rPr>
          <w:lang w:val="es-ES_tradnl"/>
        </w:rPr>
        <w:t>stado</w:t>
      </w:r>
      <w:r>
        <w:rPr>
          <w:lang w:val="es-ES_tradnl"/>
        </w:rPr>
        <w:t xml:space="preserve"> de la Unión </w:t>
      </w:r>
      <w:r w:rsidRPr="00C904FA">
        <w:rPr>
          <w:lang w:val="es-ES_tradnl"/>
        </w:rPr>
        <w:t>(Bush, 1989).</w:t>
      </w:r>
    </w:p>
    <w:p w:rsidR="00B015EE" w:rsidRPr="00C904FA" w:rsidRDefault="00B015EE" w:rsidP="00B015EE">
      <w:pPr>
        <w:rPr>
          <w:lang w:val="es-ES_tradnl"/>
        </w:rPr>
      </w:pPr>
      <w:r w:rsidRPr="00C904FA">
        <w:rPr>
          <w:lang w:val="es-ES_tradnl"/>
        </w:rPr>
        <w:t>Es de notar, sin embargo, que parece haber un reconocimiento entre ciertos hacedores de política pública</w:t>
      </w:r>
      <w:r>
        <w:rPr>
          <w:lang w:val="es-ES_tradnl"/>
        </w:rPr>
        <w:t xml:space="preserve"> de</w:t>
      </w:r>
      <w:r w:rsidRPr="00C904FA">
        <w:rPr>
          <w:lang w:val="es-ES_tradnl"/>
        </w:rPr>
        <w:t xml:space="preserve"> que existe la posibilidad de ensayar nuevos acercamientos al problema</w:t>
      </w:r>
      <w:r>
        <w:rPr>
          <w:lang w:val="es-ES_tradnl"/>
        </w:rPr>
        <w:t>,</w:t>
      </w:r>
      <w:r w:rsidRPr="00C904FA">
        <w:rPr>
          <w:lang w:val="es-ES_tradnl"/>
        </w:rPr>
        <w:t xml:space="preserve"> que deleguen parcialmente en el poder ejecutivo las acciones relativas al asunto del estatus. Tal es el caso de la iniciativa de Obama de asignar fondos para una consulta electoral sobre estatus</w:t>
      </w:r>
      <w:r>
        <w:rPr>
          <w:lang w:val="es-ES_tradnl"/>
        </w:rPr>
        <w:t>, sujeta</w:t>
      </w:r>
      <w:r w:rsidRPr="00C904FA">
        <w:rPr>
          <w:lang w:val="es-ES_tradnl"/>
        </w:rPr>
        <w:t xml:space="preserve"> a las definiciones que autorice el Departamento </w:t>
      </w:r>
      <w:r>
        <w:rPr>
          <w:lang w:val="es-ES_tradnl"/>
        </w:rPr>
        <w:t>de Justicia f</w:t>
      </w:r>
      <w:r w:rsidRPr="00C904FA">
        <w:rPr>
          <w:lang w:val="es-ES_tradnl"/>
        </w:rPr>
        <w:t>ederal de acue</w:t>
      </w:r>
      <w:r>
        <w:rPr>
          <w:lang w:val="es-ES_tradnl"/>
        </w:rPr>
        <w:t>rdo con las políticas públicas de su</w:t>
      </w:r>
      <w:r w:rsidRPr="00C904FA">
        <w:rPr>
          <w:lang w:val="es-ES_tradnl"/>
        </w:rPr>
        <w:t xml:space="preserve"> Gobierno</w:t>
      </w:r>
      <w:r>
        <w:rPr>
          <w:lang w:val="es-ES_tradnl"/>
        </w:rPr>
        <w:t>,</w:t>
      </w:r>
      <w:r w:rsidRPr="00C904FA">
        <w:rPr>
          <w:lang w:val="es-ES_tradnl"/>
        </w:rPr>
        <w:t xml:space="preserve"> según entendida</w:t>
      </w:r>
      <w:r>
        <w:rPr>
          <w:lang w:val="es-ES_tradnl"/>
        </w:rPr>
        <w:t>s</w:t>
      </w:r>
      <w:r w:rsidRPr="00C904FA">
        <w:rPr>
          <w:lang w:val="es-ES_tradnl"/>
        </w:rPr>
        <w:t xml:space="preserve"> por la rama ejecutiva. En este caso</w:t>
      </w:r>
      <w:r>
        <w:rPr>
          <w:lang w:val="es-ES_tradnl"/>
        </w:rPr>
        <w:t>,</w:t>
      </w:r>
      <w:r w:rsidRPr="00C904FA">
        <w:rPr>
          <w:lang w:val="es-ES_tradnl"/>
        </w:rPr>
        <w:t xml:space="preserve"> es el Congreso el que asigna los fondos pero es el poder ejecutivo </w:t>
      </w:r>
      <w:r>
        <w:rPr>
          <w:lang w:val="es-ES_tradnl"/>
        </w:rPr>
        <w:t xml:space="preserve">de Puerto Rico </w:t>
      </w:r>
      <w:r w:rsidRPr="00C904FA">
        <w:rPr>
          <w:lang w:val="es-ES_tradnl"/>
        </w:rPr>
        <w:t>el encargado de ponerlo en vigor</w:t>
      </w:r>
      <w:r>
        <w:rPr>
          <w:lang w:val="es-ES_tradnl"/>
        </w:rPr>
        <w:t>,</w:t>
      </w:r>
      <w:r w:rsidRPr="00C904FA">
        <w:rPr>
          <w:lang w:val="es-ES_tradnl"/>
        </w:rPr>
        <w:t xml:space="preserve"> sin legislación específica del Congreso </w:t>
      </w:r>
      <w:r>
        <w:rPr>
          <w:lang w:val="es-ES_tradnl"/>
        </w:rPr>
        <w:t xml:space="preserve">que </w:t>
      </w:r>
      <w:r w:rsidRPr="00C904FA">
        <w:rPr>
          <w:lang w:val="es-ES_tradnl"/>
        </w:rPr>
        <w:t>defin</w:t>
      </w:r>
      <w:r>
        <w:rPr>
          <w:lang w:val="es-ES_tradnl"/>
        </w:rPr>
        <w:t>a</w:t>
      </w:r>
      <w:r w:rsidRPr="00C904FA">
        <w:rPr>
          <w:lang w:val="es-ES_tradnl"/>
        </w:rPr>
        <w:t xml:space="preserve"> las fórmulas a presenta</w:t>
      </w:r>
      <w:r>
        <w:rPr>
          <w:lang w:val="es-ES_tradnl"/>
        </w:rPr>
        <w:t xml:space="preserve">rse </w:t>
      </w:r>
      <w:r w:rsidRPr="00C904FA">
        <w:rPr>
          <w:lang w:val="es-ES_tradnl"/>
        </w:rPr>
        <w:t xml:space="preserve">a los votantes (Delgado, 2014). </w:t>
      </w:r>
    </w:p>
    <w:p w:rsidR="00B015EE" w:rsidRPr="00C904FA" w:rsidRDefault="00B015EE" w:rsidP="00B015EE">
      <w:pPr>
        <w:rPr>
          <w:lang w:val="es-ES_tradnl"/>
        </w:rPr>
      </w:pPr>
      <w:r w:rsidRPr="00C904FA">
        <w:rPr>
          <w:lang w:val="es-ES_tradnl"/>
        </w:rPr>
        <w:t>De esta forma se logra un endoso indirecto del Congreso a la iniciativa</w:t>
      </w:r>
      <w:r>
        <w:rPr>
          <w:lang w:val="es-ES_tradnl"/>
        </w:rPr>
        <w:t>,</w:t>
      </w:r>
      <w:r w:rsidRPr="00C904FA">
        <w:rPr>
          <w:lang w:val="es-ES_tradnl"/>
        </w:rPr>
        <w:t xml:space="preserve"> sin que ello implique compromiso </w:t>
      </w:r>
      <w:r>
        <w:rPr>
          <w:lang w:val="es-ES_tradnl"/>
        </w:rPr>
        <w:t>previ</w:t>
      </w:r>
      <w:r w:rsidRPr="00C904FA">
        <w:rPr>
          <w:lang w:val="es-ES_tradnl"/>
        </w:rPr>
        <w:t>o de la rama legislativa de actuar sobre las peticiones de reforma política que puedan surgir del proceso</w:t>
      </w:r>
      <w:r>
        <w:rPr>
          <w:lang w:val="es-ES_tradnl"/>
        </w:rPr>
        <w:t>. Como no es de naturaleza auto</w:t>
      </w:r>
      <w:r w:rsidRPr="00C904FA">
        <w:rPr>
          <w:lang w:val="es-ES_tradnl"/>
        </w:rPr>
        <w:t>ejecutable</w:t>
      </w:r>
      <w:r>
        <w:rPr>
          <w:lang w:val="es-ES_tradnl"/>
        </w:rPr>
        <w:t>,</w:t>
      </w:r>
      <w:r w:rsidRPr="00C904FA">
        <w:rPr>
          <w:lang w:val="es-ES_tradnl"/>
        </w:rPr>
        <w:t xml:space="preserve"> el proceso de aprobación es más sencillo</w:t>
      </w:r>
      <w:r>
        <w:rPr>
          <w:lang w:val="es-ES_tradnl"/>
        </w:rPr>
        <w:t>, ya que se trata más bien</w:t>
      </w:r>
      <w:r w:rsidRPr="00C904FA">
        <w:rPr>
          <w:lang w:val="es-ES_tradnl"/>
        </w:rPr>
        <w:t xml:space="preserve"> de </w:t>
      </w:r>
      <w:r w:rsidRPr="00F71EB3">
        <w:t>un</w:t>
      </w:r>
      <w:r>
        <w:t>a consulta de opinión</w:t>
      </w:r>
      <w:r w:rsidRPr="00C904FA">
        <w:rPr>
          <w:lang w:val="es-ES_tradnl"/>
        </w:rPr>
        <w:t xml:space="preserve"> entre las opciones</w:t>
      </w:r>
      <w:r>
        <w:rPr>
          <w:lang w:val="es-ES_tradnl"/>
        </w:rPr>
        <w:t>,</w:t>
      </w:r>
      <w:r w:rsidRPr="00C904FA">
        <w:rPr>
          <w:lang w:val="es-ES_tradnl"/>
        </w:rPr>
        <w:t xml:space="preserve"> que no compromete al Congreso a llevar a cabo acci</w:t>
      </w:r>
      <w:r>
        <w:rPr>
          <w:lang w:val="es-ES_tradnl"/>
        </w:rPr>
        <w:t>ones</w:t>
      </w:r>
      <w:r w:rsidRPr="00C904FA">
        <w:rPr>
          <w:lang w:val="es-ES_tradnl"/>
        </w:rPr>
        <w:t xml:space="preserve"> posterior</w:t>
      </w:r>
      <w:r>
        <w:rPr>
          <w:lang w:val="es-ES_tradnl"/>
        </w:rPr>
        <w:t>es</w:t>
      </w:r>
      <w:r w:rsidRPr="00C904FA">
        <w:rPr>
          <w:lang w:val="es-ES_tradnl"/>
        </w:rPr>
        <w:t>. Ello es más probable si, como se espera, el electorado vuelv</w:t>
      </w:r>
      <w:r>
        <w:rPr>
          <w:lang w:val="es-ES_tradnl"/>
        </w:rPr>
        <w:t>e</w:t>
      </w:r>
      <w:r w:rsidRPr="00C904FA">
        <w:rPr>
          <w:lang w:val="es-ES_tradnl"/>
        </w:rPr>
        <w:t xml:space="preserve"> a manifestarse profundamente dividido sobre las opciones sustantivas de estatus.</w:t>
      </w:r>
    </w:p>
    <w:p w:rsidR="00B015EE" w:rsidRPr="00C904FA" w:rsidRDefault="00B015EE" w:rsidP="00B015EE">
      <w:pPr>
        <w:rPr>
          <w:lang w:val="es-ES_tradnl"/>
        </w:rPr>
      </w:pPr>
      <w:r w:rsidRPr="00C904FA">
        <w:rPr>
          <w:lang w:val="es-ES_tradnl"/>
        </w:rPr>
        <w:t xml:space="preserve">Este plan sometido por el </w:t>
      </w:r>
      <w:r>
        <w:rPr>
          <w:lang w:val="es-ES_tradnl"/>
        </w:rPr>
        <w:t xml:space="preserve">presidente </w:t>
      </w:r>
      <w:r w:rsidRPr="00C904FA">
        <w:rPr>
          <w:lang w:val="es-ES_tradnl"/>
        </w:rPr>
        <w:t xml:space="preserve">Obama </w:t>
      </w:r>
      <w:r>
        <w:rPr>
          <w:lang w:val="es-ES_tradnl"/>
        </w:rPr>
        <w:t>para</w:t>
      </w:r>
      <w:r w:rsidRPr="00C904FA">
        <w:rPr>
          <w:lang w:val="es-ES_tradnl"/>
        </w:rPr>
        <w:t xml:space="preserve"> realizar una consulta de estatus sin definiciones claras provistas por el Congreso ya había sido aprobado </w:t>
      </w:r>
      <w:r>
        <w:rPr>
          <w:lang w:val="es-ES_tradnl"/>
        </w:rPr>
        <w:t xml:space="preserve">en el 2001, </w:t>
      </w:r>
      <w:r w:rsidRPr="00C904FA">
        <w:rPr>
          <w:lang w:val="es-ES_tradnl"/>
        </w:rPr>
        <w:t xml:space="preserve">pero la asignación de fondos </w:t>
      </w:r>
      <w:r>
        <w:rPr>
          <w:lang w:val="es-ES_tradnl"/>
        </w:rPr>
        <w:t>no s</w:t>
      </w:r>
      <w:r w:rsidRPr="00C904FA">
        <w:rPr>
          <w:lang w:val="es-ES_tradnl"/>
        </w:rPr>
        <w:t>e utiliz</w:t>
      </w:r>
      <w:r>
        <w:rPr>
          <w:lang w:val="es-ES_tradnl"/>
        </w:rPr>
        <w:t>ó</w:t>
      </w:r>
      <w:r w:rsidRPr="00C904FA">
        <w:rPr>
          <w:lang w:val="es-ES_tradnl"/>
        </w:rPr>
        <w:t xml:space="preserve"> </w:t>
      </w:r>
      <w:r>
        <w:rPr>
          <w:lang w:val="es-ES_tradnl"/>
        </w:rPr>
        <w:t>entonces</w:t>
      </w:r>
      <w:r w:rsidRPr="00C904FA">
        <w:rPr>
          <w:lang w:val="es-ES_tradnl"/>
        </w:rPr>
        <w:t xml:space="preserve"> por el Gobierno de Puerto Rico (</w:t>
      </w:r>
      <w:r w:rsidRPr="00C904FA">
        <w:rPr>
          <w:i/>
          <w:lang w:val="es-ES_tradnl"/>
        </w:rPr>
        <w:t>Congressional Research Service</w:t>
      </w:r>
      <w:r w:rsidRPr="00C904FA">
        <w:rPr>
          <w:lang w:val="es-ES_tradnl"/>
        </w:rPr>
        <w:t xml:space="preserve">, 2012, 16). </w:t>
      </w:r>
    </w:p>
    <w:p w:rsidR="00B015EE" w:rsidRPr="00C904FA" w:rsidRDefault="00B015EE" w:rsidP="00B015EE">
      <w:pPr>
        <w:rPr>
          <w:lang w:val="es-ES_tradnl"/>
        </w:rPr>
      </w:pPr>
      <w:r w:rsidRPr="00C904FA">
        <w:rPr>
          <w:lang w:val="es-ES_tradnl"/>
        </w:rPr>
        <w:t>Sobre la iniciativa de Obama</w:t>
      </w:r>
      <w:r>
        <w:rPr>
          <w:lang w:val="es-ES_tradnl"/>
        </w:rPr>
        <w:t>,</w:t>
      </w:r>
      <w:r w:rsidRPr="00C904FA">
        <w:rPr>
          <w:lang w:val="es-ES_tradnl"/>
        </w:rPr>
        <w:t xml:space="preserve"> el profe</w:t>
      </w:r>
      <w:r>
        <w:rPr>
          <w:lang w:val="es-ES_tradnl"/>
        </w:rPr>
        <w:t xml:space="preserve">sor Charles R. Venator-Santiago </w:t>
      </w:r>
      <w:r w:rsidRPr="00C904FA">
        <w:rPr>
          <w:lang w:val="es-ES_tradnl"/>
        </w:rPr>
        <w:t>expres</w:t>
      </w:r>
      <w:r>
        <w:rPr>
          <w:lang w:val="es-ES_tradnl"/>
        </w:rPr>
        <w:t>ó</w:t>
      </w:r>
      <w:r w:rsidRPr="00C904FA">
        <w:rPr>
          <w:lang w:val="es-ES_tradnl"/>
        </w:rPr>
        <w:t xml:space="preserve"> lo siguiente:</w:t>
      </w:r>
    </w:p>
    <w:p w:rsidR="00B015EE" w:rsidRPr="0095547C" w:rsidRDefault="00B015EE" w:rsidP="00B015EE">
      <w:pPr>
        <w:widowControl w:val="0"/>
        <w:autoSpaceDE w:val="0"/>
        <w:autoSpaceDN w:val="0"/>
        <w:spacing w:line="240" w:lineRule="auto"/>
        <w:ind w:left="720" w:firstLine="0"/>
        <w:rPr>
          <w:rFonts w:eastAsia="Times New Roman"/>
          <w:szCs w:val="24"/>
        </w:rPr>
      </w:pPr>
      <w:r w:rsidRPr="00C904FA">
        <w:rPr>
          <w:rFonts w:eastAsia="Times New Roman"/>
          <w:szCs w:val="24"/>
          <w:lang w:val="en-US"/>
        </w:rPr>
        <w:t xml:space="preserve">President Obama’s request to fund a federal plebiscite for Puerto Rico sends a clear message that he does not recognize the outcome of the 2012 plebiscite [...]. This position is consistent with earlier statements by President Obama indicating that he would only support an outcome that reflected a substantive majority of the vote (presumably at least a two-thirds majority. </w:t>
      </w:r>
      <w:r w:rsidRPr="0095547C">
        <w:rPr>
          <w:rFonts w:eastAsia="Times New Roman"/>
          <w:szCs w:val="24"/>
        </w:rPr>
        <w:t xml:space="preserve">(Venator-Santiago, 2013) </w:t>
      </w:r>
    </w:p>
    <w:p w:rsidR="00B015EE" w:rsidRDefault="00B015EE" w:rsidP="00B015EE"/>
    <w:p w:rsidR="00B015EE" w:rsidRPr="00C904FA" w:rsidRDefault="00B015EE" w:rsidP="00B015EE">
      <w:pPr>
        <w:rPr>
          <w:lang w:val="es-ES_tradnl"/>
        </w:rPr>
      </w:pPr>
      <w:r>
        <w:rPr>
          <w:lang w:val="es-ES_tradnl"/>
        </w:rPr>
        <w:t>La primera iniciativa (HR 2000)</w:t>
      </w:r>
      <w:r w:rsidRPr="00C904FA">
        <w:rPr>
          <w:lang w:val="es-ES_tradnl"/>
        </w:rPr>
        <w:t xml:space="preserve"> </w:t>
      </w:r>
      <w:r w:rsidRPr="008B456C">
        <w:t>—</w:t>
      </w:r>
      <w:r w:rsidRPr="00C904FA">
        <w:rPr>
          <w:lang w:val="es-ES_tradnl"/>
        </w:rPr>
        <w:t>que para todos los efectos ya ha si</w:t>
      </w:r>
      <w:r>
        <w:rPr>
          <w:lang w:val="es-ES_tradnl"/>
        </w:rPr>
        <w:t>do descartada por el Congreso</w:t>
      </w:r>
      <w:r w:rsidRPr="008B456C">
        <w:t>—</w:t>
      </w:r>
      <w:r>
        <w:rPr>
          <w:lang w:val="es-ES_tradnl"/>
        </w:rPr>
        <w:t xml:space="preserve"> proponía un proceso autoejecutable y, por lo tanto, </w:t>
      </w:r>
      <w:r w:rsidRPr="00C904FA">
        <w:rPr>
          <w:lang w:val="es-ES_tradnl"/>
        </w:rPr>
        <w:t xml:space="preserve">obligaba al legislativo estadounidense a actuar con relación a sus resultados, mientras que la iniciativa de Obama no </w:t>
      </w:r>
      <w:r>
        <w:rPr>
          <w:lang w:val="es-ES_tradnl"/>
        </w:rPr>
        <w:t xml:space="preserve">lo hace </w:t>
      </w:r>
      <w:r w:rsidRPr="00C904FA">
        <w:rPr>
          <w:lang w:val="es-ES_tradnl"/>
        </w:rPr>
        <w:t>(</w:t>
      </w:r>
      <w:r w:rsidRPr="00C27DF8">
        <w:rPr>
          <w:i/>
          <w:lang w:val="es-ES_tradnl"/>
        </w:rPr>
        <w:t>US Department of Justice</w:t>
      </w:r>
      <w:r w:rsidRPr="00C904FA">
        <w:rPr>
          <w:lang w:val="es-ES_tradnl"/>
        </w:rPr>
        <w:t>, 2013,</w:t>
      </w:r>
      <w:r>
        <w:rPr>
          <w:lang w:val="es-ES_tradnl"/>
        </w:rPr>
        <w:t xml:space="preserve"> 29). La HR 2000</w:t>
      </w:r>
      <w:r w:rsidRPr="00C904FA">
        <w:rPr>
          <w:lang w:val="es-ES_tradnl"/>
        </w:rPr>
        <w:t xml:space="preserve"> </w:t>
      </w:r>
      <w:r w:rsidRPr="008B456C">
        <w:t>—</w:t>
      </w:r>
      <w:r w:rsidRPr="00C904FA">
        <w:rPr>
          <w:lang w:val="es-ES_tradnl"/>
        </w:rPr>
        <w:t>que solicitaba directamente comenzar el proceso de admisión</w:t>
      </w:r>
      <w:r w:rsidRPr="008B456C">
        <w:t>—</w:t>
      </w:r>
      <w:r>
        <w:rPr>
          <w:lang w:val="es-ES_tradnl"/>
        </w:rPr>
        <w:t xml:space="preserve"> fue respaldada por el PNP</w:t>
      </w:r>
      <w:r w:rsidRPr="00C904FA">
        <w:rPr>
          <w:lang w:val="es-ES_tradnl"/>
        </w:rPr>
        <w:t xml:space="preserve"> y en consecuencia por el </w:t>
      </w:r>
      <w:r>
        <w:rPr>
          <w:lang w:val="es-ES_tradnl"/>
        </w:rPr>
        <w:t xml:space="preserve">comisionado residente </w:t>
      </w:r>
      <w:r w:rsidRPr="00C904FA">
        <w:rPr>
          <w:lang w:val="es-ES_tradnl"/>
        </w:rPr>
        <w:t xml:space="preserve">Pedro Pierluisi, </w:t>
      </w:r>
      <w:r>
        <w:rPr>
          <w:lang w:val="es-ES_tradnl"/>
        </w:rPr>
        <w:t xml:space="preserve">presidente </w:t>
      </w:r>
      <w:r w:rsidRPr="00C904FA">
        <w:rPr>
          <w:lang w:val="es-ES_tradnl"/>
        </w:rPr>
        <w:t>de dicha colecti</w:t>
      </w:r>
      <w:r>
        <w:rPr>
          <w:lang w:val="es-ES_tradnl"/>
        </w:rPr>
        <w:t>vidad. La segunda,</w:t>
      </w:r>
      <w:r w:rsidRPr="00C904FA">
        <w:rPr>
          <w:lang w:val="es-ES_tradnl"/>
        </w:rPr>
        <w:t xml:space="preserve"> la del </w:t>
      </w:r>
      <w:r>
        <w:rPr>
          <w:lang w:val="es-ES_tradnl"/>
        </w:rPr>
        <w:t>presidente Obama,</w:t>
      </w:r>
      <w:r w:rsidRPr="00C904FA">
        <w:rPr>
          <w:lang w:val="es-ES_tradnl"/>
        </w:rPr>
        <w:t xml:space="preserve"> inicia un nuevo proceso de votaciones y fue apoyada por el liderato máximo de ambos partidos</w:t>
      </w:r>
      <w:r>
        <w:rPr>
          <w:lang w:val="es-ES_tradnl"/>
        </w:rPr>
        <w:t xml:space="preserve"> principales</w:t>
      </w:r>
      <w:r w:rsidRPr="00C904FA">
        <w:rPr>
          <w:lang w:val="es-ES_tradnl"/>
        </w:rPr>
        <w:t>. El PIP se opuso a ambas iniciativas y propuso</w:t>
      </w:r>
      <w:r>
        <w:rPr>
          <w:lang w:val="es-ES_tradnl"/>
        </w:rPr>
        <w:t>,</w:t>
      </w:r>
      <w:r w:rsidRPr="00C904FA">
        <w:rPr>
          <w:lang w:val="es-ES_tradnl"/>
        </w:rPr>
        <w:t xml:space="preserve"> en cambio</w:t>
      </w:r>
      <w:r>
        <w:rPr>
          <w:lang w:val="es-ES_tradnl"/>
        </w:rPr>
        <w:t>,</w:t>
      </w:r>
      <w:r w:rsidRPr="00C904FA">
        <w:rPr>
          <w:lang w:val="es-ES_tradnl"/>
        </w:rPr>
        <w:t xml:space="preserve"> la celebración de una asamblea de estatus (P. del S. 719, 2013). La primera medida (HR 2000) se ha enfrentado a la fuerte oposición en dicho organismo de aceptar de antemano un resultado de alteración del estatus</w:t>
      </w:r>
      <w:r>
        <w:rPr>
          <w:lang w:val="es-ES_tradnl"/>
        </w:rPr>
        <w:t xml:space="preserve"> (auto</w:t>
      </w:r>
      <w:r w:rsidRPr="00C904FA">
        <w:rPr>
          <w:lang w:val="es-ES_tradnl"/>
        </w:rPr>
        <w:t xml:space="preserve">ejecutabilidad) y su renuencia a considerar </w:t>
      </w:r>
      <w:r>
        <w:t>exclusivamente</w:t>
      </w:r>
      <w:r w:rsidRPr="00C904FA">
        <w:rPr>
          <w:lang w:val="es-ES_tradnl"/>
        </w:rPr>
        <w:t xml:space="preserve"> la estadidad como alternativa.</w:t>
      </w:r>
    </w:p>
    <w:p w:rsidR="00B015EE" w:rsidRPr="00C904FA" w:rsidRDefault="00B015EE" w:rsidP="00B015EE">
      <w:pPr>
        <w:rPr>
          <w:lang w:val="es-ES_tradnl"/>
        </w:rPr>
      </w:pPr>
      <w:r w:rsidRPr="00C904FA">
        <w:rPr>
          <w:lang w:val="es-ES_tradnl"/>
        </w:rPr>
        <w:t>Al momento</w:t>
      </w:r>
      <w:r>
        <w:rPr>
          <w:lang w:val="es-ES_tradnl"/>
        </w:rPr>
        <w:t>,</w:t>
      </w:r>
      <w:r w:rsidRPr="00C904FA">
        <w:rPr>
          <w:lang w:val="es-ES_tradnl"/>
        </w:rPr>
        <w:t xml:space="preserve"> el trámite legislativo en torno a la propuesta de estadidad es mínimo y la aprobación del proyecto de plebiscito de Obama prácticamente hace innecesario ningún trámite adicional sobre le medida. La legislación de referencia (HR 2000) tuvo</w:t>
      </w:r>
      <w:r>
        <w:rPr>
          <w:lang w:val="es-ES_tradnl"/>
        </w:rPr>
        <w:t xml:space="preserve"> </w:t>
      </w:r>
      <w:r w:rsidRPr="008B456C">
        <w:t>—</w:t>
      </w:r>
      <w:r>
        <w:rPr>
          <w:lang w:val="es-ES_tradnl"/>
        </w:rPr>
        <w:t>hasta diciembre de 2013 y</w:t>
      </w:r>
      <w:r w:rsidRPr="00C904FA">
        <w:rPr>
          <w:lang w:val="es-ES_tradnl"/>
        </w:rPr>
        <w:t xml:space="preserve"> según la pre</w:t>
      </w:r>
      <w:r>
        <w:rPr>
          <w:lang w:val="es-ES_tradnl"/>
        </w:rPr>
        <w:t>stigiosa firma no gubernamental</w:t>
      </w:r>
      <w:r w:rsidRPr="00C904FA">
        <w:rPr>
          <w:lang w:val="es-ES_tradnl"/>
        </w:rPr>
        <w:t xml:space="preserve"> Govtrack</w:t>
      </w:r>
      <w:r w:rsidRPr="008B456C">
        <w:t>—</w:t>
      </w:r>
      <w:r w:rsidRPr="00C904FA">
        <w:rPr>
          <w:lang w:val="es-ES_tradnl"/>
        </w:rPr>
        <w:t xml:space="preserve"> s</w:t>
      </w:r>
      <w:r>
        <w:rPr>
          <w:lang w:val="es-ES_tradnl"/>
        </w:rPr>
        <w:t>o</w:t>
      </w:r>
      <w:r w:rsidRPr="00C904FA">
        <w:rPr>
          <w:lang w:val="es-ES_tradnl"/>
        </w:rPr>
        <w:t>lo un 26% de ser favorecida en el Comité y s</w:t>
      </w:r>
      <w:r>
        <w:rPr>
          <w:lang w:val="es-ES_tradnl"/>
        </w:rPr>
        <w:t>o</w:t>
      </w:r>
      <w:r w:rsidRPr="00C904FA">
        <w:rPr>
          <w:lang w:val="es-ES_tradnl"/>
        </w:rPr>
        <w:t>lo un 4% de probabilidad de ser aprobada (</w:t>
      </w:r>
      <w:r w:rsidRPr="00C904FA">
        <w:rPr>
          <w:i/>
          <w:lang w:val="es-ES_tradnl"/>
        </w:rPr>
        <w:t>Govtrack</w:t>
      </w:r>
      <w:r>
        <w:rPr>
          <w:lang w:val="es-ES_tradnl"/>
        </w:rPr>
        <w:t>.us, 2013). Un informe de la</w:t>
      </w:r>
      <w:r w:rsidRPr="00C904FA">
        <w:rPr>
          <w:lang w:val="es-ES_tradnl"/>
        </w:rPr>
        <w:t xml:space="preserve"> </w:t>
      </w:r>
      <w:r w:rsidRPr="00C904FA">
        <w:rPr>
          <w:i/>
          <w:lang w:val="es-ES_tradnl"/>
        </w:rPr>
        <w:t>G</w:t>
      </w:r>
      <w:r>
        <w:rPr>
          <w:i/>
          <w:lang w:val="es-ES_tradnl"/>
        </w:rPr>
        <w:t>overnment</w:t>
      </w:r>
      <w:r w:rsidRPr="00C904FA">
        <w:rPr>
          <w:i/>
          <w:lang w:val="es-ES_tradnl"/>
        </w:rPr>
        <w:t xml:space="preserve"> Accountability Office</w:t>
      </w:r>
      <w:r w:rsidRPr="00C904FA">
        <w:rPr>
          <w:lang w:val="es-ES_tradnl"/>
        </w:rPr>
        <w:t xml:space="preserve"> (GAO</w:t>
      </w:r>
      <w:r>
        <w:rPr>
          <w:lang w:val="es-ES_tradnl"/>
        </w:rPr>
        <w:t>, por sus siglas en inglé</w:t>
      </w:r>
      <w:r w:rsidRPr="00C904FA">
        <w:rPr>
          <w:lang w:val="es-ES_tradnl"/>
        </w:rPr>
        <w:t>s)</w:t>
      </w:r>
      <w:r>
        <w:rPr>
          <w:lang w:val="es-ES_tradnl"/>
        </w:rPr>
        <w:t xml:space="preserve"> </w:t>
      </w:r>
      <w:r w:rsidRPr="008B456C">
        <w:t>—</w:t>
      </w:r>
      <w:r w:rsidRPr="00C904FA">
        <w:rPr>
          <w:lang w:val="es-ES_tradnl"/>
        </w:rPr>
        <w:t xml:space="preserve">en proceso de </w:t>
      </w:r>
      <w:r>
        <w:rPr>
          <w:lang w:val="es-ES_tradnl"/>
        </w:rPr>
        <w:t>elaboración</w:t>
      </w:r>
      <w:r w:rsidRPr="008B456C">
        <w:t>—</w:t>
      </w:r>
      <w:r w:rsidRPr="00C904FA">
        <w:rPr>
          <w:lang w:val="es-ES_tradnl"/>
        </w:rPr>
        <w:t xml:space="preserve"> se propone examinar los costos que implicaría para el Tesoro </w:t>
      </w:r>
      <w:r>
        <w:rPr>
          <w:lang w:val="es-ES_tradnl"/>
        </w:rPr>
        <w:t xml:space="preserve">federal </w:t>
      </w:r>
      <w:r w:rsidRPr="00C904FA">
        <w:rPr>
          <w:lang w:val="es-ES_tradnl"/>
        </w:rPr>
        <w:t>la admisión de Puerto Rico como estado federado</w:t>
      </w:r>
      <w:r>
        <w:rPr>
          <w:lang w:val="es-ES_tradnl"/>
        </w:rPr>
        <w:t>,</w:t>
      </w:r>
      <w:r w:rsidRPr="00C904FA">
        <w:rPr>
          <w:lang w:val="es-ES_tradnl"/>
        </w:rPr>
        <w:t xml:space="preserve"> y todo parece indicar que </w:t>
      </w:r>
      <w:r>
        <w:rPr>
          <w:lang w:val="es-ES_tradnl"/>
        </w:rPr>
        <w:t>su</w:t>
      </w:r>
      <w:r w:rsidRPr="00C904FA">
        <w:rPr>
          <w:lang w:val="es-ES_tradnl"/>
        </w:rPr>
        <w:t>s resultados será</w:t>
      </w:r>
      <w:r>
        <w:rPr>
          <w:lang w:val="es-ES_tradnl"/>
        </w:rPr>
        <w:t>n</w:t>
      </w:r>
      <w:r w:rsidRPr="00C904FA">
        <w:rPr>
          <w:lang w:val="es-ES_tradnl"/>
        </w:rPr>
        <w:t xml:space="preserve"> relevante</w:t>
      </w:r>
      <w:r>
        <w:rPr>
          <w:lang w:val="es-ES_tradnl"/>
        </w:rPr>
        <w:t>s</w:t>
      </w:r>
      <w:r w:rsidRPr="00C904FA">
        <w:rPr>
          <w:lang w:val="es-ES_tradnl"/>
        </w:rPr>
        <w:t xml:space="preserve"> en la consideración de l</w:t>
      </w:r>
      <w:r>
        <w:rPr>
          <w:lang w:val="es-ES_tradnl"/>
        </w:rPr>
        <w:t>os méritos de est</w:t>
      </w:r>
      <w:r w:rsidRPr="00C904FA">
        <w:rPr>
          <w:lang w:val="es-ES_tradnl"/>
        </w:rPr>
        <w:t>a opción en el Congreso (Delgado, 2013). Dicho informe debe desglosar el monto de varias partidas de fondos federales que aumentarían de forma dramática con la admisión de Puerto Rico como estado</w:t>
      </w:r>
      <w:r>
        <w:rPr>
          <w:lang w:val="es-ES_tradnl"/>
        </w:rPr>
        <w:t>,</w:t>
      </w:r>
      <w:r w:rsidRPr="00C904FA">
        <w:rPr>
          <w:lang w:val="es-ES_tradnl"/>
        </w:rPr>
        <w:t xml:space="preserve"> al eliminarse los topes en la asignación de dinero que existe al presente bajo el ELA (</w:t>
      </w:r>
      <w:r w:rsidRPr="00C904FA">
        <w:rPr>
          <w:i/>
          <w:lang w:val="es-ES_tradnl"/>
        </w:rPr>
        <w:t>Harris v Rosario</w:t>
      </w:r>
      <w:r w:rsidRPr="00C904FA">
        <w:rPr>
          <w:lang w:val="es-ES_tradnl"/>
        </w:rPr>
        <w:t>, 1980).</w:t>
      </w:r>
    </w:p>
    <w:p w:rsidR="00B015EE" w:rsidRPr="00C904FA" w:rsidRDefault="00B015EE" w:rsidP="00B015EE">
      <w:pPr>
        <w:rPr>
          <w:lang w:val="es-ES_tradnl"/>
        </w:rPr>
      </w:pPr>
      <w:r w:rsidRPr="00C904FA">
        <w:rPr>
          <w:lang w:val="es-ES_tradnl"/>
        </w:rPr>
        <w:t xml:space="preserve">En momentos en que el nivel de endeudamiento público de Estados Unidos emerge como un tema principal </w:t>
      </w:r>
      <w:r>
        <w:rPr>
          <w:lang w:val="es-ES_tradnl"/>
        </w:rPr>
        <w:t>en</w:t>
      </w:r>
      <w:r w:rsidRPr="00C904FA">
        <w:rPr>
          <w:lang w:val="es-ES_tradnl"/>
        </w:rPr>
        <w:t xml:space="preserve"> la opinión pública</w:t>
      </w:r>
      <w:r>
        <w:rPr>
          <w:lang w:val="es-ES_tradnl"/>
        </w:rPr>
        <w:t>,</w:t>
      </w:r>
      <w:r w:rsidRPr="00C904FA">
        <w:rPr>
          <w:lang w:val="es-ES_tradnl"/>
        </w:rPr>
        <w:t xml:space="preserve"> parecería lógico argüir que los posibles costos de la admisión de un nuevo estado son relevantes e incluso sería significativa cualquier participación de Estados Unidos en un rescate financiero de la Isla (</w:t>
      </w:r>
      <w:r w:rsidRPr="00C904FA">
        <w:rPr>
          <w:i/>
          <w:lang w:val="es-ES_tradnl"/>
        </w:rPr>
        <w:t>The Economist</w:t>
      </w:r>
      <w:r w:rsidRPr="00C904FA">
        <w:rPr>
          <w:lang w:val="es-ES_tradnl"/>
        </w:rPr>
        <w:t xml:space="preserve">, 2013). Los congresistas son muy sensitivos a las tendencias del electorado y para ellos es importante tomar nota de que un altísimo </w:t>
      </w:r>
      <w:r>
        <w:rPr>
          <w:lang w:val="es-ES_tradnl"/>
        </w:rPr>
        <w:t>porcentaje (</w:t>
      </w:r>
      <w:r w:rsidRPr="00C904FA">
        <w:rPr>
          <w:lang w:val="es-ES_tradnl"/>
        </w:rPr>
        <w:t>63%</w:t>
      </w:r>
      <w:r>
        <w:rPr>
          <w:lang w:val="es-ES_tradnl"/>
        </w:rPr>
        <w:t>)</w:t>
      </w:r>
      <w:r w:rsidRPr="00C904FA">
        <w:rPr>
          <w:lang w:val="es-ES_tradnl"/>
        </w:rPr>
        <w:t xml:space="preserve"> de la población estadounidense afirma que el sistema económico de Estados Unidos no está más seguro hoy, cinco años después de haber experimentado una fuerte recesión (</w:t>
      </w:r>
      <w:r w:rsidRPr="006A3923">
        <w:rPr>
          <w:lang w:val="es-ES_tradnl"/>
        </w:rPr>
        <w:t>Pew</w:t>
      </w:r>
      <w:r w:rsidRPr="00C904FA">
        <w:rPr>
          <w:lang w:val="es-ES_tradnl"/>
        </w:rPr>
        <w:t xml:space="preserve">, 2013). Esta es una presión de la opinión pública que los congresistas no pueden ignorar al momento de considerar medidas como la admisión de un nuevo estado que podría aumentar </w:t>
      </w:r>
      <w:r>
        <w:rPr>
          <w:lang w:val="es-ES_tradnl"/>
        </w:rPr>
        <w:t xml:space="preserve">el gasto </w:t>
      </w:r>
      <w:r>
        <w:t>federal</w:t>
      </w:r>
      <w:r>
        <w:rPr>
          <w:lang w:val="es-ES_tradnl"/>
        </w:rPr>
        <w:t xml:space="preserve">. </w:t>
      </w:r>
      <w:r w:rsidRPr="00C904FA">
        <w:rPr>
          <w:lang w:val="es-ES_tradnl"/>
        </w:rPr>
        <w:t>Ese aumento en las transferencias federales bajo el escenario de la estadidad ha sido amplia</w:t>
      </w:r>
      <w:r>
        <w:rPr>
          <w:lang w:val="es-ES_tradnl"/>
        </w:rPr>
        <w:t xml:space="preserve"> y </w:t>
      </w:r>
      <w:r w:rsidRPr="00C904FA">
        <w:rPr>
          <w:lang w:val="es-ES_tradnl"/>
        </w:rPr>
        <w:t xml:space="preserve">reiteradamente reseñado en la prensa en Puerto Rico (Márquez, 2004; Marino, 2012; </w:t>
      </w:r>
      <w:r w:rsidRPr="00C904FA">
        <w:rPr>
          <w:i/>
          <w:lang w:val="es-ES_tradnl"/>
        </w:rPr>
        <w:t>Primera Hora</w:t>
      </w:r>
      <w:r w:rsidRPr="00C904FA">
        <w:rPr>
          <w:lang w:val="es-ES_tradnl"/>
        </w:rPr>
        <w:t>, 2012). Pero todo ello ahora podría aplazarse</w:t>
      </w:r>
      <w:r>
        <w:rPr>
          <w:lang w:val="es-ES_tradnl"/>
        </w:rPr>
        <w:t>,</w:t>
      </w:r>
      <w:r w:rsidRPr="00C904FA">
        <w:rPr>
          <w:lang w:val="es-ES_tradnl"/>
        </w:rPr>
        <w:t xml:space="preserve"> hasta que se lleve a cabo un nuevo proceso de votación de estatus en Puerto Rico</w:t>
      </w:r>
      <w:r>
        <w:rPr>
          <w:lang w:val="es-ES_tradnl"/>
        </w:rPr>
        <w:t>,</w:t>
      </w:r>
      <w:r w:rsidRPr="00C904FA">
        <w:rPr>
          <w:lang w:val="es-ES_tradnl"/>
        </w:rPr>
        <w:t xml:space="preserve"> bajo los términos propuestos por la administración </w:t>
      </w:r>
      <w:r w:rsidRPr="008A45CC">
        <w:rPr>
          <w:lang w:val="es-ES_tradnl"/>
        </w:rPr>
        <w:t xml:space="preserve">Obama </w:t>
      </w:r>
      <w:r w:rsidRPr="008A45CC">
        <w:rPr>
          <w:color w:val="1A1A1A"/>
          <w:szCs w:val="32"/>
          <w:lang w:val="es-ES_tradnl"/>
        </w:rPr>
        <w:t>y legislados por la asamblea legislativa de Puerto Rico</w:t>
      </w:r>
      <w:r w:rsidRPr="008A45CC">
        <w:rPr>
          <w:lang w:val="es-ES_tradnl"/>
        </w:rPr>
        <w:t>.</w:t>
      </w:r>
    </w:p>
    <w:p w:rsidR="00B015EE" w:rsidRDefault="00B015EE" w:rsidP="00B015EE">
      <w:pPr>
        <w:rPr>
          <w:lang w:val="es-ES_tradnl"/>
        </w:rPr>
      </w:pPr>
      <w:r w:rsidRPr="00C904FA">
        <w:rPr>
          <w:lang w:val="es-ES_tradnl"/>
        </w:rPr>
        <w:t>La falta de acuerdos políticos y gubernamentales</w:t>
      </w:r>
      <w:r>
        <w:rPr>
          <w:lang w:val="es-ES_tradnl"/>
        </w:rPr>
        <w:t>, tanto en Puerto Rico como en E</w:t>
      </w:r>
      <w:r w:rsidRPr="00C904FA">
        <w:rPr>
          <w:lang w:val="es-ES_tradnl"/>
        </w:rPr>
        <w:t>stados Unidos</w:t>
      </w:r>
      <w:r>
        <w:rPr>
          <w:lang w:val="es-ES_tradnl"/>
        </w:rPr>
        <w:t>,</w:t>
      </w:r>
      <w:r w:rsidRPr="00C904FA">
        <w:rPr>
          <w:lang w:val="es-ES_tradnl"/>
        </w:rPr>
        <w:t xml:space="preserve"> sería suficiente para descartar como ilusorio que el Congreso se embarque en un examen detallado y a fondo del problema político de estatus. A ello hay que añadirle, sin embargo, otro factor más importante aún: la grave crisis económica y fiscal de Puerto Rico</w:t>
      </w:r>
      <w:r>
        <w:rPr>
          <w:lang w:val="es-ES_tradnl"/>
        </w:rPr>
        <w:t>,</w:t>
      </w:r>
      <w:r w:rsidRPr="00C904FA">
        <w:rPr>
          <w:lang w:val="es-ES_tradnl"/>
        </w:rPr>
        <w:t xml:space="preserve"> y su efecto en los medio</w:t>
      </w:r>
      <w:r>
        <w:rPr>
          <w:lang w:val="es-ES_tradnl"/>
        </w:rPr>
        <w:t>s</w:t>
      </w:r>
      <w:r w:rsidRPr="00C904FA">
        <w:rPr>
          <w:lang w:val="es-ES_tradnl"/>
        </w:rPr>
        <w:t xml:space="preserve"> de formación de opi</w:t>
      </w:r>
      <w:r>
        <w:rPr>
          <w:lang w:val="es-ES_tradnl"/>
        </w:rPr>
        <w:t>nión pública en Estados Unidos.</w:t>
      </w:r>
    </w:p>
    <w:p w:rsidR="00B015EE" w:rsidRPr="00C904FA" w:rsidRDefault="00B015EE" w:rsidP="00B015EE">
      <w:pPr>
        <w:spacing w:line="240" w:lineRule="auto"/>
        <w:rPr>
          <w:lang w:val="es-ES_tradnl"/>
        </w:rPr>
      </w:pPr>
    </w:p>
    <w:p w:rsidR="00B015EE" w:rsidRPr="00C904FA" w:rsidRDefault="00B015EE" w:rsidP="00B015EE">
      <w:pPr>
        <w:pStyle w:val="Heading2"/>
        <w:ind w:left="426" w:hanging="426"/>
        <w:jc w:val="both"/>
        <w:rPr>
          <w:lang w:val="es-ES_tradnl"/>
        </w:rPr>
      </w:pPr>
      <w:bookmarkStart w:id="18" w:name="_Toc384769720"/>
      <w:r w:rsidRPr="00C904FA">
        <w:rPr>
          <w:lang w:val="es-ES_tradnl"/>
        </w:rPr>
        <w:t>La crisis fiscal de Puerto Rico</w:t>
      </w:r>
      <w:bookmarkEnd w:id="18"/>
    </w:p>
    <w:p w:rsidR="00B015EE" w:rsidRDefault="00B015EE" w:rsidP="00B015EE">
      <w:pPr>
        <w:spacing w:line="360" w:lineRule="auto"/>
        <w:rPr>
          <w:lang w:val="es-ES_tradnl"/>
        </w:rPr>
      </w:pPr>
    </w:p>
    <w:p w:rsidR="00B015EE" w:rsidRPr="00C904FA" w:rsidRDefault="00B015EE" w:rsidP="00B015EE">
      <w:pPr>
        <w:rPr>
          <w:lang w:val="es-ES_tradnl"/>
        </w:rPr>
      </w:pPr>
      <w:r w:rsidRPr="00C904FA">
        <w:rPr>
          <w:lang w:val="es-ES_tradnl"/>
        </w:rPr>
        <w:t>Al presente se produce una gran intensificación de la atención en los medios de prensa de Estados Unidos sobre el tema de Puerto Rico. Ello es importante</w:t>
      </w:r>
      <w:r>
        <w:rPr>
          <w:lang w:val="es-ES_tradnl"/>
        </w:rPr>
        <w:t>,</w:t>
      </w:r>
      <w:r w:rsidRPr="00C904FA">
        <w:rPr>
          <w:lang w:val="es-ES_tradnl"/>
        </w:rPr>
        <w:t xml:space="preserve"> dada la capacidad de los medios de comunicación de influir sobre las percepciones de crisis</w:t>
      </w:r>
      <w:r>
        <w:rPr>
          <w:lang w:val="es-ES_tradnl"/>
        </w:rPr>
        <w:t xml:space="preserve"> </w:t>
      </w:r>
      <w:r w:rsidRPr="00C904FA">
        <w:rPr>
          <w:lang w:val="es-ES_tradnl"/>
        </w:rPr>
        <w:t>y convertirlas en reacciones en cadena (Kepplinger, HM,</w:t>
      </w:r>
      <w:r>
        <w:rPr>
          <w:lang w:val="es-ES_tradnl"/>
        </w:rPr>
        <w:t xml:space="preserve"> y</w:t>
      </w:r>
      <w:r w:rsidRPr="00C904FA">
        <w:rPr>
          <w:lang w:val="es-ES_tradnl"/>
        </w:rPr>
        <w:t xml:space="preserve"> Roth, H., 1979, 295). No obstante, el foco principal de tal mirada se centra en los riesgos que podría implicar para la economía y sociedad de Estados Unidos el que Puerto Rico experimente un colapso financiero que impacte el mercado de bonos municipales de ese país (Velez-Hagan, 2013; Bary, 2013; Gómez, 2013; Williams, 2013; Nolan, 2013; Fletcher; 2013). La mayoría de tales noticias describe un cuadro de pobreza y desesperanza generalizada (Fletcher, 2013; Tordman, J. 2013)</w:t>
      </w:r>
      <w:r>
        <w:rPr>
          <w:lang w:val="es-ES_tradnl"/>
        </w:rPr>
        <w:t>,</w:t>
      </w:r>
      <w:r w:rsidRPr="00C904FA">
        <w:rPr>
          <w:lang w:val="es-ES_tradnl"/>
        </w:rPr>
        <w:t xml:space="preserve"> y tie</w:t>
      </w:r>
      <w:r>
        <w:rPr>
          <w:lang w:val="es-ES_tradnl"/>
        </w:rPr>
        <w:t>nde</w:t>
      </w:r>
      <w:r w:rsidRPr="00C904FA">
        <w:rPr>
          <w:lang w:val="es-ES_tradnl"/>
        </w:rPr>
        <w:t xml:space="preserve"> a considerar los problemas reseñados como estructurales y de largo alcance. </w:t>
      </w:r>
    </w:p>
    <w:p w:rsidR="00B015EE" w:rsidRPr="00C904FA" w:rsidRDefault="00B015EE" w:rsidP="00B015EE">
      <w:pPr>
        <w:rPr>
          <w:lang w:val="es-ES_tradnl"/>
        </w:rPr>
      </w:pPr>
      <w:r w:rsidRPr="00C904FA">
        <w:rPr>
          <w:lang w:val="es-ES_tradnl"/>
        </w:rPr>
        <w:t>La administración de Obama compart</w:t>
      </w:r>
      <w:r>
        <w:rPr>
          <w:lang w:val="es-ES_tradnl"/>
        </w:rPr>
        <w:t>e</w:t>
      </w:r>
      <w:r w:rsidRPr="00C904FA">
        <w:rPr>
          <w:lang w:val="es-ES_tradnl"/>
        </w:rPr>
        <w:t xml:space="preserve"> </w:t>
      </w:r>
      <w:r>
        <w:rPr>
          <w:lang w:val="es-ES_tradnl"/>
        </w:rPr>
        <w:t>la per</w:t>
      </w:r>
      <w:r w:rsidRPr="00C904FA">
        <w:rPr>
          <w:lang w:val="es-ES_tradnl"/>
        </w:rPr>
        <w:t>cepción de que se atraviesa por una etapa llena de dificultades</w:t>
      </w:r>
      <w:r>
        <w:rPr>
          <w:lang w:val="es-ES_tradnl"/>
        </w:rPr>
        <w:t>,</w:t>
      </w:r>
      <w:r w:rsidRPr="00C904FA">
        <w:rPr>
          <w:lang w:val="es-ES_tradnl"/>
        </w:rPr>
        <w:t xml:space="preserve"> tal como</w:t>
      </w:r>
      <w:r>
        <w:rPr>
          <w:lang w:val="es-ES_tradnl"/>
        </w:rPr>
        <w:t xml:space="preserve"> lo expresó uno de sus voceros </w:t>
      </w:r>
      <w:r w:rsidRPr="00C904FA">
        <w:rPr>
          <w:lang w:val="es-ES_tradnl"/>
        </w:rPr>
        <w:t>en noviembre de 2012: “Los problemas de Puerto Rico no surgieron súbitamente y no se arreglarán rápidamente” (Tordman, J.</w:t>
      </w:r>
      <w:r>
        <w:rPr>
          <w:lang w:val="es-ES_tradnl"/>
        </w:rPr>
        <w:t>,</w:t>
      </w:r>
      <w:r w:rsidRPr="00C904FA">
        <w:rPr>
          <w:lang w:val="es-ES_tradnl"/>
        </w:rPr>
        <w:t xml:space="preserve"> 2013). Varias de las fuentes consultadas en la prensa de Estados Unidos se muestran escépticas sobre la viabilidad de un paquete de rescate fiscal para Puerto Rico (</w:t>
      </w:r>
      <w:r w:rsidRPr="00C904FA">
        <w:rPr>
          <w:i/>
          <w:lang w:val="es-ES_tradnl"/>
        </w:rPr>
        <w:t>The Economist</w:t>
      </w:r>
      <w:r w:rsidRPr="00C904FA">
        <w:rPr>
          <w:lang w:val="es-ES_tradnl"/>
        </w:rPr>
        <w:t>, 2013; Farrel, 2013)</w:t>
      </w:r>
      <w:r>
        <w:rPr>
          <w:lang w:val="es-ES_tradnl"/>
        </w:rPr>
        <w:t>, ya que</w:t>
      </w:r>
      <w:r w:rsidRPr="00C904FA">
        <w:rPr>
          <w:lang w:val="es-ES_tradnl"/>
        </w:rPr>
        <w:t xml:space="preserve"> </w:t>
      </w:r>
      <w:r w:rsidRPr="008B456C">
        <w:t>—</w:t>
      </w:r>
      <w:r w:rsidRPr="00C904FA">
        <w:rPr>
          <w:lang w:val="es-ES_tradnl"/>
        </w:rPr>
        <w:t>entre otras cosas</w:t>
      </w:r>
      <w:r w:rsidRPr="008B456C">
        <w:t>—</w:t>
      </w:r>
      <w:r w:rsidRPr="00C904FA">
        <w:rPr>
          <w:lang w:val="es-ES_tradnl"/>
        </w:rPr>
        <w:t xml:space="preserve"> le correspondería a un Congreso republicano atender un asunto de una población hispana identificada con el Partido Demócrata (</w:t>
      </w:r>
      <w:r w:rsidRPr="00C904FA">
        <w:rPr>
          <w:i/>
          <w:lang w:val="es-ES_tradnl"/>
        </w:rPr>
        <w:t>The Economist</w:t>
      </w:r>
      <w:r w:rsidRPr="00C904FA">
        <w:rPr>
          <w:lang w:val="es-ES_tradnl"/>
        </w:rPr>
        <w:t>, 2013). A</w:t>
      </w:r>
      <w:r>
        <w:rPr>
          <w:lang w:val="es-ES_tradnl"/>
        </w:rPr>
        <w:t>lgunos de los análisis</w:t>
      </w:r>
      <w:r w:rsidRPr="00C904FA">
        <w:rPr>
          <w:lang w:val="es-ES_tradnl"/>
        </w:rPr>
        <w:t xml:space="preserve"> </w:t>
      </w:r>
      <w:r w:rsidRPr="008B456C">
        <w:t>—</w:t>
      </w:r>
      <w:r w:rsidRPr="00C904FA">
        <w:rPr>
          <w:lang w:val="es-ES_tradnl"/>
        </w:rPr>
        <w:t xml:space="preserve">como uno publicado en </w:t>
      </w:r>
      <w:r w:rsidRPr="00C904FA">
        <w:rPr>
          <w:i/>
          <w:lang w:val="es-ES_tradnl"/>
        </w:rPr>
        <w:t>Forbes</w:t>
      </w:r>
      <w:r>
        <w:rPr>
          <w:lang w:val="es-ES_tradnl"/>
        </w:rPr>
        <w:t xml:space="preserve"> a fines del año 2013</w:t>
      </w:r>
      <w:r w:rsidRPr="008B456C">
        <w:t>—</w:t>
      </w:r>
      <w:r w:rsidRPr="00C904FA">
        <w:rPr>
          <w:lang w:val="es-ES_tradnl"/>
        </w:rPr>
        <w:t xml:space="preserve"> comienzan a ver el</w:t>
      </w:r>
      <w:r>
        <w:rPr>
          <w:lang w:val="es-ES_tradnl"/>
        </w:rPr>
        <w:t xml:space="preserve"> incumplimiento</w:t>
      </w:r>
      <w:r w:rsidRPr="00C904FA">
        <w:rPr>
          <w:lang w:val="es-ES_tradnl"/>
        </w:rPr>
        <w:t xml:space="preserve"> </w:t>
      </w:r>
      <w:r>
        <w:rPr>
          <w:lang w:val="es-ES_tradnl"/>
        </w:rPr>
        <w:t>(</w:t>
      </w:r>
      <w:r w:rsidRPr="00633B3F">
        <w:rPr>
          <w:i/>
          <w:lang w:val="es-ES_tradnl"/>
        </w:rPr>
        <w:t>default</w:t>
      </w:r>
      <w:r>
        <w:rPr>
          <w:lang w:val="es-ES_tradnl"/>
        </w:rPr>
        <w:t>)</w:t>
      </w:r>
      <w:r w:rsidRPr="00C904FA">
        <w:rPr>
          <w:lang w:val="es-ES_tradnl"/>
        </w:rPr>
        <w:t xml:space="preserve"> como inevitable (Vélez-Hagan, 2013)</w:t>
      </w:r>
      <w:r>
        <w:rPr>
          <w:lang w:val="es-ES_tradnl"/>
        </w:rPr>
        <w:t>,</w:t>
      </w:r>
      <w:r w:rsidRPr="00C904FA">
        <w:rPr>
          <w:lang w:val="es-ES_tradnl"/>
        </w:rPr>
        <w:t xml:space="preserve"> aunque no existe consenso al respecto en el mundo financiero (Larkin, 2013).</w:t>
      </w:r>
    </w:p>
    <w:p w:rsidR="00B015EE" w:rsidRPr="00C904FA" w:rsidRDefault="00B015EE" w:rsidP="00B015EE">
      <w:pPr>
        <w:rPr>
          <w:lang w:val="es-ES_tradnl"/>
        </w:rPr>
      </w:pPr>
      <w:r w:rsidRPr="00C904FA">
        <w:rPr>
          <w:lang w:val="es-ES_tradnl"/>
        </w:rPr>
        <w:t>Las posibles consecuencias de la continua degradación del crédito de Pue</w:t>
      </w:r>
      <w:r>
        <w:rPr>
          <w:lang w:val="es-ES_tradnl"/>
        </w:rPr>
        <w:t xml:space="preserve">rto Rico tienen muy preocupados </w:t>
      </w:r>
      <w:r w:rsidRPr="00C904FA">
        <w:rPr>
          <w:lang w:val="es-ES_tradnl"/>
        </w:rPr>
        <w:t>a ciertos analistas del sector financiero</w:t>
      </w:r>
      <w:r>
        <w:rPr>
          <w:lang w:val="es-ES_tradnl"/>
        </w:rPr>
        <w:t>,</w:t>
      </w:r>
      <w:r w:rsidRPr="00C904FA">
        <w:rPr>
          <w:lang w:val="es-ES_tradnl"/>
        </w:rPr>
        <w:t xml:space="preserve"> tanto en Estados Unidos como internacional</w:t>
      </w:r>
      <w:r>
        <w:rPr>
          <w:lang w:val="es-ES_tradnl"/>
        </w:rPr>
        <w:t>mente</w:t>
      </w:r>
      <w:r w:rsidRPr="00C904FA">
        <w:rPr>
          <w:lang w:val="es-ES_tradnl"/>
        </w:rPr>
        <w:t xml:space="preserve"> (Moody</w:t>
      </w:r>
      <w:r>
        <w:rPr>
          <w:lang w:val="es-ES_tradnl"/>
        </w:rPr>
        <w:t>’</w:t>
      </w:r>
      <w:r w:rsidRPr="00C904FA">
        <w:rPr>
          <w:lang w:val="es-ES_tradnl"/>
        </w:rPr>
        <w:t xml:space="preserve">s, 2013; McDonald, 2014; </w:t>
      </w:r>
      <w:r w:rsidRPr="00C904FA">
        <w:rPr>
          <w:i/>
          <w:lang w:val="es-ES_tradnl"/>
        </w:rPr>
        <w:t>Financial Times</w:t>
      </w:r>
      <w:r w:rsidRPr="00C904FA">
        <w:rPr>
          <w:lang w:val="es-ES_tradnl"/>
        </w:rPr>
        <w:t>, 2013)</w:t>
      </w:r>
      <w:r>
        <w:rPr>
          <w:lang w:val="es-ES_tradnl"/>
        </w:rPr>
        <w:t xml:space="preserve">, </w:t>
      </w:r>
      <w:r w:rsidRPr="00C904FA">
        <w:rPr>
          <w:lang w:val="es-ES_tradnl"/>
        </w:rPr>
        <w:t>porque el potencial desestabilizador de tal escenario es significativo. De hecho</w:t>
      </w:r>
      <w:r>
        <w:rPr>
          <w:lang w:val="es-ES_tradnl"/>
        </w:rPr>
        <w:t>,</w:t>
      </w:r>
      <w:r w:rsidRPr="00C904FA">
        <w:rPr>
          <w:lang w:val="es-ES_tradnl"/>
        </w:rPr>
        <w:t xml:space="preserve"> algunos analistas proponen que Estados Unidos se mantenga</w:t>
      </w:r>
      <w:r>
        <w:rPr>
          <w:lang w:val="es-ES_tradnl"/>
        </w:rPr>
        <w:t xml:space="preserve"> tan lejos como sea posible de est</w:t>
      </w:r>
      <w:r w:rsidRPr="00C904FA">
        <w:rPr>
          <w:lang w:val="es-ES_tradnl"/>
        </w:rPr>
        <w:t>a crisis fiscal (McDonald, 2013)</w:t>
      </w:r>
      <w:r>
        <w:rPr>
          <w:lang w:val="es-ES_tradnl"/>
        </w:rPr>
        <w:t>,</w:t>
      </w:r>
      <w:r w:rsidRPr="00C904FA">
        <w:rPr>
          <w:lang w:val="es-ES_tradnl"/>
        </w:rPr>
        <w:t xml:space="preserve"> aunque es </w:t>
      </w:r>
      <w:r w:rsidRPr="00E11665">
        <w:rPr>
          <w:lang w:val="es-ES_tradnl"/>
        </w:rPr>
        <w:t>verdaderamente</w:t>
      </w:r>
      <w:r w:rsidRPr="00C904FA">
        <w:rPr>
          <w:lang w:val="es-ES_tradnl"/>
        </w:rPr>
        <w:t xml:space="preserve"> difícil de visualizar como eso es realmente posible. </w:t>
      </w:r>
      <w:r w:rsidRPr="00E868BB">
        <w:t>La Reserva Federal, sin embargo, manifestó que el</w:t>
      </w:r>
      <w:r>
        <w:t xml:space="preserve"> asunto de la crisis fiscal de </w:t>
      </w:r>
      <w:r w:rsidRPr="00E868BB">
        <w:t xml:space="preserve">Puerto Rico debía </w:t>
      </w:r>
      <w:r>
        <w:t>mantener</w:t>
      </w:r>
      <w:r w:rsidRPr="00E868BB">
        <w:t>se bajo observación (Sheuble, 2014).</w:t>
      </w:r>
    </w:p>
    <w:p w:rsidR="00B015EE" w:rsidRPr="00C904FA" w:rsidRDefault="00B015EE" w:rsidP="00B015EE">
      <w:pPr>
        <w:rPr>
          <w:lang w:val="es-ES_tradnl"/>
        </w:rPr>
      </w:pPr>
      <w:r w:rsidRPr="00C904FA">
        <w:rPr>
          <w:lang w:val="es-ES_tradnl"/>
        </w:rPr>
        <w:t>Las agencias acreditadoras entienden que Puerto Rico exhibe problemas de liquidez en sus finanzas públicas, una alta dependencia en la obtención de préstamos de corto plazo para costear su operación y un acceso muy restringido a los mercados de financiamiento por la acumulación de una deuda pública exagerada con relación a un bajo desempeño de la economía (</w:t>
      </w:r>
      <w:r w:rsidRPr="00C904FA">
        <w:rPr>
          <w:i/>
          <w:lang w:val="es-ES_tradnl"/>
        </w:rPr>
        <w:t>Global Credit Research de Moody</w:t>
      </w:r>
      <w:r>
        <w:rPr>
          <w:i/>
          <w:lang w:val="es-ES_tradnl"/>
        </w:rPr>
        <w:t>’s</w:t>
      </w:r>
      <w:r w:rsidRPr="00C904FA">
        <w:rPr>
          <w:lang w:val="es-ES_tradnl"/>
        </w:rPr>
        <w:t xml:space="preserve"> (2013). Todo ello</w:t>
      </w:r>
      <w:r>
        <w:rPr>
          <w:lang w:val="es-ES_tradnl"/>
        </w:rPr>
        <w:t>, según estos reportajes,</w:t>
      </w:r>
      <w:r w:rsidRPr="00C904FA">
        <w:rPr>
          <w:lang w:val="es-ES_tradnl"/>
        </w:rPr>
        <w:t xml:space="preserve"> resultó en la degradación llevada a cabo por Standard and Poor’s.</w:t>
      </w:r>
    </w:p>
    <w:p w:rsidR="00B015EE" w:rsidRPr="00C904FA" w:rsidRDefault="00B015EE" w:rsidP="00B015EE">
      <w:pPr>
        <w:rPr>
          <w:lang w:val="es-ES_tradnl"/>
        </w:rPr>
      </w:pPr>
      <w:r w:rsidRPr="00C904FA">
        <w:rPr>
          <w:lang w:val="es-ES_tradnl"/>
        </w:rPr>
        <w:t>Algunos de las noticias sobre Puerto Rico apuntan también hacia el problema de la intensificación de la migración de puertorriqueños hacia Estados Unidos</w:t>
      </w:r>
      <w:r>
        <w:rPr>
          <w:lang w:val="es-ES_tradnl"/>
        </w:rPr>
        <w:t>, a</w:t>
      </w:r>
      <w:r w:rsidRPr="00C904FA">
        <w:rPr>
          <w:lang w:val="es-ES_tradnl"/>
        </w:rPr>
        <w:t xml:space="preserve"> causa </w:t>
      </w:r>
      <w:r>
        <w:rPr>
          <w:lang w:val="es-ES_tradnl"/>
        </w:rPr>
        <w:t>d</w:t>
      </w:r>
      <w:r w:rsidRPr="00C904FA">
        <w:rPr>
          <w:lang w:val="es-ES_tradnl"/>
        </w:rPr>
        <w:t>el desempleo crónico, la baja tasa de participación laboral y la criminalidad (Williams Wash, 2013; Miller, M. Michel, C, 2013; Campo-Flores, A., 2014, El Nasser, H., 2012)</w:t>
      </w:r>
      <w:r>
        <w:rPr>
          <w:lang w:val="es-ES_tradnl"/>
        </w:rPr>
        <w:t>,</w:t>
      </w:r>
      <w:r w:rsidRPr="00C904FA">
        <w:rPr>
          <w:lang w:val="es-ES_tradnl"/>
        </w:rPr>
        <w:t xml:space="preserve"> mientras otros se enfocan en los efectos de la pérdida de incentivos contributivos para la manufactura (</w:t>
      </w:r>
      <w:r w:rsidRPr="00C904FA">
        <w:rPr>
          <w:i/>
          <w:lang w:val="es-ES_tradnl"/>
        </w:rPr>
        <w:t>The Economist</w:t>
      </w:r>
      <w:r w:rsidRPr="00C904FA">
        <w:rPr>
          <w:lang w:val="es-ES_tradnl"/>
        </w:rPr>
        <w:t xml:space="preserve">, 2013). En algunos </w:t>
      </w:r>
      <w:r>
        <w:rPr>
          <w:lang w:val="es-ES_tradnl"/>
        </w:rPr>
        <w:t>d</w:t>
      </w:r>
      <w:r w:rsidRPr="00C904FA">
        <w:rPr>
          <w:lang w:val="es-ES_tradnl"/>
        </w:rPr>
        <w:t>e estos artículos se insiste en el aumento de la migración puertorriqueña puede representar riesgos de contagio de activ</w:t>
      </w:r>
      <w:r>
        <w:rPr>
          <w:lang w:val="es-ES_tradnl"/>
        </w:rPr>
        <w:t xml:space="preserve">idad criminal para el resto de </w:t>
      </w:r>
      <w:r w:rsidRPr="00C904FA">
        <w:rPr>
          <w:lang w:val="es-ES_tradnl"/>
        </w:rPr>
        <w:t>Estados Unidos</w:t>
      </w:r>
      <w:r w:rsidRPr="00C904FA">
        <w:rPr>
          <w:rFonts w:ascii="Garamond" w:hAnsi="Garamond" w:cs="Garamond"/>
          <w:sz w:val="20"/>
          <w:szCs w:val="20"/>
          <w:lang w:val="es-ES_tradnl"/>
        </w:rPr>
        <w:t xml:space="preserve"> </w:t>
      </w:r>
      <w:r w:rsidRPr="00E11665">
        <w:rPr>
          <w:rFonts w:cs="Garamond"/>
          <w:szCs w:val="20"/>
          <w:lang w:val="es-ES_tradnl"/>
        </w:rPr>
        <w:t>(</w:t>
      </w:r>
      <w:r w:rsidRPr="00C904FA">
        <w:rPr>
          <w:lang w:val="es-ES_tradnl"/>
        </w:rPr>
        <w:t xml:space="preserve">Miller, M. Michel, C, 2013). En varios </w:t>
      </w:r>
      <w:r>
        <w:rPr>
          <w:lang w:val="es-ES_tradnl"/>
        </w:rPr>
        <w:t>otro</w:t>
      </w:r>
      <w:r w:rsidRPr="00C904FA">
        <w:rPr>
          <w:lang w:val="es-ES_tradnl"/>
        </w:rPr>
        <w:t>s se reconoce l</w:t>
      </w:r>
      <w:r>
        <w:rPr>
          <w:lang w:val="es-ES_tradnl"/>
        </w:rPr>
        <w:t>a</w:t>
      </w:r>
      <w:r w:rsidRPr="00C904FA">
        <w:rPr>
          <w:lang w:val="es-ES_tradnl"/>
        </w:rPr>
        <w:t xml:space="preserve"> profund</w:t>
      </w:r>
      <w:r>
        <w:rPr>
          <w:lang w:val="es-ES_tradnl"/>
        </w:rPr>
        <w:t>idad</w:t>
      </w:r>
      <w:r w:rsidRPr="00C904FA">
        <w:rPr>
          <w:lang w:val="es-ES_tradnl"/>
        </w:rPr>
        <w:t xml:space="preserve"> </w:t>
      </w:r>
      <w:r>
        <w:rPr>
          <w:lang w:val="es-ES_tradnl"/>
        </w:rPr>
        <w:t>de</w:t>
      </w:r>
      <w:r w:rsidRPr="00C904FA">
        <w:rPr>
          <w:lang w:val="es-ES_tradnl"/>
        </w:rPr>
        <w:t xml:space="preserve"> las medidas fiscales tomadas por la administración </w:t>
      </w:r>
      <w:r>
        <w:t>de Puerto Rico</w:t>
      </w:r>
      <w:r w:rsidRPr="00C904FA">
        <w:rPr>
          <w:lang w:val="es-ES_tradnl"/>
        </w:rPr>
        <w:t xml:space="preserve"> en respuesta a la crisis fiscal (Williams Walsh, 2013)</w:t>
      </w:r>
      <w:r>
        <w:rPr>
          <w:lang w:val="es-ES_tradnl"/>
        </w:rPr>
        <w:t>;</w:t>
      </w:r>
      <w:r w:rsidRPr="00C904FA">
        <w:rPr>
          <w:lang w:val="es-ES_tradnl"/>
        </w:rPr>
        <w:t xml:space="preserve"> no obstante</w:t>
      </w:r>
      <w:r>
        <w:rPr>
          <w:lang w:val="es-ES_tradnl"/>
        </w:rPr>
        <w:t>,</w:t>
      </w:r>
      <w:r w:rsidRPr="00C904FA">
        <w:rPr>
          <w:lang w:val="es-ES_tradnl"/>
        </w:rPr>
        <w:t xml:space="preserve"> existen dudas sobre la capacidad de la economía de la Isla de absorber los nuevos impuestos.</w:t>
      </w:r>
    </w:p>
    <w:p w:rsidR="00B015EE" w:rsidRPr="0095547C" w:rsidRDefault="00B015EE" w:rsidP="00B015EE">
      <w:pPr>
        <w:rPr>
          <w:lang w:val="en-US"/>
        </w:rPr>
      </w:pPr>
      <w:r>
        <w:rPr>
          <w:lang w:val="es-ES_tradnl"/>
        </w:rPr>
        <w:t>Con algunas excepciones, l</w:t>
      </w:r>
      <w:r w:rsidRPr="00C904FA">
        <w:rPr>
          <w:lang w:val="es-ES_tradnl"/>
        </w:rPr>
        <w:t>as descripciones sobre el estado de la economía de Puerto Rico en estos ens</w:t>
      </w:r>
      <w:r>
        <w:rPr>
          <w:lang w:val="es-ES_tradnl"/>
        </w:rPr>
        <w:t xml:space="preserve">ayos </w:t>
      </w:r>
      <w:r>
        <w:t>son</w:t>
      </w:r>
      <w:r w:rsidRPr="00F71EB3">
        <w:t xml:space="preserve"> muy </w:t>
      </w:r>
      <w:r w:rsidRPr="00C904FA">
        <w:t>pesimista</w:t>
      </w:r>
      <w:r>
        <w:t>s</w:t>
      </w:r>
      <w:r w:rsidRPr="00C904FA">
        <w:rPr>
          <w:lang w:val="es-ES_tradnl"/>
        </w:rPr>
        <w:t xml:space="preserve">. </w:t>
      </w:r>
      <w:r w:rsidRPr="0095547C">
        <w:rPr>
          <w:lang w:val="en-US"/>
        </w:rPr>
        <w:t xml:space="preserve">Por ejemplo, Finger (2013) sostiene que: “Puerto Rico has entered a debt vortex that is inexorably sucking the life from its economy and its continuously shrinking populace”. </w:t>
      </w:r>
    </w:p>
    <w:p w:rsidR="00B015EE" w:rsidRPr="00C904FA" w:rsidRDefault="00B015EE" w:rsidP="00B015EE">
      <w:pPr>
        <w:rPr>
          <w:lang w:val="es-ES_tradnl"/>
        </w:rPr>
      </w:pPr>
      <w:r w:rsidRPr="00C904FA">
        <w:rPr>
          <w:lang w:val="es-ES_tradnl"/>
        </w:rPr>
        <w:t>La cubierta mediática incluye medios tan diversos e in</w:t>
      </w:r>
      <w:r>
        <w:rPr>
          <w:lang w:val="es-ES_tradnl"/>
        </w:rPr>
        <w:t>fluyentes como</w:t>
      </w:r>
      <w:r w:rsidRPr="00C904FA">
        <w:rPr>
          <w:lang w:val="es-ES_tradnl"/>
        </w:rPr>
        <w:t xml:space="preserve"> </w:t>
      </w:r>
      <w:r w:rsidRPr="00C904FA">
        <w:rPr>
          <w:i/>
          <w:lang w:val="es-ES_tradnl"/>
        </w:rPr>
        <w:t>The New York Times</w:t>
      </w:r>
      <w:r>
        <w:rPr>
          <w:lang w:val="es-ES_tradnl"/>
        </w:rPr>
        <w:t>,</w:t>
      </w:r>
      <w:r w:rsidRPr="00C904FA">
        <w:rPr>
          <w:lang w:val="es-ES_tradnl"/>
        </w:rPr>
        <w:t xml:space="preserve"> </w:t>
      </w:r>
      <w:r w:rsidRPr="0061723F">
        <w:rPr>
          <w:i/>
          <w:lang w:val="es-ES_tradnl"/>
        </w:rPr>
        <w:t xml:space="preserve">The </w:t>
      </w:r>
      <w:r w:rsidRPr="00C904FA">
        <w:rPr>
          <w:i/>
          <w:lang w:val="es-ES_tradnl"/>
        </w:rPr>
        <w:t>Washington Post</w:t>
      </w:r>
      <w:r w:rsidRPr="00C904FA">
        <w:rPr>
          <w:lang w:val="es-ES_tradnl"/>
        </w:rPr>
        <w:t xml:space="preserve"> y </w:t>
      </w:r>
      <w:r w:rsidRPr="00C904FA">
        <w:rPr>
          <w:i/>
          <w:lang w:val="es-ES_tradnl"/>
        </w:rPr>
        <w:t>CNN</w:t>
      </w:r>
      <w:r w:rsidRPr="00C904FA">
        <w:rPr>
          <w:lang w:val="es-ES_tradnl"/>
        </w:rPr>
        <w:t xml:space="preserve"> en Estados Unidos</w:t>
      </w:r>
      <w:r>
        <w:rPr>
          <w:lang w:val="es-ES_tradnl"/>
        </w:rPr>
        <w:t>,</w:t>
      </w:r>
      <w:r w:rsidRPr="00C904FA">
        <w:rPr>
          <w:lang w:val="es-ES_tradnl"/>
        </w:rPr>
        <w:t xml:space="preserve"> y otros de amplia difusión internacional como </w:t>
      </w:r>
      <w:r w:rsidRPr="00C904FA">
        <w:rPr>
          <w:i/>
          <w:lang w:val="es-ES_tradnl"/>
        </w:rPr>
        <w:t>The Economist</w:t>
      </w:r>
      <w:r>
        <w:rPr>
          <w:lang w:val="es-ES_tradnl"/>
        </w:rPr>
        <w:t xml:space="preserve"> y</w:t>
      </w:r>
      <w:r w:rsidRPr="00C904FA">
        <w:rPr>
          <w:lang w:val="es-ES_tradnl"/>
        </w:rPr>
        <w:t xml:space="preserve"> </w:t>
      </w:r>
      <w:r w:rsidRPr="00C904FA">
        <w:rPr>
          <w:i/>
          <w:lang w:val="es-ES_tradnl"/>
        </w:rPr>
        <w:t>Financial Times</w:t>
      </w:r>
      <w:r>
        <w:rPr>
          <w:lang w:val="es-ES_tradnl"/>
        </w:rPr>
        <w:t xml:space="preserve">, </w:t>
      </w:r>
      <w:r w:rsidRPr="00C904FA">
        <w:rPr>
          <w:lang w:val="es-ES_tradnl"/>
        </w:rPr>
        <w:t xml:space="preserve">así como publicaciones especializadas en asuntos financieros como </w:t>
      </w:r>
      <w:r w:rsidRPr="00C904FA">
        <w:rPr>
          <w:i/>
          <w:lang w:val="es-ES_tradnl"/>
        </w:rPr>
        <w:t>Bond Buyer</w:t>
      </w:r>
      <w:r w:rsidRPr="00C904FA">
        <w:rPr>
          <w:lang w:val="es-ES_tradnl"/>
        </w:rPr>
        <w:t xml:space="preserve"> o </w:t>
      </w:r>
      <w:r w:rsidRPr="00C904FA">
        <w:rPr>
          <w:i/>
          <w:lang w:val="es-ES_tradnl"/>
        </w:rPr>
        <w:t>Barrons</w:t>
      </w:r>
      <w:r w:rsidRPr="00C904FA">
        <w:rPr>
          <w:lang w:val="es-ES_tradnl"/>
        </w:rPr>
        <w:t xml:space="preserve">. </w:t>
      </w:r>
      <w:r>
        <w:rPr>
          <w:lang w:val="es-ES_tradnl"/>
        </w:rPr>
        <w:t xml:space="preserve">Tanto </w:t>
      </w:r>
      <w:r w:rsidRPr="0061723F">
        <w:rPr>
          <w:i/>
          <w:lang w:val="es-ES_tradnl"/>
        </w:rPr>
        <w:t xml:space="preserve">The </w:t>
      </w:r>
      <w:r w:rsidRPr="00C904FA">
        <w:rPr>
          <w:i/>
          <w:lang w:val="es-ES_tradnl"/>
        </w:rPr>
        <w:t>Washington Post</w:t>
      </w:r>
      <w:r w:rsidRPr="00C904FA">
        <w:rPr>
          <w:lang w:val="es-ES_tradnl"/>
        </w:rPr>
        <w:t xml:space="preserve"> como el </w:t>
      </w:r>
      <w:r w:rsidRPr="00C904FA">
        <w:rPr>
          <w:i/>
          <w:lang w:val="es-ES_tradnl"/>
        </w:rPr>
        <w:t>Financial Times</w:t>
      </w:r>
      <w:r>
        <w:rPr>
          <w:lang w:val="es-ES_tradnl"/>
        </w:rPr>
        <w:t xml:space="preserve"> </w:t>
      </w:r>
      <w:r w:rsidRPr="00C904FA">
        <w:rPr>
          <w:lang w:val="es-ES_tradnl"/>
        </w:rPr>
        <w:t>han utilizado sus páginas editoriales para fijar la posición de estos rotativos sobre lo que perciben c</w:t>
      </w:r>
      <w:r>
        <w:rPr>
          <w:lang w:val="es-ES_tradnl"/>
        </w:rPr>
        <w:t xml:space="preserve">omo un agudo problema económico </w:t>
      </w:r>
      <w:r w:rsidRPr="00C904FA">
        <w:rPr>
          <w:lang w:val="es-ES_tradnl"/>
        </w:rPr>
        <w:t>y fiscal</w:t>
      </w:r>
      <w:r>
        <w:rPr>
          <w:lang w:val="es-ES_tradnl"/>
        </w:rPr>
        <w:t>,</w:t>
      </w:r>
      <w:r w:rsidRPr="00C904FA">
        <w:rPr>
          <w:lang w:val="es-ES_tradnl"/>
        </w:rPr>
        <w:t xml:space="preserve"> con repercusiones potencialmente desestabilizadoras fuera de las fronteras de la Isla. </w:t>
      </w:r>
    </w:p>
    <w:p w:rsidR="00B015EE" w:rsidRPr="00C904FA" w:rsidRDefault="00B015EE" w:rsidP="00B015EE">
      <w:pPr>
        <w:rPr>
          <w:lang w:val="es-ES_tradnl"/>
        </w:rPr>
      </w:pPr>
      <w:r w:rsidRPr="00C904FA">
        <w:rPr>
          <w:lang w:val="es-ES_tradnl"/>
        </w:rPr>
        <w:t xml:space="preserve">Se destaca que </w:t>
      </w:r>
      <w:r w:rsidRPr="00C904FA">
        <w:t>vari</w:t>
      </w:r>
      <w:r>
        <w:t>a</w:t>
      </w:r>
      <w:r w:rsidRPr="00C904FA">
        <w:t>s</w:t>
      </w:r>
      <w:r w:rsidRPr="00F71EB3">
        <w:t xml:space="preserve"> de </w:t>
      </w:r>
      <w:r>
        <w:t>las administraciones gubernamentales</w:t>
      </w:r>
      <w:r>
        <w:rPr>
          <w:lang w:val="es-ES_tradnl"/>
        </w:rPr>
        <w:t xml:space="preserve"> de Puerto Rico</w:t>
      </w:r>
      <w:r w:rsidRPr="00C904FA">
        <w:rPr>
          <w:lang w:val="es-ES_tradnl"/>
        </w:rPr>
        <w:t xml:space="preserve"> </w:t>
      </w:r>
      <w:r>
        <w:rPr>
          <w:lang w:val="es-ES_tradnl"/>
        </w:rPr>
        <w:t>de ambos</w:t>
      </w:r>
      <w:r w:rsidRPr="00C904FA">
        <w:rPr>
          <w:lang w:val="es-ES_tradnl"/>
        </w:rPr>
        <w:t xml:space="preserve"> pa</w:t>
      </w:r>
      <w:r>
        <w:rPr>
          <w:lang w:val="es-ES_tradnl"/>
        </w:rPr>
        <w:t xml:space="preserve">rtidos principales, </w:t>
      </w:r>
      <w:r w:rsidRPr="00C904FA">
        <w:rPr>
          <w:lang w:val="es-ES_tradnl"/>
        </w:rPr>
        <w:t>sucesivamente, han incumplido con sus promesas de disciplina fiscal</w:t>
      </w:r>
      <w:r>
        <w:rPr>
          <w:lang w:val="es-ES_tradnl"/>
        </w:rPr>
        <w:t>,</w:t>
      </w:r>
      <w:r w:rsidRPr="00C904FA">
        <w:rPr>
          <w:lang w:val="es-ES_tradnl"/>
        </w:rPr>
        <w:t xml:space="preserve"> lo que acarrea problemas de confianza (Williams Walsh, 2013). No toda la responsabilidad del problema se le asigna a Puerto Rico</w:t>
      </w:r>
      <w:r>
        <w:rPr>
          <w:lang w:val="es-ES_tradnl"/>
        </w:rPr>
        <w:t>,</w:t>
      </w:r>
      <w:r w:rsidRPr="00C904FA">
        <w:rPr>
          <w:lang w:val="es-ES_tradnl"/>
        </w:rPr>
        <w:t xml:space="preserve"> pero existe una tendencia a enfocarse en los factores internos de la c</w:t>
      </w:r>
      <w:r>
        <w:rPr>
          <w:lang w:val="es-ES_tradnl"/>
        </w:rPr>
        <w:t xml:space="preserve">risis fiscal. Tanto es así, que </w:t>
      </w:r>
      <w:r w:rsidRPr="00C904FA">
        <w:rPr>
          <w:lang w:val="es-ES_tradnl"/>
        </w:rPr>
        <w:t xml:space="preserve">un importante líder empresarial de Puerto Rico, </w:t>
      </w:r>
      <w:r>
        <w:rPr>
          <w:lang w:val="es-ES_tradnl"/>
        </w:rPr>
        <w:t xml:space="preserve">el banquero </w:t>
      </w:r>
      <w:r w:rsidRPr="00C904FA">
        <w:rPr>
          <w:lang w:val="es-ES_tradnl"/>
        </w:rPr>
        <w:t xml:space="preserve">Richard Carrión, le escribió a </w:t>
      </w:r>
      <w:r w:rsidRPr="00C904FA">
        <w:rPr>
          <w:i/>
          <w:lang w:val="es-ES_tradnl"/>
        </w:rPr>
        <w:t>The Economist</w:t>
      </w:r>
      <w:r>
        <w:rPr>
          <w:lang w:val="es-ES_tradnl"/>
        </w:rPr>
        <w:t xml:space="preserve"> para, entre otras cosas, </w:t>
      </w:r>
      <w:r w:rsidRPr="00C904FA">
        <w:rPr>
          <w:lang w:val="es-ES_tradnl"/>
        </w:rPr>
        <w:t xml:space="preserve">insistir </w:t>
      </w:r>
      <w:r>
        <w:rPr>
          <w:lang w:val="es-ES_tradnl"/>
        </w:rPr>
        <w:t xml:space="preserve">en </w:t>
      </w:r>
      <w:r w:rsidRPr="00C904FA">
        <w:rPr>
          <w:lang w:val="es-ES_tradnl"/>
        </w:rPr>
        <w:t>que la responsabilidad de evitar la entrada de d</w:t>
      </w:r>
      <w:r>
        <w:rPr>
          <w:lang w:val="es-ES_tradnl"/>
        </w:rPr>
        <w:t xml:space="preserve">rogas ilegalmente a la Isla es </w:t>
      </w:r>
      <w:r w:rsidRPr="00C904FA">
        <w:rPr>
          <w:lang w:val="es-ES_tradnl"/>
        </w:rPr>
        <w:t>de naturaleza federal y no local</w:t>
      </w:r>
      <w:r>
        <w:rPr>
          <w:lang w:val="es-ES_tradnl"/>
        </w:rPr>
        <w:t>,</w:t>
      </w:r>
      <w:r w:rsidRPr="00C904FA">
        <w:rPr>
          <w:lang w:val="es-ES_tradnl"/>
        </w:rPr>
        <w:t xml:space="preserve"> y que ello no </w:t>
      </w:r>
      <w:r>
        <w:rPr>
          <w:lang w:val="es-ES_tradnl"/>
        </w:rPr>
        <w:t xml:space="preserve">debe </w:t>
      </w:r>
      <w:r w:rsidRPr="00C904FA">
        <w:rPr>
          <w:lang w:val="es-ES_tradnl"/>
        </w:rPr>
        <w:t>omitir</w:t>
      </w:r>
      <w:r>
        <w:rPr>
          <w:lang w:val="es-ES_tradnl"/>
        </w:rPr>
        <w:t>se</w:t>
      </w:r>
      <w:r w:rsidRPr="00C904FA">
        <w:rPr>
          <w:lang w:val="es-ES_tradnl"/>
        </w:rPr>
        <w:t xml:space="preserve"> cuando se quiere enfatizar el problema de tráfico de drogas que afecta a Puerto Rico (</w:t>
      </w:r>
      <w:r w:rsidRPr="00C904FA">
        <w:rPr>
          <w:i/>
          <w:lang w:val="es-ES_tradnl"/>
        </w:rPr>
        <w:t>Caribbean Business</w:t>
      </w:r>
      <w:r w:rsidRPr="00C904FA">
        <w:rPr>
          <w:lang w:val="es-ES_tradnl"/>
        </w:rPr>
        <w:t xml:space="preserve">, 2013). </w:t>
      </w:r>
    </w:p>
    <w:p w:rsidR="00B015EE" w:rsidRPr="00C904FA" w:rsidRDefault="00B015EE" w:rsidP="00B015EE">
      <w:pPr>
        <w:rPr>
          <w:lang w:val="es-ES_tradnl"/>
        </w:rPr>
      </w:pPr>
      <w:r w:rsidRPr="00C904FA">
        <w:rPr>
          <w:lang w:val="es-ES_tradnl"/>
        </w:rPr>
        <w:t>Alguno</w:t>
      </w:r>
      <w:r>
        <w:rPr>
          <w:lang w:val="es-ES_tradnl"/>
        </w:rPr>
        <w:t xml:space="preserve">s medios aceptan, sin embargo, </w:t>
      </w:r>
      <w:r w:rsidRPr="00C904FA">
        <w:rPr>
          <w:lang w:val="es-ES_tradnl"/>
        </w:rPr>
        <w:t>que resulta absurdo</w:t>
      </w:r>
      <w:r>
        <w:rPr>
          <w:lang w:val="es-ES_tradnl"/>
        </w:rPr>
        <w:t>,</w:t>
      </w:r>
      <w:r w:rsidRPr="00C904FA">
        <w:rPr>
          <w:lang w:val="es-ES_tradnl"/>
        </w:rPr>
        <w:t xml:space="preserve"> </w:t>
      </w:r>
      <w:r>
        <w:rPr>
          <w:lang w:val="es-ES_tradnl"/>
        </w:rPr>
        <w:t xml:space="preserve">por ejemplo, </w:t>
      </w:r>
      <w:r w:rsidRPr="00C904FA">
        <w:rPr>
          <w:lang w:val="es-ES_tradnl"/>
        </w:rPr>
        <w:t>imponerle a Puerto Rico leyes de cabotaje que encarecen el nivel de vida</w:t>
      </w:r>
      <w:r>
        <w:rPr>
          <w:lang w:val="es-ES_tradnl"/>
        </w:rPr>
        <w:t>,</w:t>
      </w:r>
      <w:r w:rsidRPr="00C904FA">
        <w:rPr>
          <w:lang w:val="es-ES_tradnl"/>
        </w:rPr>
        <w:t xml:space="preserve"> y destacan que Estados Unidos no le está prestando la debida atención a los problemas políticos, económicos y sociales de la Isla (</w:t>
      </w:r>
      <w:r>
        <w:t xml:space="preserve">Rivera Ortiz, 2007, 277, </w:t>
      </w:r>
      <w:r w:rsidRPr="00C904FA">
        <w:rPr>
          <w:i/>
          <w:lang w:val="es-ES_tradnl"/>
        </w:rPr>
        <w:t>The Economist</w:t>
      </w:r>
      <w:r w:rsidRPr="00C904FA">
        <w:rPr>
          <w:lang w:val="es-ES_tradnl"/>
        </w:rPr>
        <w:t>, 2013; Miller, M. Michel, 2013;</w:t>
      </w:r>
      <w:r w:rsidRPr="00C904FA">
        <w:rPr>
          <w:rFonts w:ascii="Garamond" w:hAnsi="Garamond" w:cs="Garamond"/>
          <w:sz w:val="20"/>
          <w:szCs w:val="20"/>
          <w:lang w:val="es-ES_tradnl"/>
        </w:rPr>
        <w:t xml:space="preserve"> </w:t>
      </w:r>
      <w:r w:rsidRPr="00C904FA">
        <w:rPr>
          <w:lang w:val="es-ES_tradnl"/>
        </w:rPr>
        <w:t xml:space="preserve">Torres, F. 2013). Otros destacan que el sector financiero de </w:t>
      </w:r>
      <w:r w:rsidRPr="00C904FA">
        <w:rPr>
          <w:i/>
          <w:lang w:val="es-ES_tradnl"/>
        </w:rPr>
        <w:t>Wall Street</w:t>
      </w:r>
      <w:r w:rsidRPr="00C904FA">
        <w:rPr>
          <w:lang w:val="es-ES_tradnl"/>
        </w:rPr>
        <w:t xml:space="preserve"> se ha beneficiado de forma exagerada de la crisis fiscal</w:t>
      </w:r>
      <w:r>
        <w:rPr>
          <w:lang w:val="es-ES_tradnl"/>
        </w:rPr>
        <w:t>,</w:t>
      </w:r>
      <w:r w:rsidRPr="00C904FA">
        <w:rPr>
          <w:lang w:val="es-ES_tradnl"/>
        </w:rPr>
        <w:t xml:space="preserve"> planteando incluso que se t</w:t>
      </w:r>
      <w:r>
        <w:rPr>
          <w:lang w:val="es-ES_tradnl"/>
        </w:rPr>
        <w:t>rata de un claro caso de riesgo inducido (</w:t>
      </w:r>
      <w:r w:rsidRPr="00727CE0">
        <w:rPr>
          <w:i/>
          <w:lang w:val="es-ES_tradnl"/>
        </w:rPr>
        <w:t>moral hazard</w:t>
      </w:r>
      <w:r>
        <w:rPr>
          <w:lang w:val="es-ES_tradnl"/>
        </w:rPr>
        <w:t>),</w:t>
      </w:r>
      <w:r w:rsidRPr="00C904FA">
        <w:rPr>
          <w:lang w:val="es-ES_tradnl"/>
        </w:rPr>
        <w:t xml:space="preserve"> mediante el cual este sector ha actuado de forma irresponsab</w:t>
      </w:r>
      <w:r>
        <w:rPr>
          <w:lang w:val="es-ES_tradnl"/>
        </w:rPr>
        <w:t xml:space="preserve">le llegando al punto de obtener </w:t>
      </w:r>
      <w:r w:rsidRPr="00C904FA">
        <w:rPr>
          <w:lang w:val="es-ES_tradnl"/>
        </w:rPr>
        <w:t>$880 millones en ganancias por comisiones relacionad</w:t>
      </w:r>
      <w:r>
        <w:rPr>
          <w:lang w:val="es-ES_tradnl"/>
        </w:rPr>
        <w:t>a</w:t>
      </w:r>
      <w:r w:rsidRPr="00C904FA">
        <w:rPr>
          <w:lang w:val="es-ES_tradnl"/>
        </w:rPr>
        <w:t>s al financiamiento de la deuda desde el año 2000 (</w:t>
      </w:r>
      <w:r w:rsidRPr="001D4DDE">
        <w:rPr>
          <w:i/>
          <w:lang w:val="es-ES_tradnl"/>
        </w:rPr>
        <w:t xml:space="preserve">The </w:t>
      </w:r>
      <w:r w:rsidRPr="00C904FA">
        <w:rPr>
          <w:i/>
          <w:lang w:val="es-ES_tradnl"/>
        </w:rPr>
        <w:t>Washington Post</w:t>
      </w:r>
      <w:r w:rsidRPr="00C904FA">
        <w:rPr>
          <w:lang w:val="es-ES_tradnl"/>
        </w:rPr>
        <w:t>, 2013).</w:t>
      </w:r>
    </w:p>
    <w:p w:rsidR="00B015EE" w:rsidRDefault="00B015EE" w:rsidP="00B015EE">
      <w:pPr>
        <w:rPr>
          <w:lang w:val="es-ES_tradnl"/>
        </w:rPr>
      </w:pPr>
      <w:r w:rsidRPr="00C904FA">
        <w:rPr>
          <w:lang w:val="es-ES_tradnl"/>
        </w:rPr>
        <w:t>La fuerte atención mediática que ha recibido la situación económica crea un sentido de urgencia sobre el tema financiero</w:t>
      </w:r>
      <w:r>
        <w:rPr>
          <w:lang w:val="es-ES_tradnl"/>
        </w:rPr>
        <w:t>,</w:t>
      </w:r>
      <w:r w:rsidRPr="00C904FA">
        <w:rPr>
          <w:lang w:val="es-ES_tradnl"/>
        </w:rPr>
        <w:t xml:space="preserve"> pero ello no suele estar generalmente acompañado de una propuesta </w:t>
      </w:r>
      <w:r>
        <w:rPr>
          <w:lang w:val="es-ES_tradnl"/>
        </w:rPr>
        <w:t>para hace</w:t>
      </w:r>
      <w:r w:rsidRPr="00C904FA">
        <w:rPr>
          <w:lang w:val="es-ES_tradnl"/>
        </w:rPr>
        <w:t xml:space="preserve">r </w:t>
      </w:r>
      <w:r>
        <w:rPr>
          <w:lang w:val="es-ES_tradnl"/>
        </w:rPr>
        <w:t>alteraciones sustanciales al régimen político actual</w:t>
      </w:r>
      <w:r w:rsidRPr="00C904FA">
        <w:rPr>
          <w:lang w:val="es-ES_tradnl"/>
        </w:rPr>
        <w:t>. Algunos de los artículos de referencia descartan de plano que se deba poner en foco el tema del estatus político</w:t>
      </w:r>
      <w:r>
        <w:rPr>
          <w:lang w:val="es-ES_tradnl"/>
        </w:rPr>
        <w:t>,</w:t>
      </w:r>
      <w:r w:rsidRPr="00C904FA">
        <w:rPr>
          <w:lang w:val="es-ES_tradnl"/>
        </w:rPr>
        <w:t xml:space="preserve"> en vista de la compleja y peligrosa coyuntura económica. Así lo planteó explícitamente la mesa editorial del influyente </w:t>
      </w:r>
      <w:r w:rsidRPr="00FA5825">
        <w:rPr>
          <w:i/>
          <w:lang w:val="es-ES_tradnl"/>
        </w:rPr>
        <w:t xml:space="preserve">The </w:t>
      </w:r>
      <w:r w:rsidRPr="00C904FA">
        <w:rPr>
          <w:i/>
          <w:lang w:val="es-ES_tradnl"/>
        </w:rPr>
        <w:t>Washington Post</w:t>
      </w:r>
      <w:r>
        <w:rPr>
          <w:lang w:val="es-ES_tradnl"/>
        </w:rPr>
        <w:t xml:space="preserve"> (2013).</w:t>
      </w:r>
    </w:p>
    <w:p w:rsidR="00B015EE" w:rsidRPr="00C904FA" w:rsidRDefault="00B015EE" w:rsidP="00B015EE">
      <w:pPr>
        <w:rPr>
          <w:lang w:val="es-ES_tradnl"/>
        </w:rPr>
      </w:pPr>
      <w:r w:rsidRPr="00C904FA">
        <w:rPr>
          <w:lang w:val="es-ES_tradnl"/>
        </w:rPr>
        <w:t xml:space="preserve">Otros medios de temáticas económicas internacionales, como la revista </w:t>
      </w:r>
      <w:r w:rsidRPr="00C904FA">
        <w:rPr>
          <w:i/>
          <w:lang w:val="es-ES_tradnl"/>
        </w:rPr>
        <w:t>The Economist</w:t>
      </w:r>
      <w:r w:rsidRPr="00C904FA">
        <w:rPr>
          <w:lang w:val="es-ES_tradnl"/>
        </w:rPr>
        <w:t>, parecen visualizar la opción de la estadidad como un proyecto potencial políticamente favorable para el sector demócrata de ese país, como una estrategia para fortalecer el voto hispano, que tendría que superar una fuerte resistencia de los republicanos en el Congreso de Estados Unidos (</w:t>
      </w:r>
      <w:r w:rsidRPr="00C904FA">
        <w:rPr>
          <w:i/>
          <w:lang w:val="es-ES_tradnl"/>
        </w:rPr>
        <w:t>The Economist</w:t>
      </w:r>
      <w:r w:rsidRPr="00C904FA">
        <w:rPr>
          <w:lang w:val="es-ES_tradnl"/>
        </w:rPr>
        <w:t>, 2013b). No puede afirmarse, sin embargo, que existe nada parecido a un consenso de opinión en las informaciones examinadas sobre el curso a seguir ante una posible profundización de los problemas financieros</w:t>
      </w:r>
      <w:r>
        <w:rPr>
          <w:lang w:val="es-ES_tradnl"/>
        </w:rPr>
        <w:t>,</w:t>
      </w:r>
      <w:r w:rsidRPr="00C904FA">
        <w:rPr>
          <w:lang w:val="es-ES_tradnl"/>
        </w:rPr>
        <w:t xml:space="preserve"> ya que se trata de un escenario novel que no tiene precedentes claros en vista de que ocurre en el marco institucional que provee el Estado Libre Asociado (</w:t>
      </w:r>
      <w:r w:rsidRPr="001D4DDE">
        <w:rPr>
          <w:i/>
          <w:lang w:val="es-ES_tradnl"/>
        </w:rPr>
        <w:t xml:space="preserve">The </w:t>
      </w:r>
      <w:r w:rsidRPr="00C904FA">
        <w:rPr>
          <w:i/>
          <w:lang w:val="es-ES_tradnl"/>
        </w:rPr>
        <w:t>Washington Post</w:t>
      </w:r>
      <w:r w:rsidRPr="00C904FA">
        <w:rPr>
          <w:lang w:val="es-ES_tradnl"/>
        </w:rPr>
        <w:t>, 2013). No surge tampoco un cuadro claro de cuáles son las opciones de política pública que pondría en vigor el Tesoro de Estados Unidos en caso de que se profundice la crisis y Puerto Rico se vea forzado a renegociar su deuda.</w:t>
      </w:r>
    </w:p>
    <w:p w:rsidR="00B015EE" w:rsidRPr="00C904FA" w:rsidRDefault="00B015EE" w:rsidP="00B015EE">
      <w:pPr>
        <w:rPr>
          <w:lang w:val="es-ES_tradnl"/>
        </w:rPr>
      </w:pPr>
      <w:r w:rsidRPr="00C904FA">
        <w:rPr>
          <w:lang w:val="es-ES_tradnl"/>
        </w:rPr>
        <w:t>Algunos de los análisis recogidos en el contexto de esta intensa cubierta mediática expone</w:t>
      </w:r>
      <w:r>
        <w:rPr>
          <w:lang w:val="es-ES_tradnl"/>
        </w:rPr>
        <w:t>n</w:t>
      </w:r>
      <w:r w:rsidRPr="00C904FA">
        <w:rPr>
          <w:lang w:val="es-ES_tradnl"/>
        </w:rPr>
        <w:t xml:space="preserve"> que los poderes </w:t>
      </w:r>
      <w:r>
        <w:rPr>
          <w:lang w:val="es-ES_tradnl"/>
        </w:rPr>
        <w:t xml:space="preserve">del Congreso de Estados Unidos </w:t>
      </w:r>
      <w:r w:rsidRPr="00C904FA">
        <w:rPr>
          <w:lang w:val="es-ES_tradnl"/>
        </w:rPr>
        <w:t xml:space="preserve">para enfrentar la crisis fiscal </w:t>
      </w:r>
      <w:r>
        <w:rPr>
          <w:lang w:val="es-ES_tradnl"/>
        </w:rPr>
        <w:t>son muy amplios</w:t>
      </w:r>
      <w:r w:rsidRPr="00C904FA">
        <w:rPr>
          <w:lang w:val="es-ES_tradnl"/>
        </w:rPr>
        <w:t xml:space="preserve"> bajo los términos de la cláusula territorial (Williams Wash, 2013)</w:t>
      </w:r>
      <w:r>
        <w:rPr>
          <w:lang w:val="es-ES_tradnl"/>
        </w:rPr>
        <w:t>,</w:t>
      </w:r>
      <w:r w:rsidRPr="00C904FA">
        <w:rPr>
          <w:lang w:val="es-ES_tradnl"/>
        </w:rPr>
        <w:t xml:space="preserve"> mientras que varios de los análisis entienden que se trata sencillamente de un escenario inexplorado e impredecible. Una fuerte corriente de opinión es que Puerto Rico debe verse obligado a sufrir las consecuencias del manejo irresponsable de sus finanzas públicas</w:t>
      </w:r>
      <w:r>
        <w:rPr>
          <w:lang w:val="es-ES_tradnl"/>
        </w:rPr>
        <w:t>,</w:t>
      </w:r>
      <w:r w:rsidRPr="00C904FA">
        <w:rPr>
          <w:lang w:val="es-ES_tradnl"/>
        </w:rPr>
        <w:t xml:space="preserve"> y advierten que el Gobierno federal tiende a rechazar intervenciones directas en estos casos (Zamansky, 2013; Farrel, 2013). La mayoría de los análisis sobre la economía no consideran la dimensión de estatus pol</w:t>
      </w:r>
      <w:r>
        <w:rPr>
          <w:lang w:val="es-ES_tradnl"/>
        </w:rPr>
        <w:t>ítico como parte importante</w:t>
      </w:r>
      <w:r w:rsidRPr="00C904FA">
        <w:rPr>
          <w:lang w:val="es-ES_tradnl"/>
        </w:rPr>
        <w:t xml:space="preserve"> de la crisis fiscal (Gómez, 2013; Fletcher, 2013)</w:t>
      </w:r>
      <w:r>
        <w:rPr>
          <w:lang w:val="es-ES_tradnl"/>
        </w:rPr>
        <w:t>,</w:t>
      </w:r>
      <w:r w:rsidRPr="00C904FA">
        <w:rPr>
          <w:lang w:val="es-ES_tradnl"/>
        </w:rPr>
        <w:t xml:space="preserve"> mientras que otros analistas lo colocan como el centro del problema (</w:t>
      </w:r>
      <w:r w:rsidRPr="00C904FA">
        <w:rPr>
          <w:i/>
          <w:lang w:val="es-ES_tradnl"/>
        </w:rPr>
        <w:t>The Economist</w:t>
      </w:r>
      <w:r w:rsidRPr="00C904FA">
        <w:rPr>
          <w:lang w:val="es-ES_tradnl"/>
        </w:rPr>
        <w:t xml:space="preserve">, 2013). </w:t>
      </w:r>
    </w:p>
    <w:p w:rsidR="00B015EE" w:rsidRPr="00C904FA" w:rsidRDefault="00B015EE" w:rsidP="00B015EE">
      <w:pPr>
        <w:rPr>
          <w:lang w:val="es-ES_tradnl"/>
        </w:rPr>
      </w:pPr>
      <w:r w:rsidRPr="00C904FA">
        <w:rPr>
          <w:lang w:val="es-ES_tradnl"/>
        </w:rPr>
        <w:t xml:space="preserve">Esta percepción de crisis no perjudica exclusivamente al Estado Libre Asociado vigente. </w:t>
      </w:r>
      <w:r>
        <w:rPr>
          <w:lang w:val="es-ES_tradnl"/>
        </w:rPr>
        <w:t>T</w:t>
      </w:r>
      <w:r w:rsidRPr="00C904FA">
        <w:rPr>
          <w:lang w:val="es-ES_tradnl"/>
        </w:rPr>
        <w:t xml:space="preserve">ambién está planteada </w:t>
      </w:r>
      <w:r>
        <w:rPr>
          <w:lang w:val="es-ES_tradnl"/>
        </w:rPr>
        <w:t>l</w:t>
      </w:r>
      <w:r w:rsidRPr="00C904FA">
        <w:rPr>
          <w:lang w:val="es-ES_tradnl"/>
        </w:rPr>
        <w:t>a posibilidad de que la admisión de Puerto Rico pueda tomar la for</w:t>
      </w:r>
      <w:r>
        <w:rPr>
          <w:lang w:val="es-ES_tradnl"/>
        </w:rPr>
        <w:t>ma de un amplio rescate fiscal</w:t>
      </w:r>
      <w:r w:rsidRPr="00C904FA">
        <w:rPr>
          <w:lang w:val="es-ES_tradnl"/>
        </w:rPr>
        <w:t xml:space="preserve">. En artículos de opinión en la prensa de Estados Unidos se ha calculado el aumento de las transferencias federales en </w:t>
      </w:r>
      <w:r>
        <w:rPr>
          <w:lang w:val="es-ES_tradnl"/>
        </w:rPr>
        <w:t>$20,000 m</w:t>
      </w:r>
      <w:r w:rsidRPr="00C904FA">
        <w:rPr>
          <w:lang w:val="es-ES_tradnl"/>
        </w:rPr>
        <w:t xml:space="preserve">illones anuales </w:t>
      </w:r>
      <w:r w:rsidRPr="008B456C">
        <w:t>—</w:t>
      </w:r>
      <w:r w:rsidRPr="00C904FA">
        <w:rPr>
          <w:lang w:val="es-ES_tradnl"/>
        </w:rPr>
        <w:t>en caso de que Puerto Rico fue</w:t>
      </w:r>
      <w:r>
        <w:rPr>
          <w:lang w:val="es-ES_tradnl"/>
        </w:rPr>
        <w:t>se</w:t>
      </w:r>
      <w:r w:rsidRPr="00C904FA">
        <w:rPr>
          <w:lang w:val="es-ES_tradnl"/>
        </w:rPr>
        <w:t xml:space="preserve"> admitido como estado</w:t>
      </w:r>
      <w:r w:rsidRPr="008B456C">
        <w:t>—</w:t>
      </w:r>
      <w:r w:rsidRPr="00C904FA">
        <w:rPr>
          <w:lang w:val="es-ES_tradnl"/>
        </w:rPr>
        <w:t xml:space="preserve"> y ello ha sido objeto de debate en medios televisivos de Estados Unidos (Khazan, 2012). Aunque dicha cifra </w:t>
      </w:r>
      <w:r>
        <w:rPr>
          <w:lang w:val="es-ES_tradnl"/>
        </w:rPr>
        <w:t>sea</w:t>
      </w:r>
      <w:r w:rsidRPr="00C904FA">
        <w:rPr>
          <w:lang w:val="es-ES_tradnl"/>
        </w:rPr>
        <w:t xml:space="preserve"> especulativa</w:t>
      </w:r>
      <w:r>
        <w:rPr>
          <w:lang w:val="es-ES_tradnl"/>
        </w:rPr>
        <w:t>,</w:t>
      </w:r>
      <w:r w:rsidRPr="00C904FA">
        <w:rPr>
          <w:lang w:val="es-ES_tradnl"/>
        </w:rPr>
        <w:t xml:space="preserve"> no deja de ser significativo el </w:t>
      </w:r>
      <w:r>
        <w:rPr>
          <w:lang w:val="es-ES_tradnl"/>
        </w:rPr>
        <w:t xml:space="preserve">hecho de </w:t>
      </w:r>
      <w:r w:rsidRPr="00C904FA">
        <w:rPr>
          <w:lang w:val="es-ES_tradnl"/>
        </w:rPr>
        <w:t xml:space="preserve">que se proyecte la equivalencia entre la opción de la estadidad y un considerablemente mayor acceso a fondos federales para ampliar el estado benefactor vigente. </w:t>
      </w:r>
    </w:p>
    <w:p w:rsidR="00B015EE" w:rsidRPr="00C904FA" w:rsidRDefault="00B015EE" w:rsidP="00B015EE">
      <w:pPr>
        <w:rPr>
          <w:lang w:val="es-ES_tradnl"/>
        </w:rPr>
      </w:pPr>
      <w:r>
        <w:rPr>
          <w:lang w:val="es-ES_tradnl"/>
        </w:rPr>
        <w:t>A la situación anterior se le añade la propuesta del exg</w:t>
      </w:r>
      <w:r w:rsidRPr="00C904FA">
        <w:rPr>
          <w:lang w:val="es-ES_tradnl"/>
        </w:rPr>
        <w:t>obernador de Puerto Rico, Carlos Romero Barceló, de que Estados Unidos asuma la deuda pública como parte del proceso de admisión de este nuevo estado caribeño. Ello</w:t>
      </w:r>
      <w:r>
        <w:rPr>
          <w:lang w:val="es-ES_tradnl"/>
        </w:rPr>
        <w:t>,</w:t>
      </w:r>
      <w:r w:rsidRPr="00C904FA">
        <w:rPr>
          <w:lang w:val="es-ES_tradnl"/>
        </w:rPr>
        <w:t xml:space="preserve"> si</w:t>
      </w:r>
      <w:r>
        <w:rPr>
          <w:lang w:val="es-ES_tradnl"/>
        </w:rPr>
        <w:t xml:space="preserve">n duda, puede complicar aún más </w:t>
      </w:r>
      <w:r w:rsidRPr="00C904FA">
        <w:rPr>
          <w:lang w:val="es-ES_tradnl"/>
        </w:rPr>
        <w:t>la consideración del asunto del estatus</w:t>
      </w:r>
      <w:r>
        <w:rPr>
          <w:lang w:val="es-ES_tradnl"/>
        </w:rPr>
        <w:t>,</w:t>
      </w:r>
      <w:r w:rsidRPr="00C904FA">
        <w:rPr>
          <w:lang w:val="es-ES_tradnl"/>
        </w:rPr>
        <w:t xml:space="preserve"> si se mira dentro del contexto de una especie de “política de rescate”</w:t>
      </w:r>
      <w:r w:rsidRPr="00C904FA">
        <w:rPr>
          <w:rFonts w:ascii="Garamond" w:hAnsi="Garamond" w:cs="Garamond"/>
          <w:sz w:val="20"/>
          <w:szCs w:val="20"/>
          <w:lang w:val="es-ES_tradnl"/>
        </w:rPr>
        <w:t xml:space="preserve"> </w:t>
      </w:r>
      <w:r w:rsidRPr="00C904FA">
        <w:rPr>
          <w:lang w:val="es-ES_tradnl"/>
        </w:rPr>
        <w:t>(Romero Barce</w:t>
      </w:r>
      <w:r>
        <w:rPr>
          <w:lang w:val="es-ES_tradnl"/>
        </w:rPr>
        <w:t>ló, 2013). La propuesta del exg</w:t>
      </w:r>
      <w:r w:rsidRPr="00C904FA">
        <w:rPr>
          <w:lang w:val="es-ES_tradnl"/>
        </w:rPr>
        <w:t xml:space="preserve">obernador no ha obtenido eco alguno entre el liderato de la clase política de Puerto Rico y Estados Unidos que este autor haya podido identificar. </w:t>
      </w:r>
    </w:p>
    <w:p w:rsidR="00B015EE" w:rsidRPr="00C904FA" w:rsidRDefault="00B015EE" w:rsidP="00B015EE">
      <w:pPr>
        <w:rPr>
          <w:lang w:val="es-ES_tradnl"/>
        </w:rPr>
      </w:pPr>
      <w:r w:rsidRPr="00C904FA">
        <w:rPr>
          <w:lang w:val="es-ES_tradnl"/>
        </w:rPr>
        <w:t>El cuadro que se describe de Puerto Rico en los medios de comunicación de Estados Unidos destaca la posibilidad real de una crisis financiera</w:t>
      </w:r>
      <w:r>
        <w:rPr>
          <w:lang w:val="es-ES_tradnl"/>
        </w:rPr>
        <w:t>,</w:t>
      </w:r>
      <w:r w:rsidRPr="00C904FA">
        <w:rPr>
          <w:lang w:val="es-ES_tradnl"/>
        </w:rPr>
        <w:t xml:space="preserve"> a pesar de la puesta en vigor de la política de ajuste en curso (Mc Donald, (2014); </w:t>
      </w:r>
      <w:r w:rsidRPr="00C904FA">
        <w:rPr>
          <w:i/>
          <w:lang w:val="es-ES_tradnl"/>
        </w:rPr>
        <w:t>Washington Post</w:t>
      </w:r>
      <w:r w:rsidRPr="00C904FA">
        <w:rPr>
          <w:lang w:val="es-ES_tradnl"/>
        </w:rPr>
        <w:t xml:space="preserve">, 2013; </w:t>
      </w:r>
      <w:r w:rsidRPr="00C904FA">
        <w:rPr>
          <w:i/>
          <w:lang w:val="es-ES_tradnl"/>
        </w:rPr>
        <w:t>The Economist</w:t>
      </w:r>
      <w:r w:rsidRPr="00C904FA">
        <w:rPr>
          <w:lang w:val="es-ES_tradnl"/>
        </w:rPr>
        <w:t>, 2013: Fletcher, 2013; Bary, 2013: Williams, 2013; Nolan, 2013; Faries, B., Braun, M. Kaske, M. (2013). E</w:t>
      </w:r>
      <w:r>
        <w:rPr>
          <w:lang w:val="es-ES_tradnl"/>
        </w:rPr>
        <w:t>s e</w:t>
      </w:r>
      <w:r w:rsidRPr="00C904FA">
        <w:rPr>
          <w:lang w:val="es-ES_tradnl"/>
        </w:rPr>
        <w:t>n medio de esta percepción muy negativa que se le solicita al Congreso que atienda el llamado problema del estatus político de la Isla.</w:t>
      </w:r>
    </w:p>
    <w:p w:rsidR="00B015EE" w:rsidRPr="00C904FA" w:rsidRDefault="00B015EE" w:rsidP="00B015EE">
      <w:pPr>
        <w:rPr>
          <w:lang w:val="es-ES_tradnl"/>
        </w:rPr>
      </w:pPr>
      <w:r w:rsidRPr="00C904FA">
        <w:rPr>
          <w:lang w:val="es-ES_tradnl"/>
        </w:rPr>
        <w:t>Aunque el Gobierno de Puerto Rico se esfuerza por evitarlo</w:t>
      </w:r>
      <w:r>
        <w:rPr>
          <w:lang w:val="es-ES_tradnl"/>
        </w:rPr>
        <w:t>,</w:t>
      </w:r>
      <w:r w:rsidRPr="00C904FA">
        <w:rPr>
          <w:lang w:val="es-ES_tradnl"/>
        </w:rPr>
        <w:t xml:space="preserve"> podría darse el caso que lo que ocupe la acción inmediata del Gobierno federal en el futuro inmediato sea evitar que la crisis financiera de Puerto Rico tenga efectos desestabilizadores sobre el mercado de bonos municipales. Aunque</w:t>
      </w:r>
      <w:r>
        <w:rPr>
          <w:lang w:val="es-ES_tradnl"/>
        </w:rPr>
        <w:t xml:space="preserve"> se ha planteado frecuentemente </w:t>
      </w:r>
      <w:r w:rsidRPr="00C904FA">
        <w:rPr>
          <w:lang w:val="es-ES_tradnl"/>
        </w:rPr>
        <w:t>que una percepción de crisis es fundamental para motivar la acción del Congreso en torno al estatus</w:t>
      </w:r>
      <w:r>
        <w:rPr>
          <w:lang w:val="es-ES_tradnl"/>
        </w:rPr>
        <w:t>,</w:t>
      </w:r>
      <w:r w:rsidRPr="00C904FA">
        <w:rPr>
          <w:lang w:val="es-ES_tradnl"/>
        </w:rPr>
        <w:t xml:space="preserve"> no está claro si Estados Unidos le está prestando suficiente importancia al asunto o tiene una estrategia de carácter económico o fiscal dentro de la cual las necesidades particulares del Estado Libre Asociado tienen espacio y consideración efectiva.</w:t>
      </w:r>
    </w:p>
    <w:p w:rsidR="00B015EE" w:rsidRPr="00C904FA" w:rsidRDefault="00B015EE" w:rsidP="00B015EE">
      <w:pPr>
        <w:rPr>
          <w:lang w:val="es-ES_tradnl"/>
        </w:rPr>
      </w:pPr>
      <w:r w:rsidRPr="00C904FA">
        <w:rPr>
          <w:lang w:val="es-ES_tradnl"/>
        </w:rPr>
        <w:t>Este contexto de crisis económica es distinto a otros en donde se ha intentado forzar el tema del estatus político</w:t>
      </w:r>
      <w:r>
        <w:rPr>
          <w:lang w:val="es-ES_tradnl"/>
        </w:rPr>
        <w:t>,</w:t>
      </w:r>
      <w:r w:rsidRPr="00C904FA">
        <w:rPr>
          <w:lang w:val="es-ES_tradnl"/>
        </w:rPr>
        <w:t xml:space="preserve"> en cuanto a que no son evidentes algu</w:t>
      </w:r>
      <w:r>
        <w:rPr>
          <w:lang w:val="es-ES_tradnl"/>
        </w:rPr>
        <w:t>nos de los intereses dominantes</w:t>
      </w:r>
      <w:r w:rsidRPr="00C904FA">
        <w:rPr>
          <w:lang w:val="es-ES_tradnl"/>
        </w:rPr>
        <w:t xml:space="preserve"> de tipo interamericano (Pantojas, 2013) o militar (Rodríguez Beruff, Fresneda, 2012) que</w:t>
      </w:r>
      <w:r>
        <w:rPr>
          <w:lang w:val="es-ES_tradnl"/>
        </w:rPr>
        <w:t xml:space="preserve"> </w:t>
      </w:r>
      <w:r w:rsidRPr="00C904FA">
        <w:rPr>
          <w:lang w:val="es-ES_tradnl"/>
        </w:rPr>
        <w:t>movieron en el pasado al Congreso a actuar sobre el caso de forma decisiva. Tampoco tiene el caso de Puerto Rico el mismo nivel de visibilidad internacional que tuvo en la ONU a par</w:t>
      </w:r>
      <w:r>
        <w:rPr>
          <w:lang w:val="es-ES_tradnl"/>
        </w:rPr>
        <w:t>tir de la década de los setenta</w:t>
      </w:r>
      <w:r w:rsidRPr="00C904FA">
        <w:rPr>
          <w:lang w:val="es-ES_tradnl"/>
        </w:rPr>
        <w:t xml:space="preserve"> (Pastor, 1984). Quizás por todo esto es que algunos insisten en que Puerto Rico navega por lo que designan como</w:t>
      </w:r>
      <w:r>
        <w:rPr>
          <w:lang w:val="es-ES_tradnl"/>
        </w:rPr>
        <w:t xml:space="preserve"> “territorio inexplorado” (</w:t>
      </w:r>
      <w:r w:rsidRPr="009A6E10">
        <w:rPr>
          <w:i/>
          <w:lang w:val="es-ES_tradnl"/>
        </w:rPr>
        <w:t>unchartered territory</w:t>
      </w:r>
      <w:r>
        <w:rPr>
          <w:lang w:val="es-ES_tradnl"/>
        </w:rPr>
        <w:t>)</w:t>
      </w:r>
      <w:r w:rsidRPr="00C904FA">
        <w:rPr>
          <w:lang w:val="es-ES_tradnl"/>
        </w:rPr>
        <w:t>.</w:t>
      </w:r>
    </w:p>
    <w:p w:rsidR="00B015EE" w:rsidRPr="00C904FA" w:rsidRDefault="00B015EE" w:rsidP="00B015EE">
      <w:pPr>
        <w:rPr>
          <w:lang w:val="es-ES_tradnl"/>
        </w:rPr>
      </w:pPr>
      <w:r w:rsidRPr="00C904FA">
        <w:rPr>
          <w:lang w:val="es-ES_tradnl"/>
        </w:rPr>
        <w:t>Como si lo anterior no fuera suficiente para complicar la consideración de las peticiones puertorriqueñas ante el Gobierno federal</w:t>
      </w:r>
      <w:r>
        <w:rPr>
          <w:lang w:val="es-ES_tradnl"/>
        </w:rPr>
        <w:t>,</w:t>
      </w:r>
      <w:r w:rsidRPr="00C904FA">
        <w:rPr>
          <w:lang w:val="es-ES_tradnl"/>
        </w:rPr>
        <w:t xml:space="preserve"> hay que tomar en cuenta que dichos reclamos se le formulan a una institución muy</w:t>
      </w:r>
      <w:r>
        <w:rPr>
          <w:lang w:val="es-ES_tradnl"/>
        </w:rPr>
        <w:t xml:space="preserve"> </w:t>
      </w:r>
      <w:r w:rsidRPr="00C904FA">
        <w:rPr>
          <w:lang w:val="es-ES_tradnl"/>
        </w:rPr>
        <w:t>compleja como es</w:t>
      </w:r>
      <w:r>
        <w:rPr>
          <w:lang w:val="es-ES_tradnl"/>
        </w:rPr>
        <w:t xml:space="preserve"> el Congreso de Estados Unidos.</w:t>
      </w:r>
    </w:p>
    <w:p w:rsidR="00B015EE" w:rsidRPr="00C904FA" w:rsidRDefault="00B015EE" w:rsidP="00B015EE">
      <w:pPr>
        <w:rPr>
          <w:lang w:val="es-ES_tradnl"/>
        </w:rPr>
      </w:pPr>
      <w:r w:rsidRPr="00C904FA">
        <w:rPr>
          <w:lang w:val="es-ES_tradnl"/>
        </w:rPr>
        <w:t xml:space="preserve">Examino ahora algunas de las consecuencias del manejo del caso de Puerto Rico como un problema esencialmente político en el legislativo estadounidense. La complejidad de este asunto no se limita a la falta de consenso político o a la existencia de una gran crisis financiera. El marco institucional del Congreso plantea otros retos de </w:t>
      </w:r>
      <w:r>
        <w:rPr>
          <w:lang w:val="es-ES_tradnl"/>
        </w:rPr>
        <w:t xml:space="preserve">una </w:t>
      </w:r>
      <w:r w:rsidRPr="00C904FA">
        <w:rPr>
          <w:lang w:val="es-ES_tradnl"/>
        </w:rPr>
        <w:t>envergadura mayor. Está muy claro que ese es el escenario con la autoridad legal</w:t>
      </w:r>
      <w:r>
        <w:rPr>
          <w:lang w:val="es-ES_tradnl"/>
        </w:rPr>
        <w:t xml:space="preserve"> para alterar el marco jurídico-</w:t>
      </w:r>
      <w:r w:rsidRPr="00C904FA">
        <w:rPr>
          <w:lang w:val="es-ES_tradnl"/>
        </w:rPr>
        <w:t>político presente.</w:t>
      </w:r>
    </w:p>
    <w:p w:rsidR="00B015EE" w:rsidRPr="00C904FA" w:rsidRDefault="00B015EE" w:rsidP="00B015EE">
      <w:pPr>
        <w:widowControl w:val="0"/>
        <w:autoSpaceDE w:val="0"/>
        <w:autoSpaceDN w:val="0"/>
        <w:spacing w:line="240" w:lineRule="auto"/>
        <w:ind w:left="720" w:firstLine="0"/>
        <w:rPr>
          <w:rFonts w:eastAsia="Times New Roman"/>
          <w:szCs w:val="24"/>
          <w:lang w:val="es-ES_tradnl"/>
        </w:rPr>
      </w:pPr>
    </w:p>
    <w:p w:rsidR="00B015EE" w:rsidRPr="00C904FA" w:rsidRDefault="00B015EE" w:rsidP="00B015EE">
      <w:pPr>
        <w:pStyle w:val="Heading2"/>
        <w:ind w:left="426"/>
        <w:jc w:val="both"/>
        <w:rPr>
          <w:lang w:val="es-ES_tradnl"/>
        </w:rPr>
      </w:pPr>
      <w:bookmarkStart w:id="19" w:name="_Toc384769721"/>
      <w:r w:rsidRPr="00C904FA">
        <w:rPr>
          <w:lang w:val="es-ES_tradnl"/>
        </w:rPr>
        <w:t>El estatus en el complicado escenario del Congreso</w:t>
      </w:r>
      <w:bookmarkEnd w:id="19"/>
    </w:p>
    <w:p w:rsidR="00B015EE" w:rsidRDefault="00B015EE" w:rsidP="00B015EE">
      <w:pPr>
        <w:spacing w:line="360" w:lineRule="auto"/>
        <w:rPr>
          <w:lang w:val="es-ES_tradnl"/>
        </w:rPr>
      </w:pPr>
    </w:p>
    <w:p w:rsidR="00B015EE" w:rsidRPr="00C904FA" w:rsidRDefault="00B015EE" w:rsidP="00B015EE">
      <w:pPr>
        <w:rPr>
          <w:lang w:val="es-ES_tradnl"/>
        </w:rPr>
      </w:pPr>
      <w:r w:rsidRPr="00C904FA">
        <w:rPr>
          <w:lang w:val="es-ES_tradnl"/>
        </w:rPr>
        <w:t xml:space="preserve">No se puede subestimar cuán central es la institución del Congreso al momento de considerar alteraciones al estatus actual. Si bien es cierto que es necesaria una acción concertada entre la rama ejecutiva y legislativa para mover el asunto de Puerto Rico, no es menos cierto que la responsabilidad constitucional de atender el asunto recae principalmente en el Congreso. </w:t>
      </w:r>
    </w:p>
    <w:p w:rsidR="00B015EE" w:rsidRPr="00C904FA" w:rsidRDefault="00B015EE" w:rsidP="00B015EE">
      <w:pPr>
        <w:rPr>
          <w:lang w:val="es-ES_tradnl"/>
        </w:rPr>
      </w:pPr>
      <w:r w:rsidRPr="00C904FA">
        <w:rPr>
          <w:lang w:val="es-ES_tradnl"/>
        </w:rPr>
        <w:t xml:space="preserve">Bajo los términos de la jurisprudencia </w:t>
      </w:r>
      <w:r>
        <w:rPr>
          <w:lang w:val="es-ES_tradnl"/>
        </w:rPr>
        <w:t>f</w:t>
      </w:r>
      <w:r w:rsidRPr="00C904FA">
        <w:rPr>
          <w:lang w:val="es-ES_tradnl"/>
        </w:rPr>
        <w:t>ederal vigente (</w:t>
      </w:r>
      <w:r w:rsidRPr="00C904FA">
        <w:rPr>
          <w:i/>
          <w:lang w:val="es-ES_tradnl"/>
        </w:rPr>
        <w:t xml:space="preserve">Balzac v </w:t>
      </w:r>
      <w:r>
        <w:rPr>
          <w:i/>
          <w:lang w:val="es-ES_tradnl"/>
        </w:rPr>
        <w:t>Po</w:t>
      </w:r>
      <w:r w:rsidRPr="000F1AA9">
        <w:rPr>
          <w:i/>
          <w:lang w:val="es-ES_tradnl"/>
        </w:rPr>
        <w:t>rto Rico</w:t>
      </w:r>
      <w:r w:rsidRPr="00C904FA">
        <w:rPr>
          <w:lang w:val="es-ES_tradnl"/>
        </w:rPr>
        <w:t>, 1922; Meléndez 2013)</w:t>
      </w:r>
      <w:r>
        <w:rPr>
          <w:lang w:val="es-ES_tradnl"/>
        </w:rPr>
        <w:t>,</w:t>
      </w:r>
      <w:r w:rsidRPr="00C904FA">
        <w:rPr>
          <w:lang w:val="es-ES_tradnl"/>
        </w:rPr>
        <w:t xml:space="preserve"> toda decisión de alterar la condición política de Puerto Rico tiene que ser realizada </w:t>
      </w:r>
      <w:r w:rsidRPr="00A95558">
        <w:rPr>
          <w:lang w:val="es-ES_tradnl"/>
        </w:rPr>
        <w:t>de forma explícita</w:t>
      </w:r>
      <w:r w:rsidRPr="00C904FA">
        <w:rPr>
          <w:lang w:val="es-ES_tradnl"/>
        </w:rPr>
        <w:t xml:space="preserve"> por dicha rama de gobierno. En otras palabras</w:t>
      </w:r>
      <w:r>
        <w:rPr>
          <w:lang w:val="es-ES_tradnl"/>
        </w:rPr>
        <w:t>,</w:t>
      </w:r>
      <w:r w:rsidRPr="00C904FA">
        <w:rPr>
          <w:lang w:val="es-ES_tradnl"/>
        </w:rPr>
        <w:t xml:space="preserve"> cualquier alteración a la condición de territorio no incorporado tiene que decidirse estimulando la voluntad política del Congreso y no principalmente por vías judiciales o ejecutivas. </w:t>
      </w:r>
    </w:p>
    <w:p w:rsidR="00B015EE" w:rsidRPr="00C904FA" w:rsidRDefault="00B015EE" w:rsidP="00B015EE">
      <w:pPr>
        <w:rPr>
          <w:lang w:val="es-ES_tradnl"/>
        </w:rPr>
      </w:pPr>
      <w:r w:rsidRPr="00C904FA">
        <w:rPr>
          <w:lang w:val="es-ES_tradnl"/>
        </w:rPr>
        <w:t>Desde esta óptica, la decisión sobre el futuro de Puerto Rico es, por tanto, una decisión esencialmente política y le</w:t>
      </w:r>
      <w:r>
        <w:rPr>
          <w:lang w:val="es-ES_tradnl"/>
        </w:rPr>
        <w:t xml:space="preserve">gislativa dentro </w:t>
      </w:r>
      <w:r w:rsidRPr="00C904FA">
        <w:rPr>
          <w:lang w:val="es-ES_tradnl"/>
        </w:rPr>
        <w:t>del sistema pol</w:t>
      </w:r>
      <w:r>
        <w:rPr>
          <w:lang w:val="es-ES_tradnl"/>
        </w:rPr>
        <w:t>ítico de Estados Unidos. C</w:t>
      </w:r>
      <w:r w:rsidRPr="00C904FA">
        <w:rPr>
          <w:lang w:val="es-ES_tradnl"/>
        </w:rPr>
        <w:t xml:space="preserve">omo veremos, </w:t>
      </w:r>
      <w:r>
        <w:rPr>
          <w:lang w:val="es-ES_tradnl"/>
        </w:rPr>
        <w:t xml:space="preserve">esto </w:t>
      </w:r>
      <w:r w:rsidRPr="00C904FA">
        <w:rPr>
          <w:lang w:val="es-ES_tradnl"/>
        </w:rPr>
        <w:t>le impone restricciones específicas al campo de acción política que es posi</w:t>
      </w:r>
      <w:r>
        <w:rPr>
          <w:lang w:val="es-ES_tradnl"/>
        </w:rPr>
        <w:t xml:space="preserve">ble articular desde Puerto Rico </w:t>
      </w:r>
      <w:r w:rsidRPr="00C904FA">
        <w:rPr>
          <w:lang w:val="es-ES_tradnl"/>
        </w:rPr>
        <w:t>y crea, por otro lado, oportunidades políticas hasta ahora mayormente inexploradas. Ello es especialmente cierto cuando las dos opciones principales de relación: enmiendas al Estado Libre Asociado para ampliar el marco legal de su autonomía o la estadidad</w:t>
      </w:r>
      <w:r>
        <w:rPr>
          <w:lang w:val="es-ES_tradnl"/>
        </w:rPr>
        <w:t>,</w:t>
      </w:r>
      <w:r w:rsidRPr="00C904FA">
        <w:rPr>
          <w:lang w:val="es-ES_tradnl"/>
        </w:rPr>
        <w:t xml:space="preserve"> </w:t>
      </w:r>
      <w:r>
        <w:rPr>
          <w:lang w:val="es-ES_tradnl"/>
        </w:rPr>
        <w:t xml:space="preserve">requieren, por vías distintas, </w:t>
      </w:r>
      <w:r w:rsidRPr="00C904FA">
        <w:rPr>
          <w:lang w:val="es-ES_tradnl"/>
        </w:rPr>
        <w:t>una intervención persistente del Congreso sobre los asuntos de Puerto Rico.</w:t>
      </w:r>
    </w:p>
    <w:p w:rsidR="00B015EE" w:rsidRPr="0095547C" w:rsidRDefault="00B015EE" w:rsidP="00B015EE">
      <w:pPr>
        <w:rPr>
          <w:lang w:val="en-US"/>
        </w:rPr>
      </w:pPr>
      <w:r w:rsidRPr="00C904FA">
        <w:rPr>
          <w:lang w:val="es-ES_tradnl"/>
        </w:rPr>
        <w:t xml:space="preserve">En </w:t>
      </w:r>
      <w:r w:rsidRPr="00C904FA">
        <w:rPr>
          <w:i/>
          <w:lang w:val="es-ES_tradnl"/>
        </w:rPr>
        <w:t xml:space="preserve">Balzac </w:t>
      </w:r>
      <w:r w:rsidRPr="000F1AA9">
        <w:rPr>
          <w:i/>
          <w:lang w:val="es-ES_tradnl"/>
        </w:rPr>
        <w:t>v Porto Rico</w:t>
      </w:r>
      <w:r w:rsidRPr="00C904FA">
        <w:rPr>
          <w:lang w:val="es-ES_tradnl"/>
        </w:rPr>
        <w:t xml:space="preserve">, una decisión unánime del Tribunal Supremo de Estados Unidos de 1922, examinada en conjunto con el resto de los llamados casos insulares (Rivera Ramos, 2001), no empece sus fuertes connotaciones racistas, mantiene una vigencia fundamental en el siglo </w:t>
      </w:r>
      <w:r>
        <w:rPr>
          <w:lang w:val="es-ES_tradnl"/>
        </w:rPr>
        <w:t>XXI</w:t>
      </w:r>
      <w:r w:rsidRPr="00C904FA">
        <w:rPr>
          <w:lang w:val="es-ES_tradnl"/>
        </w:rPr>
        <w:t>.</w:t>
      </w:r>
      <w:r>
        <w:rPr>
          <w:lang w:val="es-ES_tradnl"/>
        </w:rPr>
        <w:t xml:space="preserve"> </w:t>
      </w:r>
      <w:r w:rsidRPr="00C904FA">
        <w:rPr>
          <w:lang w:val="es-ES_tradnl"/>
        </w:rPr>
        <w:t xml:space="preserve">La doctrina de </w:t>
      </w:r>
      <w:r w:rsidRPr="00C904FA">
        <w:rPr>
          <w:i/>
          <w:lang w:val="es-ES_tradnl"/>
        </w:rPr>
        <w:t>Balzac</w:t>
      </w:r>
      <w:r>
        <w:rPr>
          <w:i/>
          <w:lang w:val="es-ES_tradnl"/>
        </w:rPr>
        <w:t xml:space="preserve"> </w:t>
      </w:r>
      <w:r w:rsidRPr="00C904FA">
        <w:rPr>
          <w:lang w:val="es-ES_tradnl"/>
        </w:rPr>
        <w:t>es esencial, co</w:t>
      </w:r>
      <w:r>
        <w:rPr>
          <w:lang w:val="es-ES_tradnl"/>
        </w:rPr>
        <w:t>mo nos recuerda Meléndez (2013)</w:t>
      </w:r>
      <w:r w:rsidRPr="00C904FA">
        <w:rPr>
          <w:lang w:val="es-ES_tradnl"/>
        </w:rPr>
        <w:t>. Producida por un Tribunal Supr</w:t>
      </w:r>
      <w:r>
        <w:rPr>
          <w:lang w:val="es-ES_tradnl"/>
        </w:rPr>
        <w:t xml:space="preserve">emo dirigido entonces por el expresidente </w:t>
      </w:r>
      <w:r w:rsidRPr="00C904FA">
        <w:rPr>
          <w:lang w:val="es-ES_tradnl"/>
        </w:rPr>
        <w:t xml:space="preserve">William Howard Taft, en ella se separa tajantemente el tema de la otorgación de la ciudadanía de Estados Unidos a los puertorriqueños en 1917 de lo relativo a la posible admisión de Puerto Rico como estado. </w:t>
      </w:r>
      <w:r w:rsidRPr="00C904FA">
        <w:rPr>
          <w:i/>
          <w:lang w:val="es-ES_tradnl"/>
        </w:rPr>
        <w:t>Balzac</w:t>
      </w:r>
      <w:r w:rsidRPr="00C904FA">
        <w:rPr>
          <w:lang w:val="es-ES_tradnl"/>
        </w:rPr>
        <w:t xml:space="preserve"> decide que toda alteración a la condición de territorio no incorporado tiene que decretarlo el Congreso</w:t>
      </w:r>
      <w:r>
        <w:rPr>
          <w:lang w:val="es-ES_tradnl"/>
        </w:rPr>
        <w:t xml:space="preserve"> </w:t>
      </w:r>
      <w:r w:rsidRPr="00A95558">
        <w:rPr>
          <w:lang w:val="es-ES_tradnl"/>
        </w:rPr>
        <w:t>como una decisión política explícita</w:t>
      </w:r>
      <w:r w:rsidRPr="00C904FA">
        <w:rPr>
          <w:lang w:val="es-ES_tradnl"/>
        </w:rPr>
        <w:t xml:space="preserve"> (Balzac, 1922, 306).</w:t>
      </w:r>
      <w:r w:rsidRPr="00C904FA">
        <w:rPr>
          <w:vertAlign w:val="superscript"/>
          <w:lang w:val="es-ES_tradnl"/>
        </w:rPr>
        <w:footnoteReference w:id="9"/>
      </w:r>
      <w:r>
        <w:rPr>
          <w:lang w:val="es-ES_tradnl"/>
        </w:rPr>
        <w:t xml:space="preserve"> </w:t>
      </w:r>
      <w:r w:rsidRPr="00D50E9B">
        <w:rPr>
          <w:lang w:val="en-US"/>
        </w:rPr>
        <w:t xml:space="preserve">Ese es el poder que el Congreso tiene que utilizar para resolver el problema: “The solution to the colonial problem of both Puerto Rico and the United States will not come from the federal courts, nor should it. It is a political problem whose solution lies squarely in the hands of the federal political branches. All justifications for benign neglect have long disappeared by now” </w:t>
      </w:r>
      <w:r w:rsidRPr="0095547C">
        <w:rPr>
          <w:lang w:val="en-US"/>
        </w:rPr>
        <w:t>(Álvarez González, 2009, 246).</w:t>
      </w:r>
    </w:p>
    <w:p w:rsidR="00B015EE" w:rsidRPr="00C904FA" w:rsidRDefault="00B015EE" w:rsidP="00B015EE">
      <w:pPr>
        <w:rPr>
          <w:lang w:val="es-ES_tradnl"/>
        </w:rPr>
      </w:pPr>
      <w:r w:rsidRPr="00C904FA">
        <w:rPr>
          <w:lang w:val="es-ES_tradnl"/>
        </w:rPr>
        <w:t xml:space="preserve">Este fallo judicial es fundamental en el contexto de ciertas decisiones judiciales recientes, a nivel del Distrito </w:t>
      </w:r>
      <w:r>
        <w:rPr>
          <w:lang w:val="es-ES_tradnl"/>
        </w:rPr>
        <w:t>f</w:t>
      </w:r>
      <w:r w:rsidRPr="00C904FA">
        <w:rPr>
          <w:lang w:val="es-ES_tradnl"/>
        </w:rPr>
        <w:t>ederal en Puerto Rico</w:t>
      </w:r>
      <w:r>
        <w:rPr>
          <w:lang w:val="es-ES_tradnl"/>
        </w:rPr>
        <w:t>,</w:t>
      </w:r>
      <w:r w:rsidRPr="00C904FA">
        <w:rPr>
          <w:lang w:val="es-ES_tradnl"/>
        </w:rPr>
        <w:t xml:space="preserve"> en donde se ha cuestionado</w:t>
      </w:r>
      <w:r>
        <w:rPr>
          <w:lang w:val="es-ES_tradnl"/>
        </w:rPr>
        <w:t xml:space="preserve"> la vigencia de la doctrina de </w:t>
      </w:r>
      <w:r w:rsidRPr="00C904FA">
        <w:rPr>
          <w:lang w:val="es-ES_tradnl"/>
        </w:rPr>
        <w:t>no incorporación y se reclama el poder judicial para determinar jurídicamente que el carácter de territorio no incorporado de Puerto Rico ha sido alterado (</w:t>
      </w:r>
      <w:r w:rsidRPr="00C904FA">
        <w:rPr>
          <w:i/>
          <w:lang w:val="es-ES_tradnl"/>
        </w:rPr>
        <w:t>Consejo de Salud v. Rullán</w:t>
      </w:r>
      <w:r w:rsidRPr="00C904FA">
        <w:rPr>
          <w:lang w:val="es-ES_tradnl"/>
        </w:rPr>
        <w:t xml:space="preserve"> 2009).</w:t>
      </w:r>
      <w:r w:rsidRPr="00C904FA">
        <w:rPr>
          <w:vertAlign w:val="superscript"/>
          <w:lang w:val="es-ES_tradnl"/>
        </w:rPr>
        <w:footnoteReference w:id="10"/>
      </w:r>
      <w:r w:rsidRPr="00C904FA">
        <w:rPr>
          <w:lang w:val="es-ES_tradnl"/>
        </w:rPr>
        <w:t xml:space="preserve"> Ello es consecuencia de una expresión del Tribunal Supremo de Estados Unidos en el caso de </w:t>
      </w:r>
      <w:r w:rsidRPr="00C904FA">
        <w:rPr>
          <w:i/>
          <w:lang w:val="es-ES_tradnl"/>
        </w:rPr>
        <w:t>Boumediene v Bush</w:t>
      </w:r>
      <w:r w:rsidRPr="00C904FA">
        <w:rPr>
          <w:lang w:val="es-ES_tradnl"/>
        </w:rPr>
        <w:t xml:space="preserve"> (20</w:t>
      </w:r>
      <w:r>
        <w:rPr>
          <w:lang w:val="es-ES_tradnl"/>
        </w:rPr>
        <w:t xml:space="preserve">08). </w:t>
      </w:r>
      <w:r w:rsidRPr="00C904FA">
        <w:rPr>
          <w:lang w:val="es-ES_tradnl"/>
        </w:rPr>
        <w:t xml:space="preserve">La diferencia entre incorporación y no incorporación es esencial porque en el primer caso el territorio se encuentra encaminado a ser admitido como estado de la </w:t>
      </w:r>
      <w:r>
        <w:rPr>
          <w:lang w:val="es-ES_tradnl"/>
        </w:rPr>
        <w:t>u</w:t>
      </w:r>
      <w:r w:rsidRPr="00C904FA">
        <w:rPr>
          <w:lang w:val="es-ES_tradnl"/>
        </w:rPr>
        <w:t>nión</w:t>
      </w:r>
      <w:r>
        <w:rPr>
          <w:lang w:val="es-ES_tradnl"/>
        </w:rPr>
        <w:t>,</w:t>
      </w:r>
      <w:r w:rsidRPr="00C904FA">
        <w:rPr>
          <w:lang w:val="es-ES_tradnl"/>
        </w:rPr>
        <w:t xml:space="preserve"> mientras en el segundo caso (la no incorporación) se presume que el territorio no se dirige hacia la estadidad y la Constitución de Estados Unidos s</w:t>
      </w:r>
      <w:r>
        <w:rPr>
          <w:lang w:val="es-ES_tradnl"/>
        </w:rPr>
        <w:t>o</w:t>
      </w:r>
      <w:r w:rsidRPr="00C904FA">
        <w:rPr>
          <w:lang w:val="es-ES_tradnl"/>
        </w:rPr>
        <w:t>lo aplica parcialmente (CRS, 2011; Álvarez González, 2009; Trías Monge, 199</w:t>
      </w:r>
      <w:r>
        <w:rPr>
          <w:lang w:val="es-ES_tradnl"/>
        </w:rPr>
        <w:t>9</w:t>
      </w:r>
      <w:r w:rsidRPr="00C904FA">
        <w:rPr>
          <w:lang w:val="es-ES_tradnl"/>
        </w:rPr>
        <w:t>). Según la estudiosa Duffy Burnett, los casos insulares establecen, al mismo tiempo,</w:t>
      </w:r>
      <w:r>
        <w:rPr>
          <w:lang w:val="es-ES_tradnl"/>
        </w:rPr>
        <w:t xml:space="preserve"> </w:t>
      </w:r>
      <w:r w:rsidRPr="00C904FA">
        <w:rPr>
          <w:lang w:val="es-ES_tradnl"/>
        </w:rPr>
        <w:t>la premisa de que el Congr</w:t>
      </w:r>
      <w:r>
        <w:rPr>
          <w:lang w:val="es-ES_tradnl"/>
        </w:rPr>
        <w:t>eso tiene el poder de separar (</w:t>
      </w:r>
      <w:r w:rsidRPr="00165B1C">
        <w:rPr>
          <w:i/>
          <w:lang w:val="es-ES_tradnl"/>
        </w:rPr>
        <w:t>deannexation</w:t>
      </w:r>
      <w:r>
        <w:rPr>
          <w:lang w:val="es-ES_tradnl"/>
        </w:rPr>
        <w:t xml:space="preserve">) a Puerto Rico de </w:t>
      </w:r>
      <w:r w:rsidRPr="00C904FA">
        <w:rPr>
          <w:lang w:val="es-ES_tradnl"/>
        </w:rPr>
        <w:t>Estados Unidos (Burnett, 2005).</w:t>
      </w:r>
    </w:p>
    <w:p w:rsidR="00B015EE" w:rsidRPr="00C904FA" w:rsidRDefault="00B015EE" w:rsidP="00B015EE">
      <w:pPr>
        <w:rPr>
          <w:lang w:val="es-ES_tradnl"/>
        </w:rPr>
      </w:pPr>
      <w:r w:rsidRPr="00C904FA">
        <w:rPr>
          <w:lang w:val="es-ES_tradnl"/>
        </w:rPr>
        <w:t xml:space="preserve">La radicación del HR 2000 (HR 2000, 2013), dirigido a admitir a Puerto Rico como nuevo estado de la </w:t>
      </w:r>
      <w:r>
        <w:rPr>
          <w:lang w:val="es-ES_tradnl"/>
        </w:rPr>
        <w:t xml:space="preserve">unión, </w:t>
      </w:r>
      <w:r w:rsidRPr="00C904FA">
        <w:rPr>
          <w:lang w:val="es-ES_tradnl"/>
        </w:rPr>
        <w:t xml:space="preserve">radicada por el </w:t>
      </w:r>
      <w:r>
        <w:rPr>
          <w:lang w:val="es-ES_tradnl"/>
        </w:rPr>
        <w:t xml:space="preserve">comisionado residente </w:t>
      </w:r>
      <w:r w:rsidRPr="00C904FA">
        <w:rPr>
          <w:lang w:val="es-ES_tradnl"/>
        </w:rPr>
        <w:t>Pedro Pierluisi</w:t>
      </w:r>
      <w:r>
        <w:rPr>
          <w:lang w:val="es-ES_tradnl"/>
        </w:rPr>
        <w:t>,</w:t>
      </w:r>
      <w:r w:rsidRPr="00C904FA">
        <w:rPr>
          <w:lang w:val="es-ES_tradnl"/>
        </w:rPr>
        <w:t xml:space="preserve"> es consistente con el acercamiento político al problema. Mediante la radicación del HR 2000</w:t>
      </w:r>
      <w:r>
        <w:rPr>
          <w:lang w:val="es-ES_tradnl"/>
        </w:rPr>
        <w:t>,</w:t>
      </w:r>
      <w:r w:rsidRPr="00C904FA">
        <w:rPr>
          <w:lang w:val="es-ES_tradnl"/>
        </w:rPr>
        <w:t xml:space="preserve"> se le solicita al Congreso que ponga en marcha el proceso de admisión a consecuencia de lo que sus proponentes describen como una petición de estadidad del electorado de Puerto Rico instada en noviembre del 2012. Esta acción implicaría, sin embargo, que ya Estados Unidos ha terminado la fase de evaluación sobre si está en el interés nacional de ese país </w:t>
      </w:r>
      <w:r>
        <w:rPr>
          <w:lang w:val="es-ES_tradnl"/>
        </w:rPr>
        <w:t>hace</w:t>
      </w:r>
      <w:r w:rsidRPr="00C904FA">
        <w:rPr>
          <w:lang w:val="es-ES_tradnl"/>
        </w:rPr>
        <w:t>r un cambio en la relación territorial. Dicha fase ha sido un paso esencial en la experiencia histórica de Estados Unidos en cuanto a este tema (CRS 2011, 25). Esa premisa, veremos más adel</w:t>
      </w:r>
      <w:r>
        <w:rPr>
          <w:lang w:val="es-ES_tradnl"/>
        </w:rPr>
        <w:t>ante, puede ser equivocada y es otr</w:t>
      </w:r>
      <w:r w:rsidRPr="00C904FA">
        <w:rPr>
          <w:lang w:val="es-ES_tradnl"/>
        </w:rPr>
        <w:t>o de los factores que explicaría en parte la relativa inacción en cuanto a esa pieza legislativa. Ello es especialmente cierto en el contexto de crisis fiscal de Puerto Rico</w:t>
      </w:r>
      <w:r>
        <w:rPr>
          <w:lang w:val="es-ES_tradnl"/>
        </w:rPr>
        <w:t>,</w:t>
      </w:r>
      <w:r w:rsidRPr="00C904FA">
        <w:rPr>
          <w:lang w:val="es-ES_tradnl"/>
        </w:rPr>
        <w:t xml:space="preserve"> al que ya se hizo referencia.</w:t>
      </w:r>
    </w:p>
    <w:p w:rsidR="00B015EE" w:rsidRPr="00C904FA" w:rsidRDefault="00B015EE" w:rsidP="00B015EE">
      <w:pPr>
        <w:rPr>
          <w:lang w:val="es-ES_tradnl"/>
        </w:rPr>
      </w:pPr>
      <w:r>
        <w:rPr>
          <w:lang w:val="es-ES_tradnl"/>
        </w:rPr>
        <w:t>Un</w:t>
      </w:r>
      <w:r w:rsidRPr="00C904FA">
        <w:rPr>
          <w:lang w:val="es-ES_tradnl"/>
        </w:rPr>
        <w:t xml:space="preserve"> aspecto </w:t>
      </w:r>
      <w:r>
        <w:rPr>
          <w:lang w:val="es-ES_tradnl"/>
        </w:rPr>
        <w:t xml:space="preserve">particular </w:t>
      </w:r>
      <w:r w:rsidRPr="00C904FA">
        <w:rPr>
          <w:lang w:val="es-ES_tradnl"/>
        </w:rPr>
        <w:t xml:space="preserve">que le asigna vigencia a la doctrina de </w:t>
      </w:r>
      <w:r w:rsidRPr="00C904FA">
        <w:rPr>
          <w:i/>
          <w:lang w:val="es-ES_tradnl"/>
        </w:rPr>
        <w:t>Balzac</w:t>
      </w:r>
      <w:r w:rsidRPr="00C904FA">
        <w:rPr>
          <w:lang w:val="es-ES_tradnl"/>
        </w:rPr>
        <w:t xml:space="preserve"> es su interpretación particular sobre la naturaleza de la ciudadanía estadounidense otorgada a los puertorriqueños en 1917 mediante legislación (</w:t>
      </w:r>
      <w:r w:rsidRPr="00C904FA">
        <w:rPr>
          <w:i/>
          <w:lang w:val="es-ES_tradnl"/>
        </w:rPr>
        <w:t>Balzac</w:t>
      </w:r>
      <w:r w:rsidRPr="00C904FA">
        <w:rPr>
          <w:lang w:val="es-ES_tradnl"/>
        </w:rPr>
        <w:t>, 1922). Refiriéndose a los ciudadanos de Puerto Rico</w:t>
      </w:r>
      <w:r>
        <w:rPr>
          <w:lang w:val="es-ES_tradnl"/>
        </w:rPr>
        <w:t>,</w:t>
      </w:r>
      <w:r w:rsidRPr="00C904FA">
        <w:rPr>
          <w:lang w:val="es-ES_tradnl"/>
        </w:rPr>
        <w:t xml:space="preserve"> se establece cuál es el ámbito de la ciudadanía estadounidense otorgada en 1917: “What additional rights did it give them? </w:t>
      </w:r>
      <w:r w:rsidRPr="0095547C">
        <w:rPr>
          <w:lang w:val="en-US"/>
        </w:rPr>
        <w:t>It enabled them to move into the continental United States and becoming residents of any State there to enjoy every right of any other citizen of the United States, civil, social and political” (</w:t>
      </w:r>
      <w:r w:rsidRPr="0095547C">
        <w:rPr>
          <w:i/>
          <w:lang w:val="en-US"/>
        </w:rPr>
        <w:t>Balzac</w:t>
      </w:r>
      <w:r w:rsidRPr="0095547C">
        <w:rPr>
          <w:lang w:val="en-US"/>
        </w:rPr>
        <w:t xml:space="preserve">, 308). </w:t>
      </w:r>
      <w:r w:rsidRPr="00C904FA">
        <w:rPr>
          <w:lang w:val="es-ES_tradnl"/>
        </w:rPr>
        <w:t>La decisión de referencia facilitó luego la migración masiva de</w:t>
      </w:r>
      <w:r>
        <w:rPr>
          <w:lang w:val="es-ES_tradnl"/>
        </w:rPr>
        <w:t xml:space="preserve"> los residentes de Puerto Rico </w:t>
      </w:r>
      <w:r w:rsidRPr="00C904FA">
        <w:rPr>
          <w:lang w:val="es-ES_tradnl"/>
        </w:rPr>
        <w:t>a Estados Unidos. S</w:t>
      </w:r>
      <w:r>
        <w:rPr>
          <w:lang w:val="es-ES_tradnl"/>
        </w:rPr>
        <w:t>o</w:t>
      </w:r>
      <w:r w:rsidRPr="00C904FA">
        <w:rPr>
          <w:lang w:val="es-ES_tradnl"/>
        </w:rPr>
        <w:t xml:space="preserve">lo </w:t>
      </w:r>
      <w:r>
        <w:rPr>
          <w:lang w:val="es-ES_tradnl"/>
        </w:rPr>
        <w:t>con</w:t>
      </w:r>
      <w:r w:rsidRPr="00C904FA">
        <w:rPr>
          <w:lang w:val="es-ES_tradnl"/>
        </w:rPr>
        <w:t xml:space="preserve"> ese cambio de localidad (a un estado de la </w:t>
      </w:r>
      <w:r>
        <w:rPr>
          <w:lang w:val="es-ES_tradnl"/>
        </w:rPr>
        <w:t>u</w:t>
      </w:r>
      <w:r w:rsidRPr="00C904FA">
        <w:rPr>
          <w:lang w:val="es-ES_tradnl"/>
        </w:rPr>
        <w:t>nión)</w:t>
      </w:r>
      <w:r>
        <w:rPr>
          <w:lang w:val="es-ES_tradnl"/>
        </w:rPr>
        <w:t>,</w:t>
      </w:r>
      <w:r w:rsidRPr="00C904FA">
        <w:rPr>
          <w:lang w:val="es-ES_tradnl"/>
        </w:rPr>
        <w:t xml:space="preserve"> podrían los puertorriqueños elegir congresistas y votar por el </w:t>
      </w:r>
      <w:r>
        <w:rPr>
          <w:lang w:val="es-ES_tradnl"/>
        </w:rPr>
        <w:t xml:space="preserve">presidente </w:t>
      </w:r>
      <w:r w:rsidRPr="00C904FA">
        <w:rPr>
          <w:lang w:val="es-ES_tradnl"/>
        </w:rPr>
        <w:t>(</w:t>
      </w:r>
      <w:r w:rsidRPr="00C904FA">
        <w:rPr>
          <w:i/>
          <w:lang w:val="es-ES_tradnl"/>
        </w:rPr>
        <w:t>Balzac</w:t>
      </w:r>
      <w:r w:rsidRPr="00C904FA">
        <w:rPr>
          <w:lang w:val="es-ES_tradnl"/>
        </w:rPr>
        <w:t xml:space="preserve">, 1922). </w:t>
      </w:r>
      <w:r w:rsidRPr="00C904FA">
        <w:rPr>
          <w:i/>
          <w:lang w:val="es-ES_tradnl"/>
        </w:rPr>
        <w:t>Balzac</w:t>
      </w:r>
      <w:r w:rsidRPr="00C904FA">
        <w:rPr>
          <w:lang w:val="es-ES_tradnl"/>
        </w:rPr>
        <w:t xml:space="preserve"> le otorgó a los puertorriqueños una especie de derecho individual a la estadidad</w:t>
      </w:r>
      <w:r>
        <w:rPr>
          <w:lang w:val="es-ES_tradnl"/>
        </w:rPr>
        <w:t>,</w:t>
      </w:r>
      <w:r w:rsidRPr="00C904FA">
        <w:rPr>
          <w:lang w:val="es-ES_tradnl"/>
        </w:rPr>
        <w:t xml:space="preserve"> mediante un cambio de localización.</w:t>
      </w:r>
    </w:p>
    <w:p w:rsidR="00B015EE" w:rsidRPr="00C904FA" w:rsidRDefault="00B015EE" w:rsidP="00B015EE">
      <w:pPr>
        <w:rPr>
          <w:lang w:val="es-ES_tradnl"/>
        </w:rPr>
      </w:pPr>
      <w:r w:rsidRPr="00C904FA">
        <w:rPr>
          <w:lang w:val="es-ES_tradnl"/>
        </w:rPr>
        <w:t xml:space="preserve">La decisión de referencia anticipó, probablemente de forma inadvertida, las oleadas de migración de puertorriqueños hacia las fronteras nacionales de ese país </w:t>
      </w:r>
      <w:r>
        <w:rPr>
          <w:lang w:val="es-ES_tradnl"/>
        </w:rPr>
        <w:t>cuya</w:t>
      </w:r>
      <w:r w:rsidRPr="00C904FA">
        <w:rPr>
          <w:lang w:val="es-ES_tradnl"/>
        </w:rPr>
        <w:t xml:space="preserve"> consecuencia </w:t>
      </w:r>
      <w:r>
        <w:rPr>
          <w:lang w:val="es-ES_tradnl"/>
        </w:rPr>
        <w:t xml:space="preserve">es </w:t>
      </w:r>
      <w:r w:rsidRPr="00C904FA">
        <w:rPr>
          <w:lang w:val="es-ES_tradnl"/>
        </w:rPr>
        <w:t xml:space="preserve">que haya más personas que se definen a sí mismos como puertorriqueños </w:t>
      </w:r>
      <w:r>
        <w:rPr>
          <w:lang w:val="es-ES_tradnl"/>
        </w:rPr>
        <w:t xml:space="preserve">o </w:t>
      </w:r>
      <w:r w:rsidRPr="00C904FA">
        <w:rPr>
          <w:lang w:val="es-ES_tradnl"/>
        </w:rPr>
        <w:t>puertorriqueñ</w:t>
      </w:r>
      <w:r>
        <w:rPr>
          <w:lang w:val="es-ES_tradnl"/>
        </w:rPr>
        <w:t xml:space="preserve">as </w:t>
      </w:r>
      <w:r w:rsidRPr="008B456C">
        <w:t>—</w:t>
      </w:r>
      <w:r w:rsidRPr="00C904FA">
        <w:rPr>
          <w:lang w:val="es-ES_tradnl"/>
        </w:rPr>
        <w:t xml:space="preserve">de acuerdo </w:t>
      </w:r>
      <w:r>
        <w:rPr>
          <w:lang w:val="es-ES_tradnl"/>
        </w:rPr>
        <w:t>con</w:t>
      </w:r>
      <w:r w:rsidRPr="00C904FA">
        <w:rPr>
          <w:lang w:val="es-ES_tradnl"/>
        </w:rPr>
        <w:t xml:space="preserve"> las categorías provistas por el Censo de Estados Unidos</w:t>
      </w:r>
      <w:r w:rsidRPr="008B456C">
        <w:t>—</w:t>
      </w:r>
      <w:r w:rsidRPr="00C904FA">
        <w:rPr>
          <w:lang w:val="es-ES_tradnl"/>
        </w:rPr>
        <w:t xml:space="preserve"> </w:t>
      </w:r>
      <w:r>
        <w:rPr>
          <w:lang w:val="es-ES_tradnl"/>
        </w:rPr>
        <w:t>residiendo en</w:t>
      </w:r>
      <w:r w:rsidRPr="00C904FA">
        <w:rPr>
          <w:lang w:val="es-ES_tradnl"/>
        </w:rPr>
        <w:t xml:space="preserve"> Estados Unidos (4.6 millones) que en Puerto Rico (3.6 millones) (Delgado, 2013). Esa brecha se ha ido abriendo en el pasado inmediato</w:t>
      </w:r>
      <w:r>
        <w:rPr>
          <w:lang w:val="es-ES_tradnl"/>
        </w:rPr>
        <w:t>,</w:t>
      </w:r>
      <w:r w:rsidRPr="00C904FA">
        <w:rPr>
          <w:lang w:val="es-ES_tradnl"/>
        </w:rPr>
        <w:t xml:space="preserve"> a medida que la frágil economía de la Isla estimula a miles a buscar oportunidades de</w:t>
      </w:r>
      <w:r>
        <w:rPr>
          <w:lang w:val="es-ES_tradnl"/>
        </w:rPr>
        <w:t xml:space="preserve"> empleo afuera.</w:t>
      </w:r>
    </w:p>
    <w:p w:rsidR="00B015EE" w:rsidRPr="00C904FA" w:rsidRDefault="00B015EE" w:rsidP="00B015EE">
      <w:pPr>
        <w:rPr>
          <w:lang w:val="es-ES_tradnl"/>
        </w:rPr>
      </w:pPr>
      <w:r w:rsidRPr="00C904FA">
        <w:rPr>
          <w:lang w:val="es-ES_tradnl"/>
        </w:rPr>
        <w:t xml:space="preserve">Elementos importantes de esa jurisprudencia relativa a los llamados “casos insulares”, incluyendo a </w:t>
      </w:r>
      <w:r w:rsidRPr="00C904FA">
        <w:rPr>
          <w:i/>
          <w:lang w:val="es-ES_tradnl"/>
        </w:rPr>
        <w:t>Balzac</w:t>
      </w:r>
      <w:r w:rsidRPr="00C904FA">
        <w:rPr>
          <w:lang w:val="es-ES_tradnl"/>
        </w:rPr>
        <w:t xml:space="preserve">, </w:t>
      </w:r>
      <w:r>
        <w:rPr>
          <w:lang w:val="es-ES_tradnl"/>
        </w:rPr>
        <w:t>se</w:t>
      </w:r>
      <w:r w:rsidRPr="00C904FA">
        <w:rPr>
          <w:lang w:val="es-ES_tradnl"/>
        </w:rPr>
        <w:t xml:space="preserve"> reafirma</w:t>
      </w:r>
      <w:r>
        <w:rPr>
          <w:lang w:val="es-ES_tradnl"/>
        </w:rPr>
        <w:t>ron</w:t>
      </w:r>
      <w:r w:rsidRPr="00C904FA">
        <w:rPr>
          <w:lang w:val="es-ES_tradnl"/>
        </w:rPr>
        <w:t xml:space="preserve"> </w:t>
      </w:r>
      <w:r w:rsidRPr="008B456C">
        <w:t>—</w:t>
      </w:r>
      <w:r w:rsidRPr="00C904FA">
        <w:rPr>
          <w:lang w:val="es-ES_tradnl"/>
        </w:rPr>
        <w:t>tan reciente</w:t>
      </w:r>
      <w:r>
        <w:rPr>
          <w:lang w:val="es-ES_tradnl"/>
        </w:rPr>
        <w:t>mente como en el 2008</w:t>
      </w:r>
      <w:r w:rsidRPr="008B456C">
        <w:t>—</w:t>
      </w:r>
      <w:r>
        <w:rPr>
          <w:lang w:val="es-ES_tradnl"/>
        </w:rPr>
        <w:t xml:space="preserve"> </w:t>
      </w:r>
      <w:r w:rsidRPr="00C904FA">
        <w:rPr>
          <w:lang w:val="es-ES_tradnl"/>
        </w:rPr>
        <w:t xml:space="preserve">por el Tribunal Supremo de Estados Unidos en </w:t>
      </w:r>
      <w:r w:rsidRPr="00C904FA">
        <w:rPr>
          <w:i/>
          <w:lang w:val="es-ES_tradnl"/>
        </w:rPr>
        <w:t>Bush v Boumediene</w:t>
      </w:r>
      <w:r w:rsidRPr="00C904FA">
        <w:rPr>
          <w:lang w:val="es-ES_tradnl"/>
        </w:rPr>
        <w:t xml:space="preserve"> (Kent, 2011). Desde el punto de vista </w:t>
      </w:r>
      <w:r>
        <w:t>interno</w:t>
      </w:r>
      <w:r w:rsidRPr="00C904FA">
        <w:rPr>
          <w:lang w:val="es-ES_tradnl"/>
        </w:rPr>
        <w:t xml:space="preserve"> de </w:t>
      </w:r>
      <w:r>
        <w:rPr>
          <w:lang w:val="es-ES_tradnl"/>
        </w:rPr>
        <w:t>ese paí</w:t>
      </w:r>
      <w:r w:rsidRPr="00C904FA">
        <w:rPr>
          <w:lang w:val="es-ES_tradnl"/>
        </w:rPr>
        <w:t xml:space="preserve">s es, por tanto, al Congreso al que le corresponde, en última instancia, responder al reclamo de autodeterminación política externa al que tiene derecho Puerto Rico (CRS, </w:t>
      </w:r>
      <w:r>
        <w:rPr>
          <w:lang w:val="es-ES_tradnl"/>
        </w:rPr>
        <w:t>2011, 25; Lawson, Sloan, 2009).</w:t>
      </w:r>
    </w:p>
    <w:p w:rsidR="00B015EE" w:rsidRPr="00C904FA" w:rsidRDefault="00B015EE" w:rsidP="00B015EE">
      <w:pPr>
        <w:rPr>
          <w:lang w:val="es-ES_tradnl"/>
        </w:rPr>
      </w:pPr>
      <w:r w:rsidRPr="00C904FA">
        <w:rPr>
          <w:lang w:val="es-ES_tradnl"/>
        </w:rPr>
        <w:t>Otra razón para enfocar la discusión en el poder legislativo metropolitano es el amplio poder de este cuerpo sobre Puerto Rico, bajo la vigente Ley de Relaciones Federales (Ley de Relaciones Federales, 1950 LPRA; CRS,</w:t>
      </w:r>
      <w:r>
        <w:rPr>
          <w:lang w:val="es-ES_tradnl"/>
        </w:rPr>
        <w:t xml:space="preserve"> </w:t>
      </w:r>
      <w:r w:rsidRPr="00C904FA">
        <w:rPr>
          <w:lang w:val="es-ES_tradnl"/>
        </w:rPr>
        <w:t>2011). Al presente</w:t>
      </w:r>
      <w:r>
        <w:rPr>
          <w:lang w:val="es-ES_tradnl"/>
        </w:rPr>
        <w:t>,</w:t>
      </w:r>
      <w:r w:rsidRPr="00C904FA">
        <w:rPr>
          <w:lang w:val="es-ES_tradnl"/>
        </w:rPr>
        <w:t xml:space="preserve"> el poder que el Congreso de E</w:t>
      </w:r>
      <w:r>
        <w:rPr>
          <w:lang w:val="es-ES_tradnl"/>
        </w:rPr>
        <w:t xml:space="preserve">stados </w:t>
      </w:r>
      <w:r w:rsidRPr="00C904FA">
        <w:rPr>
          <w:lang w:val="es-ES_tradnl"/>
        </w:rPr>
        <w:t>U</w:t>
      </w:r>
      <w:r>
        <w:rPr>
          <w:lang w:val="es-ES_tradnl"/>
        </w:rPr>
        <w:t>nidos</w:t>
      </w:r>
      <w:r w:rsidRPr="00C904FA">
        <w:rPr>
          <w:lang w:val="es-ES_tradnl"/>
        </w:rPr>
        <w:t xml:space="preserve"> ejerce sobre Puerto Rico es similar</w:t>
      </w:r>
      <w:r>
        <w:rPr>
          <w:lang w:val="es-ES_tradnl"/>
        </w:rPr>
        <w:t>,</w:t>
      </w:r>
      <w:r w:rsidRPr="00C904FA">
        <w:rPr>
          <w:lang w:val="es-ES_tradnl"/>
        </w:rPr>
        <w:t xml:space="preserve"> en muchos aspectos</w:t>
      </w:r>
      <w:r>
        <w:rPr>
          <w:lang w:val="es-ES_tradnl"/>
        </w:rPr>
        <w:t>,</w:t>
      </w:r>
      <w:r w:rsidRPr="00C904FA">
        <w:rPr>
          <w:lang w:val="es-ES_tradnl"/>
        </w:rPr>
        <w:t xml:space="preserve"> al que ejerce sobre los estados</w:t>
      </w:r>
      <w:r>
        <w:rPr>
          <w:lang w:val="es-ES_tradnl"/>
        </w:rPr>
        <w:t>,</w:t>
      </w:r>
      <w:r w:rsidRPr="00C904FA">
        <w:rPr>
          <w:lang w:val="es-ES_tradnl"/>
        </w:rPr>
        <w:t xml:space="preserve"> con excepciones importantes en lo económico</w:t>
      </w:r>
      <w:r>
        <w:rPr>
          <w:lang w:val="es-ES_tradnl"/>
        </w:rPr>
        <w:t>;</w:t>
      </w:r>
      <w:r w:rsidRPr="00C904FA">
        <w:rPr>
          <w:lang w:val="es-ES_tradnl"/>
        </w:rPr>
        <w:t xml:space="preserve"> por ejemplo, la exclusión de Puerto Rico de las leyes de rentas internas federal y la existencia de topes en la asignación de fondos federales a la Isla (CRS, 2011; </w:t>
      </w:r>
      <w:r w:rsidRPr="00C904FA">
        <w:rPr>
          <w:i/>
          <w:lang w:val="es-ES_tradnl"/>
        </w:rPr>
        <w:t>Harris v Rosario</w:t>
      </w:r>
      <w:r w:rsidRPr="00C904FA">
        <w:rPr>
          <w:lang w:val="es-ES_tradnl"/>
        </w:rPr>
        <w:t>, 1980).</w:t>
      </w:r>
    </w:p>
    <w:p w:rsidR="00B015EE" w:rsidRPr="00C904FA" w:rsidRDefault="00B015EE" w:rsidP="00B015EE">
      <w:pPr>
        <w:rPr>
          <w:lang w:val="es-ES_tradnl"/>
        </w:rPr>
      </w:pPr>
      <w:r w:rsidRPr="00C904FA">
        <w:rPr>
          <w:lang w:val="es-ES_tradnl"/>
        </w:rPr>
        <w:t xml:space="preserve">Existen otras razones para concentrarme en el estudio </w:t>
      </w:r>
      <w:r>
        <w:rPr>
          <w:lang w:val="es-ES_tradnl"/>
        </w:rPr>
        <w:t>d</w:t>
      </w:r>
      <w:r w:rsidRPr="00C904FA">
        <w:rPr>
          <w:lang w:val="es-ES_tradnl"/>
        </w:rPr>
        <w:t xml:space="preserve">el foro legislativo estadounidense. Los tres partidos políticos en Puerto Rico </w:t>
      </w:r>
      <w:r w:rsidRPr="008B456C">
        <w:t>—</w:t>
      </w:r>
      <w:r w:rsidRPr="00C904FA">
        <w:rPr>
          <w:lang w:val="es-ES_tradnl"/>
        </w:rPr>
        <w:t>PPD, PNP y PIP</w:t>
      </w:r>
      <w:r w:rsidRPr="008B456C">
        <w:t>—</w:t>
      </w:r>
      <w:r w:rsidRPr="00C904FA">
        <w:rPr>
          <w:lang w:val="es-ES_tradnl"/>
        </w:rPr>
        <w:t xml:space="preserve"> que han tendido a dominar el debate de estatus en el pasado, han aceptado la supremacía de</w:t>
      </w:r>
      <w:r>
        <w:rPr>
          <w:lang w:val="es-ES_tradnl"/>
        </w:rPr>
        <w:t>l Congreso en esta área y todos hace</w:t>
      </w:r>
      <w:r w:rsidRPr="00C904FA">
        <w:rPr>
          <w:lang w:val="es-ES_tradnl"/>
        </w:rPr>
        <w:t>n propuestas dirigidas a provocar reacciones en ese foro legislativo que adelanten sus respectivas agendas. El PIP, contrario a los otros dos partidos, actúa bajo la premisa de que el rechazo al ELA y la estadidad provocarán una oferta de independencia por parte del Congreso.</w:t>
      </w:r>
    </w:p>
    <w:p w:rsidR="00B015EE" w:rsidRPr="00C904FA" w:rsidRDefault="00B015EE" w:rsidP="00B015EE">
      <w:pPr>
        <w:rPr>
          <w:lang w:val="es-ES_tradnl"/>
        </w:rPr>
      </w:pPr>
      <w:r w:rsidRPr="00C904FA">
        <w:rPr>
          <w:lang w:val="es-ES_tradnl"/>
        </w:rPr>
        <w:t>Todas las facciones involucradas insisten en que hace falta comprometer al legislativo de E</w:t>
      </w:r>
      <w:r>
        <w:rPr>
          <w:lang w:val="es-ES_tradnl"/>
        </w:rPr>
        <w:t xml:space="preserve">stados </w:t>
      </w:r>
      <w:r w:rsidRPr="00C904FA">
        <w:rPr>
          <w:lang w:val="es-ES_tradnl"/>
        </w:rPr>
        <w:t>U</w:t>
      </w:r>
      <w:r>
        <w:rPr>
          <w:lang w:val="es-ES_tradnl"/>
        </w:rPr>
        <w:t>nidos</w:t>
      </w:r>
      <w:r w:rsidRPr="00C904FA">
        <w:rPr>
          <w:lang w:val="es-ES_tradnl"/>
        </w:rPr>
        <w:t xml:space="preserve"> en el asunto del estatus</w:t>
      </w:r>
      <w:r>
        <w:rPr>
          <w:lang w:val="es-ES_tradnl"/>
        </w:rPr>
        <w:t>, ya sea reformando a</w:t>
      </w:r>
      <w:r w:rsidRPr="00C904FA">
        <w:rPr>
          <w:lang w:val="es-ES_tradnl"/>
        </w:rPr>
        <w:t>l ELA (PPD)</w:t>
      </w:r>
      <w:r>
        <w:rPr>
          <w:lang w:val="es-ES_tradnl"/>
        </w:rPr>
        <w:t xml:space="preserve"> </w:t>
      </w:r>
      <w:r w:rsidRPr="00C904FA">
        <w:rPr>
          <w:lang w:val="es-ES_tradnl"/>
        </w:rPr>
        <w:t xml:space="preserve">o colaborando hacia una transición ordenada a un cambio </w:t>
      </w:r>
      <w:r>
        <w:rPr>
          <w:lang w:val="es-ES_tradnl"/>
        </w:rPr>
        <w:t>(PNP</w:t>
      </w:r>
      <w:r w:rsidRPr="00C904FA">
        <w:rPr>
          <w:lang w:val="es-ES_tradnl"/>
        </w:rPr>
        <w:t xml:space="preserve"> y PIP). A</w:t>
      </w:r>
      <w:r>
        <w:rPr>
          <w:lang w:val="es-ES_tradnl"/>
        </w:rPr>
        <w:t>u</w:t>
      </w:r>
      <w:r w:rsidRPr="00C904FA">
        <w:rPr>
          <w:lang w:val="es-ES_tradnl"/>
        </w:rPr>
        <w:t>n aquellos que favorecen la libre asociación por medio de organizaciones no partidistas</w:t>
      </w:r>
      <w:r>
        <w:rPr>
          <w:lang w:val="es-ES_tradnl"/>
        </w:rPr>
        <w:t>,</w:t>
      </w:r>
      <w:r w:rsidRPr="00C904FA">
        <w:rPr>
          <w:lang w:val="es-ES_tradnl"/>
        </w:rPr>
        <w:t xml:space="preserve"> han enfatizado la necesidad de educar al Congreso sobre las bondades de esa opción desde la llamada sociedad civil y han estado activos </w:t>
      </w:r>
      <w:r>
        <w:rPr>
          <w:lang w:val="es-ES_tradnl"/>
        </w:rPr>
        <w:t>haciendo cabildeo en Washington</w:t>
      </w:r>
      <w:r w:rsidRPr="00C904FA">
        <w:rPr>
          <w:lang w:val="es-ES_tradnl"/>
        </w:rPr>
        <w:t xml:space="preserve"> (</w:t>
      </w:r>
      <w:r w:rsidRPr="00C904FA">
        <w:rPr>
          <w:i/>
          <w:lang w:val="es-ES_tradnl"/>
        </w:rPr>
        <w:t>El Nuevo Día</w:t>
      </w:r>
      <w:r>
        <w:rPr>
          <w:lang w:val="es-ES_tradnl"/>
        </w:rPr>
        <w:t>, 2012).</w:t>
      </w:r>
    </w:p>
    <w:p w:rsidR="00B015EE" w:rsidRPr="00C904FA" w:rsidRDefault="00B015EE" w:rsidP="00B015EE">
      <w:pPr>
        <w:rPr>
          <w:lang w:val="es-ES_tradnl"/>
        </w:rPr>
      </w:pPr>
      <w:r w:rsidRPr="00C904FA">
        <w:rPr>
          <w:lang w:val="es-ES_tradnl"/>
        </w:rPr>
        <w:t>Dado todo lo anterior, es indispensable comprender la compleja operación del Congreso. Paradójicamente, veremos más adelante como este cuerpo legislativo presenta retos enormes de tipo político e institucional</w:t>
      </w:r>
      <w:r>
        <w:rPr>
          <w:lang w:val="es-ES_tradnl"/>
        </w:rPr>
        <w:t>,</w:t>
      </w:r>
      <w:r w:rsidRPr="00C904FA">
        <w:rPr>
          <w:lang w:val="es-ES_tradnl"/>
        </w:rPr>
        <w:t xml:space="preserve"> y puede resultar un foro muy hostil para que se pueda atender responsablemente y de forma sostenida el tema del estatus. Como se sabe</w:t>
      </w:r>
      <w:r>
        <w:rPr>
          <w:lang w:val="es-ES_tradnl"/>
        </w:rPr>
        <w:t>,</w:t>
      </w:r>
      <w:r w:rsidRPr="00C904FA">
        <w:rPr>
          <w:lang w:val="es-ES_tradnl"/>
        </w:rPr>
        <w:t xml:space="preserve"> la Constitución le fija a</w:t>
      </w:r>
      <w:r>
        <w:rPr>
          <w:lang w:val="es-ES_tradnl"/>
        </w:rPr>
        <w:t xml:space="preserve"> su</w:t>
      </w:r>
      <w:r w:rsidRPr="00C904FA">
        <w:rPr>
          <w:lang w:val="es-ES_tradnl"/>
        </w:rPr>
        <w:t xml:space="preserve"> </w:t>
      </w:r>
      <w:r>
        <w:rPr>
          <w:lang w:val="es-ES_tradnl"/>
        </w:rPr>
        <w:t>poder legislativ</w:t>
      </w:r>
      <w:r w:rsidRPr="00C904FA">
        <w:rPr>
          <w:lang w:val="es-ES_tradnl"/>
        </w:rPr>
        <w:t>o un límite de dos años a cada sesión legislativa y ello le impone límites de tiempo importantes a un tema que podría requerir</w:t>
      </w:r>
      <w:r>
        <w:rPr>
          <w:lang w:val="es-ES_tradnl"/>
        </w:rPr>
        <w:t xml:space="preserve"> </w:t>
      </w:r>
      <w:r w:rsidRPr="00C904FA">
        <w:rPr>
          <w:lang w:val="es-ES_tradnl"/>
        </w:rPr>
        <w:t>un</w:t>
      </w:r>
      <w:r>
        <w:rPr>
          <w:lang w:val="es-ES_tradnl"/>
        </w:rPr>
        <w:t>a atención sostenida por un perí</w:t>
      </w:r>
      <w:r w:rsidRPr="00C904FA">
        <w:rPr>
          <w:lang w:val="es-ES_tradnl"/>
        </w:rPr>
        <w:t xml:space="preserve">odo </w:t>
      </w:r>
      <w:r>
        <w:rPr>
          <w:lang w:val="es-ES_tradnl"/>
        </w:rPr>
        <w:t>más prologado. S</w:t>
      </w:r>
      <w:r w:rsidRPr="00C904FA">
        <w:rPr>
          <w:lang w:val="es-ES_tradnl"/>
        </w:rPr>
        <w:t xml:space="preserve">in embargo, </w:t>
      </w:r>
      <w:r>
        <w:rPr>
          <w:lang w:val="es-ES_tradnl"/>
        </w:rPr>
        <w:t xml:space="preserve">ello </w:t>
      </w:r>
      <w:r w:rsidRPr="00C904FA">
        <w:rPr>
          <w:lang w:val="es-ES_tradnl"/>
        </w:rPr>
        <w:t>tampoco inhabilita al Congreso para aceptar alteraciones a la asociación política, admitir a Puerto Rico como estado, otorgar la independencia o la llamada libre asociación. Se trata, más bien</w:t>
      </w:r>
      <w:r>
        <w:rPr>
          <w:lang w:val="es-ES_tradnl"/>
        </w:rPr>
        <w:t>,</w:t>
      </w:r>
      <w:r w:rsidRPr="00C904FA">
        <w:rPr>
          <w:lang w:val="es-ES_tradnl"/>
        </w:rPr>
        <w:t xml:space="preserve"> de generar suficiente voluntad política.</w:t>
      </w:r>
    </w:p>
    <w:p w:rsidR="00B015EE" w:rsidRPr="00C904FA" w:rsidRDefault="00B015EE" w:rsidP="00B015EE">
      <w:pPr>
        <w:rPr>
          <w:lang w:val="es-ES_tradnl"/>
        </w:rPr>
      </w:pPr>
      <w:r w:rsidRPr="00C904FA">
        <w:rPr>
          <w:lang w:val="es-ES_tradnl"/>
        </w:rPr>
        <w:t xml:space="preserve">Las otras dos ramas de Gobierno de Estados Unidos también inciden sobre el asunto, en ciertas ocasiones de forma </w:t>
      </w:r>
      <w:r>
        <w:rPr>
          <w:lang w:val="es-ES_tradnl"/>
        </w:rPr>
        <w:t>dominante como lo fue en el perí</w:t>
      </w:r>
      <w:r w:rsidRPr="00C904FA">
        <w:rPr>
          <w:lang w:val="es-ES_tradnl"/>
        </w:rPr>
        <w:t>odo en que Estados Unidos decidió que Puerto Rico pudiera desempeñar una función central en el desarrollo de lo que luego advino en la Segunda Guerra</w:t>
      </w:r>
      <w:r>
        <w:rPr>
          <w:lang w:val="es-ES_tradnl"/>
        </w:rPr>
        <w:t xml:space="preserve"> Mundial (Rodríguez Beruff, Bolí</w:t>
      </w:r>
      <w:r w:rsidRPr="00C904FA">
        <w:rPr>
          <w:lang w:val="es-ES_tradnl"/>
        </w:rPr>
        <w:t>var Fresneda 2012).</w:t>
      </w:r>
      <w:r>
        <w:rPr>
          <w:lang w:val="es-ES_tradnl"/>
        </w:rPr>
        <w:t xml:space="preserve"> </w:t>
      </w:r>
      <w:r w:rsidRPr="00C904FA">
        <w:rPr>
          <w:lang w:val="es-ES_tradnl"/>
        </w:rPr>
        <w:t>En este caso</w:t>
      </w:r>
      <w:r>
        <w:rPr>
          <w:lang w:val="es-ES_tradnl"/>
        </w:rPr>
        <w:t>,</w:t>
      </w:r>
      <w:r w:rsidRPr="00C904FA">
        <w:rPr>
          <w:lang w:val="es-ES_tradnl"/>
        </w:rPr>
        <w:t xml:space="preserve"> la función del poder ejecutivo fue central y, desde entonces, la presidencia asume una función mucho más decisiva en todo lo relacionado a políticas internacionales que inciden directamente sobre la seguridad nacional de Estados Unidos. </w:t>
      </w:r>
    </w:p>
    <w:p w:rsidR="00B015EE" w:rsidRPr="00C904FA" w:rsidRDefault="00B015EE" w:rsidP="00B015EE">
      <w:pPr>
        <w:rPr>
          <w:lang w:val="es-ES_tradnl"/>
        </w:rPr>
      </w:pPr>
      <w:r w:rsidRPr="00C904FA">
        <w:rPr>
          <w:lang w:val="es-ES_tradnl"/>
        </w:rPr>
        <w:t>En otras dimensiones</w:t>
      </w:r>
      <w:r>
        <w:rPr>
          <w:lang w:val="es-ES_tradnl"/>
        </w:rPr>
        <w:t>,</w:t>
      </w:r>
      <w:r w:rsidRPr="00C904FA">
        <w:rPr>
          <w:lang w:val="es-ES_tradnl"/>
        </w:rPr>
        <w:t xml:space="preserve"> la rama judicial ha sido esencial creando las categorías jurídicas desde donde transcurre la conversación de estatus (Rivera Ramos, 2007). En general, la actitud de los tribunales ha sido de deferencia a las decisiones políticas del Congreso en esta área. Los fallidos intentos del sector que promueve la estadidad de obtener el voto presidencial por medio de los tribunales ilustra esta tendencia (</w:t>
      </w:r>
      <w:r w:rsidRPr="00C904FA">
        <w:rPr>
          <w:i/>
          <w:lang w:val="es-ES_tradnl"/>
        </w:rPr>
        <w:t>Igartúa</w:t>
      </w:r>
      <w:r w:rsidRPr="00C904FA">
        <w:rPr>
          <w:lang w:val="es-ES_tradnl"/>
        </w:rPr>
        <w:t xml:space="preserve">, 2005; </w:t>
      </w:r>
      <w:r w:rsidRPr="00C904FA">
        <w:rPr>
          <w:i/>
          <w:lang w:val="es-ES_tradnl"/>
        </w:rPr>
        <w:t>Harvard Law Review</w:t>
      </w:r>
      <w:r w:rsidRPr="00C904FA">
        <w:rPr>
          <w:lang w:val="es-ES_tradnl"/>
        </w:rPr>
        <w:t>, 2006)</w:t>
      </w:r>
      <w:r>
        <w:rPr>
          <w:lang w:val="es-ES_tradnl"/>
        </w:rPr>
        <w:t>.</w:t>
      </w:r>
    </w:p>
    <w:p w:rsidR="00B015EE" w:rsidRPr="00C904FA" w:rsidRDefault="00B015EE" w:rsidP="00B015EE">
      <w:pPr>
        <w:rPr>
          <w:lang w:val="es-ES_tradnl"/>
        </w:rPr>
      </w:pPr>
      <w:r w:rsidRPr="00C904FA">
        <w:rPr>
          <w:lang w:val="es-ES_tradnl"/>
        </w:rPr>
        <w:t>En ocasiones</w:t>
      </w:r>
      <w:r>
        <w:rPr>
          <w:lang w:val="es-ES_tradnl"/>
        </w:rPr>
        <w:t xml:space="preserve">, es </w:t>
      </w:r>
      <w:r w:rsidRPr="00C904FA">
        <w:rPr>
          <w:lang w:val="es-ES_tradnl"/>
        </w:rPr>
        <w:t xml:space="preserve">el Congreso </w:t>
      </w:r>
      <w:r>
        <w:rPr>
          <w:lang w:val="es-ES_tradnl"/>
        </w:rPr>
        <w:t>el que</w:t>
      </w:r>
      <w:r w:rsidRPr="00C904FA">
        <w:rPr>
          <w:lang w:val="es-ES_tradnl"/>
        </w:rPr>
        <w:t xml:space="preserve"> asume la posición de liderato. Así fue en el caso de los llamados casos insulares, a principios del siglo pasado, cuando se eximió a los residentes </w:t>
      </w:r>
      <w:r>
        <w:rPr>
          <w:lang w:val="es-ES_tradnl"/>
        </w:rPr>
        <w:t xml:space="preserve">de </w:t>
      </w:r>
      <w:r w:rsidRPr="00C904FA">
        <w:rPr>
          <w:lang w:val="es-ES_tradnl"/>
        </w:rPr>
        <w:t>Puerto Rico de la aplicación total de la Constitución de Estados Unidos (Rivera Ramos, 2007). La aprobación de la Ley Foraker podría anotarse como otro caso de supremacía legislativa sobre el tema (Gould, 1969).</w:t>
      </w:r>
      <w:r>
        <w:rPr>
          <w:lang w:val="es-ES_tradnl"/>
        </w:rPr>
        <w:t xml:space="preserve"> </w:t>
      </w:r>
    </w:p>
    <w:p w:rsidR="00B015EE" w:rsidRPr="00C904FA" w:rsidRDefault="00B015EE" w:rsidP="00B015EE">
      <w:pPr>
        <w:rPr>
          <w:lang w:val="es-ES_tradnl"/>
        </w:rPr>
      </w:pPr>
      <w:r w:rsidRPr="00C904FA">
        <w:rPr>
          <w:lang w:val="es-ES_tradnl"/>
        </w:rPr>
        <w:t xml:space="preserve">Es de notar, por otro lado, que la creación de comisiones investigativas por el poder ejecutivo muchas veces ha sido el preludio de la acción del poder legislativo (Duprey, 2010). No obstante, existen otras ocasiones en que el poder ejecutivo actúa </w:t>
      </w:r>
      <w:r>
        <w:rPr>
          <w:lang w:val="es-ES_tradnl"/>
        </w:rPr>
        <w:t xml:space="preserve">relativamente </w:t>
      </w:r>
      <w:r w:rsidRPr="00C904FA">
        <w:rPr>
          <w:lang w:val="es-ES_tradnl"/>
        </w:rPr>
        <w:t>por su cuenta. Tal es el caso de la decisión de George W. Bush de finalizar los bombardeos de la Marina en Vieques. Dicha determinación fue tomada por el poder ejecutivo de E</w:t>
      </w:r>
      <w:r>
        <w:rPr>
          <w:lang w:val="es-ES_tradnl"/>
        </w:rPr>
        <w:t xml:space="preserve">stados </w:t>
      </w:r>
      <w:r w:rsidRPr="00C904FA">
        <w:rPr>
          <w:lang w:val="es-ES_tradnl"/>
        </w:rPr>
        <w:t>U</w:t>
      </w:r>
      <w:r>
        <w:rPr>
          <w:lang w:val="es-ES_tradnl"/>
        </w:rPr>
        <w:t>nidos,</w:t>
      </w:r>
      <w:r w:rsidRPr="00C904FA">
        <w:rPr>
          <w:lang w:val="es-ES_tradnl"/>
        </w:rPr>
        <w:t xml:space="preserve"> sin consulta directa con los congresistas a cargo del tema. De cualquier modo, a pesar de ciertas iniciativas dispersas y bien intencionadas, el récord de fracasos de las iniciativas presidenciales es evidente (Trías</w:t>
      </w:r>
      <w:r>
        <w:rPr>
          <w:lang w:val="es-ES_tradnl"/>
        </w:rPr>
        <w:t xml:space="preserve"> Monge</w:t>
      </w:r>
      <w:r w:rsidRPr="00C904FA">
        <w:rPr>
          <w:lang w:val="es-ES_tradnl"/>
        </w:rPr>
        <w:t>, 199</w:t>
      </w:r>
      <w:r>
        <w:rPr>
          <w:lang w:val="es-ES_tradnl"/>
        </w:rPr>
        <w:t>9</w:t>
      </w:r>
      <w:r w:rsidRPr="00C904FA">
        <w:rPr>
          <w:lang w:val="es-ES_tradnl"/>
        </w:rPr>
        <w:t>)</w:t>
      </w:r>
      <w:r>
        <w:rPr>
          <w:lang w:val="es-ES_tradnl"/>
        </w:rPr>
        <w:t>.</w:t>
      </w:r>
    </w:p>
    <w:p w:rsidR="00B015EE" w:rsidRPr="00C904FA" w:rsidRDefault="00B015EE" w:rsidP="00B015EE">
      <w:pPr>
        <w:rPr>
          <w:lang w:val="es-ES_tradnl"/>
        </w:rPr>
      </w:pPr>
      <w:r w:rsidRPr="00C904FA">
        <w:rPr>
          <w:lang w:val="es-ES_tradnl"/>
        </w:rPr>
        <w:t xml:space="preserve">Ciertas declaraciones y acciones de la rama ejecutiva del Gobierno federal sugieren un interés mayor de esta rama de gobierno de desempeñar una función más proactiva. En el pasado se han invertido recursos enormes del Gobierno de Puerto Rico intentando obtener el apoyo de </w:t>
      </w:r>
      <w:r>
        <w:rPr>
          <w:lang w:val="es-ES_tradnl"/>
        </w:rPr>
        <w:t xml:space="preserve">la </w:t>
      </w:r>
      <w:r w:rsidRPr="00C904FA">
        <w:rPr>
          <w:lang w:val="es-ES_tradnl"/>
        </w:rPr>
        <w:t>rama ejecutiva a las propuestas de alteración al ELA (Fernández, 1992,</w:t>
      </w:r>
      <w:r>
        <w:rPr>
          <w:lang w:val="es-ES_tradnl"/>
        </w:rPr>
        <w:t xml:space="preserve"> </w:t>
      </w:r>
      <w:r w:rsidRPr="00C904FA">
        <w:rPr>
          <w:lang w:val="es-ES_tradnl"/>
        </w:rPr>
        <w:t>235-236; Duprey, 2002). Esos esfuerzos han fracasado o han coincidido con alteraciones en el control político del Gobierno en la Isla. La presente administración Obama parece haber decidido mantener un perfil bajo en las deliberaciones sobre el estatus</w:t>
      </w:r>
      <w:r>
        <w:rPr>
          <w:lang w:val="es-ES_tradnl"/>
        </w:rPr>
        <w:t>,</w:t>
      </w:r>
      <w:r w:rsidRPr="00C904FA">
        <w:rPr>
          <w:lang w:val="es-ES_tradnl"/>
        </w:rPr>
        <w:t xml:space="preserve"> al punto que se inhibió de participar en una vista </w:t>
      </w:r>
      <w:r>
        <w:rPr>
          <w:lang w:val="es-ES_tradnl"/>
        </w:rPr>
        <w:t>celebrada</w:t>
      </w:r>
      <w:r w:rsidRPr="00C904FA">
        <w:rPr>
          <w:lang w:val="es-ES_tradnl"/>
        </w:rPr>
        <w:t xml:space="preserve"> por el Comité de Energía del Senado</w:t>
      </w:r>
      <w:r>
        <w:rPr>
          <w:lang w:val="es-ES_tradnl"/>
        </w:rPr>
        <w:t xml:space="preserve"> en el 2013</w:t>
      </w:r>
      <w:r w:rsidRPr="00C904FA">
        <w:rPr>
          <w:lang w:val="es-ES_tradnl"/>
        </w:rPr>
        <w:t xml:space="preserve"> (</w:t>
      </w:r>
      <w:r w:rsidRPr="002A0CAF">
        <w:rPr>
          <w:i/>
          <w:lang w:val="es-ES_tradnl"/>
        </w:rPr>
        <w:t>Hearings</w:t>
      </w:r>
      <w:r w:rsidRPr="00C904FA">
        <w:rPr>
          <w:lang w:val="es-ES_tradnl"/>
        </w:rPr>
        <w:t>, 2013).</w:t>
      </w:r>
    </w:p>
    <w:p w:rsidR="00B015EE" w:rsidRPr="00C904FA" w:rsidRDefault="00B015EE" w:rsidP="00B015EE">
      <w:pPr>
        <w:rPr>
          <w:lang w:val="es-ES_tradnl"/>
        </w:rPr>
      </w:pPr>
      <w:r w:rsidRPr="00C904FA">
        <w:rPr>
          <w:lang w:val="es-ES_tradnl"/>
        </w:rPr>
        <w:t>Veamos ahora las dificultades que presenta la consideración del caso de Puerto Rico en el escenario congresional</w:t>
      </w:r>
      <w:r>
        <w:rPr>
          <w:lang w:val="es-ES_tradnl"/>
        </w:rPr>
        <w:t>,</w:t>
      </w:r>
      <w:r w:rsidRPr="00C904FA">
        <w:rPr>
          <w:lang w:val="es-ES_tradnl"/>
        </w:rPr>
        <w:t xml:space="preserve"> desde el punto de las presiones políticas </w:t>
      </w:r>
      <w:r>
        <w:t>internas</w:t>
      </w:r>
      <w:r w:rsidRPr="00C904FA">
        <w:rPr>
          <w:lang w:val="es-ES_tradnl"/>
        </w:rPr>
        <w:t xml:space="preserve"> que ayudan a entender la acción de este cuerpo. </w:t>
      </w:r>
    </w:p>
    <w:p w:rsidR="00B015EE" w:rsidRPr="00C904FA" w:rsidRDefault="00B015EE" w:rsidP="00B015EE">
      <w:pPr>
        <w:pStyle w:val="Heading2"/>
        <w:spacing w:before="120"/>
        <w:ind w:left="426" w:hanging="426"/>
        <w:jc w:val="both"/>
        <w:rPr>
          <w:lang w:val="es-ES_tradnl"/>
        </w:rPr>
      </w:pPr>
      <w:r w:rsidRPr="00C904FA">
        <w:rPr>
          <w:lang w:val="es-ES_tradnl"/>
        </w:rPr>
        <w:t xml:space="preserve"> </w:t>
      </w:r>
      <w:bookmarkStart w:id="20" w:name="_Toc384769722"/>
      <w:r w:rsidRPr="00C904FA">
        <w:rPr>
          <w:lang w:val="es-ES_tradnl"/>
        </w:rPr>
        <w:t>El escenario del Congreso y las presiones electorales</w:t>
      </w:r>
      <w:bookmarkEnd w:id="20"/>
    </w:p>
    <w:p w:rsidR="00B015EE" w:rsidRDefault="00B015EE" w:rsidP="00B015EE">
      <w:pPr>
        <w:spacing w:line="360" w:lineRule="auto"/>
        <w:rPr>
          <w:lang w:val="es-ES_tradnl"/>
        </w:rPr>
      </w:pPr>
    </w:p>
    <w:p w:rsidR="00B015EE" w:rsidRPr="00C904FA" w:rsidRDefault="00B015EE" w:rsidP="00B015EE">
      <w:pPr>
        <w:rPr>
          <w:lang w:val="es-ES_tradnl"/>
        </w:rPr>
      </w:pPr>
      <w:r w:rsidRPr="00C904FA">
        <w:rPr>
          <w:lang w:val="es-ES_tradnl"/>
        </w:rPr>
        <w:t>El Congreso es un escenario hostil a la consideración de casos como el del estatus por factores diversos y complejos, algunos de naturaleza permanente y otros más bien coyunturales. Lograr colo</w:t>
      </w:r>
      <w:r>
        <w:rPr>
          <w:lang w:val="es-ES_tradnl"/>
        </w:rPr>
        <w:t xml:space="preserve">car el tema de forma sostenida </w:t>
      </w:r>
      <w:r w:rsidRPr="00C904FA">
        <w:rPr>
          <w:lang w:val="es-ES_tradnl"/>
        </w:rPr>
        <w:t>en la agenda de temas prioritarios que requieren atención y acción inmediata del Congreso es un primer umbral</w:t>
      </w:r>
      <w:r>
        <w:rPr>
          <w:lang w:val="es-ES_tradnl"/>
        </w:rPr>
        <w:t xml:space="preserve"> que resulta difícil traspasar. </w:t>
      </w:r>
      <w:r w:rsidRPr="00C904FA">
        <w:rPr>
          <w:lang w:val="es-ES_tradnl"/>
        </w:rPr>
        <w:t>Al presente</w:t>
      </w:r>
      <w:r>
        <w:rPr>
          <w:lang w:val="es-ES_tradnl"/>
        </w:rPr>
        <w:t>,</w:t>
      </w:r>
      <w:r w:rsidRPr="00C904FA">
        <w:rPr>
          <w:lang w:val="es-ES_tradnl"/>
        </w:rPr>
        <w:t xml:space="preserve"> la tendencia del legislativo estadounidense es actuar de forma extremadamente selectiva en cuanto al número de asuntos a los cuales le dedica tiempo, atención y, al final,</w:t>
      </w:r>
      <w:r>
        <w:rPr>
          <w:lang w:val="es-ES_tradnl"/>
        </w:rPr>
        <w:t xml:space="preserve"> </w:t>
      </w:r>
      <w:r w:rsidRPr="00C904FA">
        <w:rPr>
          <w:lang w:val="es-ES_tradnl"/>
        </w:rPr>
        <w:t xml:space="preserve">acción positiva en la forma de una aprobación de ley. De hecho, </w:t>
      </w:r>
      <w:r>
        <w:rPr>
          <w:lang w:val="es-ES_tradnl"/>
        </w:rPr>
        <w:t>ahora</w:t>
      </w:r>
      <w:r w:rsidRPr="00C904FA">
        <w:rPr>
          <w:lang w:val="es-ES_tradnl"/>
        </w:rPr>
        <w:t xml:space="preserve"> solo se aprueban cerca del 5% de los proyectos radicados. Este bajo nivel de asentimiento a medidas ha llegado al extremo de que el Congreso 112 sólo aprobó 567 medidas, el número más bajo de legislación desde el año 1947 (Cillizza, 2013).</w:t>
      </w:r>
    </w:p>
    <w:p w:rsidR="00B015EE" w:rsidRPr="00C904FA" w:rsidRDefault="00B015EE" w:rsidP="00B015EE">
      <w:pPr>
        <w:rPr>
          <w:lang w:val="es-ES_tradnl"/>
        </w:rPr>
      </w:pPr>
      <w:r w:rsidRPr="00C904FA">
        <w:rPr>
          <w:lang w:val="es-ES_tradnl"/>
        </w:rPr>
        <w:t>En general</w:t>
      </w:r>
      <w:r>
        <w:rPr>
          <w:lang w:val="es-ES_tradnl"/>
        </w:rPr>
        <w:t>,</w:t>
      </w:r>
      <w:r w:rsidRPr="00C904FA">
        <w:rPr>
          <w:lang w:val="es-ES_tradnl"/>
        </w:rPr>
        <w:t xml:space="preserve"> las temáticas que suelen captar la atención del congresista son aquellas vinculadas a los procesos de elección y reelección (Davidson, Oleszek, Lee, 2013, 6; Mayhew, 1975). En este sentido</w:t>
      </w:r>
      <w:r>
        <w:rPr>
          <w:lang w:val="es-ES_tradnl"/>
        </w:rPr>
        <w:t>,</w:t>
      </w:r>
      <w:r w:rsidRPr="00C904FA">
        <w:rPr>
          <w:lang w:val="es-ES_tradnl"/>
        </w:rPr>
        <w:t xml:space="preserve"> es esencial la asignación de fondos</w:t>
      </w:r>
      <w:r>
        <w:rPr>
          <w:lang w:val="es-ES_tradnl"/>
        </w:rPr>
        <w:t xml:space="preserve"> para proyectos en sus estados</w:t>
      </w:r>
      <w:r w:rsidRPr="007955E3">
        <w:rPr>
          <w:lang w:val="es-ES_tradnl"/>
        </w:rPr>
        <w:t>.</w:t>
      </w:r>
      <w:r>
        <w:rPr>
          <w:lang w:val="es-ES_tradnl"/>
        </w:rPr>
        <w:t xml:space="preserve"> </w:t>
      </w:r>
      <w:r w:rsidRPr="00C904FA">
        <w:rPr>
          <w:lang w:val="es-ES_tradnl"/>
        </w:rPr>
        <w:t>Esta</w:t>
      </w:r>
      <w:r>
        <w:rPr>
          <w:lang w:val="es-ES_tradnl"/>
        </w:rPr>
        <w:t xml:space="preserve"> </w:t>
      </w:r>
      <w:r w:rsidRPr="00C904FA">
        <w:rPr>
          <w:lang w:val="es-ES_tradnl"/>
        </w:rPr>
        <w:t>identificación de fondos y el manejo de casos de ciudadanos para acelerar el trámite de gestiones administrativas</w:t>
      </w:r>
      <w:r>
        <w:rPr>
          <w:lang w:val="es-ES_tradnl"/>
        </w:rPr>
        <w:t xml:space="preserve"> </w:t>
      </w:r>
      <w:r w:rsidRPr="00C904FA">
        <w:rPr>
          <w:lang w:val="es-ES_tradnl"/>
        </w:rPr>
        <w:t>(Davidson, Oleszek, Lee, 2013, 405)</w:t>
      </w:r>
      <w:r>
        <w:rPr>
          <w:lang w:val="es-ES_tradnl"/>
        </w:rPr>
        <w:t>,</w:t>
      </w:r>
      <w:r w:rsidRPr="00C904FA">
        <w:rPr>
          <w:lang w:val="es-ES_tradnl"/>
        </w:rPr>
        <w:t xml:space="preserve"> así como la búsqueda de reconocimiento por su labor</w:t>
      </w:r>
      <w:r>
        <w:rPr>
          <w:lang w:val="es-ES_tradnl"/>
        </w:rPr>
        <w:t>,</w:t>
      </w:r>
      <w:r w:rsidRPr="00C904FA">
        <w:rPr>
          <w:lang w:val="es-ES_tradnl"/>
        </w:rPr>
        <w:t xml:space="preserve"> son actividades claves de los congresistas en el día a día del poder legislativo. </w:t>
      </w:r>
    </w:p>
    <w:p w:rsidR="00B015EE" w:rsidRPr="00C904FA" w:rsidRDefault="00B015EE" w:rsidP="00B015EE">
      <w:pPr>
        <w:rPr>
          <w:lang w:val="es-ES_tradnl"/>
        </w:rPr>
      </w:pPr>
      <w:r w:rsidRPr="00C904FA">
        <w:rPr>
          <w:lang w:val="es-ES_tradnl"/>
        </w:rPr>
        <w:t>Las políticas distributivas, muchas veces relacionadas a los llamados “barriles de tocino”</w:t>
      </w:r>
      <w:r>
        <w:rPr>
          <w:lang w:val="es-ES_tradnl"/>
        </w:rPr>
        <w:t>,</w:t>
      </w:r>
      <w:r w:rsidRPr="00C904FA">
        <w:rPr>
          <w:lang w:val="es-ES_tradnl"/>
        </w:rPr>
        <w:t xml:space="preserve"> pueden tener variadas manifestaciones que van desde la construcción de puentes y carreteras</w:t>
      </w:r>
      <w:r>
        <w:rPr>
          <w:lang w:val="es-ES_tradnl"/>
        </w:rPr>
        <w:t>,</w:t>
      </w:r>
      <w:r w:rsidRPr="00C904FA">
        <w:rPr>
          <w:lang w:val="es-ES_tradnl"/>
        </w:rPr>
        <w:t xml:space="preserve"> hasta el apoy</w:t>
      </w:r>
      <w:r>
        <w:rPr>
          <w:lang w:val="es-ES_tradnl"/>
        </w:rPr>
        <w:t>o a</w:t>
      </w:r>
      <w:r w:rsidRPr="00C904FA">
        <w:rPr>
          <w:lang w:val="es-ES_tradnl"/>
        </w:rPr>
        <w:t xml:space="preserve"> proyectos de investigación académica. Las mismas suelen ser muy populares electoralmente</w:t>
      </w:r>
      <w:r>
        <w:rPr>
          <w:lang w:val="es-ES_tradnl"/>
        </w:rPr>
        <w:t>,</w:t>
      </w:r>
      <w:r w:rsidRPr="00C904FA">
        <w:rPr>
          <w:lang w:val="es-ES_tradnl"/>
        </w:rPr>
        <w:t xml:space="preserve"> por cuanto ayudan a favorecer una variedad muy amplia de intereses locales. Lo mismo sucede con la estrategia de los miembros del Congreso de dedicar esfuerzos a la resolución de problemas particulares de sus </w:t>
      </w:r>
      <w:r>
        <w:rPr>
          <w:lang w:val="es-ES_tradnl"/>
        </w:rPr>
        <w:t>electore</w:t>
      </w:r>
      <w:r w:rsidRPr="00C904FA">
        <w:rPr>
          <w:lang w:val="es-ES_tradnl"/>
        </w:rPr>
        <w:t>s</w:t>
      </w:r>
      <w:r>
        <w:rPr>
          <w:lang w:val="es-ES_tradnl"/>
        </w:rPr>
        <w:t>,</w:t>
      </w:r>
      <w:r w:rsidRPr="00C904FA">
        <w:rPr>
          <w:lang w:val="es-ES_tradnl"/>
        </w:rPr>
        <w:t xml:space="preserve"> ya que son actividades poco controvertibles y que tienden a generar lealtad más allá de líneas ideológicas (Davidson, Oleszek, Lee, 2013).</w:t>
      </w:r>
      <w:r w:rsidRPr="00C904FA">
        <w:rPr>
          <w:rFonts w:ascii="Garamond" w:hAnsi="Garamond" w:cs="Garamond"/>
          <w:sz w:val="20"/>
          <w:szCs w:val="20"/>
          <w:lang w:val="es-ES_tradnl"/>
        </w:rPr>
        <w:t xml:space="preserve"> </w:t>
      </w:r>
    </w:p>
    <w:p w:rsidR="00B015EE" w:rsidRPr="00C904FA" w:rsidRDefault="00B015EE" w:rsidP="00B015EE">
      <w:pPr>
        <w:rPr>
          <w:lang w:val="es-ES_tradnl"/>
        </w:rPr>
      </w:pPr>
      <w:r>
        <w:rPr>
          <w:lang w:val="es-ES_tradnl"/>
        </w:rPr>
        <w:t>Los</w:t>
      </w:r>
      <w:r w:rsidRPr="00C904FA">
        <w:rPr>
          <w:lang w:val="es-ES_tradnl"/>
        </w:rPr>
        <w:t xml:space="preserve"> congresista</w:t>
      </w:r>
      <w:r>
        <w:rPr>
          <w:lang w:val="es-ES_tradnl"/>
        </w:rPr>
        <w:t>s</w:t>
      </w:r>
      <w:r w:rsidRPr="00C904FA">
        <w:rPr>
          <w:lang w:val="es-ES_tradnl"/>
        </w:rPr>
        <w:t xml:space="preserve"> busca</w:t>
      </w:r>
      <w:r>
        <w:rPr>
          <w:lang w:val="es-ES_tradnl"/>
        </w:rPr>
        <w:t>n</w:t>
      </w:r>
      <w:r w:rsidRPr="00C904FA">
        <w:rPr>
          <w:lang w:val="es-ES_tradnl"/>
        </w:rPr>
        <w:t xml:space="preserve"> también </w:t>
      </w:r>
      <w:r>
        <w:rPr>
          <w:lang w:val="es-ES_tradnl"/>
        </w:rPr>
        <w:t xml:space="preserve">que se les </w:t>
      </w:r>
      <w:r w:rsidRPr="00C904FA">
        <w:rPr>
          <w:lang w:val="es-ES_tradnl"/>
        </w:rPr>
        <w:t>recono</w:t>
      </w:r>
      <w:r>
        <w:rPr>
          <w:lang w:val="es-ES_tradnl"/>
        </w:rPr>
        <w:t>zca</w:t>
      </w:r>
      <w:r w:rsidRPr="00C904FA">
        <w:rPr>
          <w:lang w:val="es-ES_tradnl"/>
        </w:rPr>
        <w:t xml:space="preserve"> por su toma de posiciones sobre temas de interés en la opinión pública. </w:t>
      </w:r>
      <w:r>
        <w:rPr>
          <w:lang w:val="es-ES_tradnl"/>
        </w:rPr>
        <w:t>S</w:t>
      </w:r>
      <w:r w:rsidRPr="00C904FA">
        <w:rPr>
          <w:lang w:val="es-ES_tradnl"/>
        </w:rPr>
        <w:t xml:space="preserve">in embargo, no siempre </w:t>
      </w:r>
      <w:r>
        <w:rPr>
          <w:lang w:val="es-ES_tradnl"/>
        </w:rPr>
        <w:t>lo</w:t>
      </w:r>
      <w:r w:rsidRPr="00C904FA">
        <w:rPr>
          <w:lang w:val="es-ES_tradnl"/>
        </w:rPr>
        <w:t xml:space="preserve"> pre</w:t>
      </w:r>
      <w:r>
        <w:rPr>
          <w:lang w:val="es-ES_tradnl"/>
        </w:rPr>
        <w:t>fieren por</w:t>
      </w:r>
      <w:r w:rsidRPr="00C904FA">
        <w:rPr>
          <w:lang w:val="es-ES_tradnl"/>
        </w:rPr>
        <w:t>que puede ser políticamente adverso en casos de controversia, sobre todo en aquellos votos cruciales que le interesan a los grupos liberales y conservadores</w:t>
      </w:r>
      <w:r>
        <w:rPr>
          <w:lang w:val="es-ES_tradnl"/>
        </w:rPr>
        <w:t>,</w:t>
      </w:r>
      <w:r w:rsidRPr="00C904FA">
        <w:rPr>
          <w:lang w:val="es-ES_tradnl"/>
        </w:rPr>
        <w:t xml:space="preserve"> que ubican a los congresistas según sus tendencias de votación sobre ciertos temas. </w:t>
      </w:r>
    </w:p>
    <w:p w:rsidR="00B015EE" w:rsidRPr="00C904FA" w:rsidRDefault="00B015EE" w:rsidP="00B015EE">
      <w:pPr>
        <w:rPr>
          <w:lang w:val="es-ES_tradnl"/>
        </w:rPr>
      </w:pPr>
      <w:r w:rsidRPr="00C904FA">
        <w:rPr>
          <w:lang w:val="es-ES_tradnl"/>
        </w:rPr>
        <w:t>La tendencia en este aspecto tiende a manifestarse de forma distinta en la Cámara de Representantes y en el Senado. Los senadores están más pendientes de tendencias de opinión nacional</w:t>
      </w:r>
      <w:r>
        <w:rPr>
          <w:lang w:val="es-ES_tradnl"/>
        </w:rPr>
        <w:t>,</w:t>
      </w:r>
      <w:r w:rsidRPr="00C904FA">
        <w:rPr>
          <w:lang w:val="es-ES_tradnl"/>
        </w:rPr>
        <w:t xml:space="preserve"> mientras los representantes tienden a concentrarse más en prestarle importancia a percepciones puramente locales en la opinión pública. Por eso, en ocasiones</w:t>
      </w:r>
      <w:r>
        <w:rPr>
          <w:lang w:val="es-ES_tradnl"/>
        </w:rPr>
        <w:t>,</w:t>
      </w:r>
      <w:r w:rsidRPr="00C904FA">
        <w:rPr>
          <w:lang w:val="es-ES_tradnl"/>
        </w:rPr>
        <w:t xml:space="preserve"> el Senado expresa mejor</w:t>
      </w:r>
      <w:r>
        <w:rPr>
          <w:lang w:val="es-ES_tradnl"/>
        </w:rPr>
        <w:t xml:space="preserve"> </w:t>
      </w:r>
      <w:r w:rsidRPr="00C904FA">
        <w:rPr>
          <w:lang w:val="es-ES_tradnl"/>
        </w:rPr>
        <w:t xml:space="preserve">que la Cámara </w:t>
      </w:r>
      <w:r>
        <w:rPr>
          <w:lang w:val="es-ES_tradnl"/>
        </w:rPr>
        <w:t xml:space="preserve">las </w:t>
      </w:r>
      <w:r w:rsidRPr="00C904FA">
        <w:rPr>
          <w:lang w:val="es-ES_tradnl"/>
        </w:rPr>
        <w:t xml:space="preserve">tendencias de opinión pública amplias de ese país. </w:t>
      </w:r>
      <w:r>
        <w:rPr>
          <w:lang w:val="es-ES_tradnl"/>
        </w:rPr>
        <w:t>U</w:t>
      </w:r>
      <w:r w:rsidRPr="00C904FA">
        <w:rPr>
          <w:lang w:val="es-ES_tradnl"/>
        </w:rPr>
        <w:t xml:space="preserve">n buen ejemplo </w:t>
      </w:r>
      <w:r>
        <w:rPr>
          <w:lang w:val="es-ES_tradnl"/>
        </w:rPr>
        <w:t>puede ser l</w:t>
      </w:r>
      <w:r w:rsidRPr="00C904FA">
        <w:rPr>
          <w:lang w:val="es-ES_tradnl"/>
        </w:rPr>
        <w:t>a resistencia de la Cámara a aprobar una reforma migratoria que demostró amplio apoyo entre republicanos y demócratas en el Senado. Las predilecciones nacionales a favor de esta reforma son claras</w:t>
      </w:r>
      <w:r>
        <w:rPr>
          <w:lang w:val="es-ES_tradnl"/>
        </w:rPr>
        <w:t>,</w:t>
      </w:r>
      <w:r w:rsidRPr="00C904FA">
        <w:rPr>
          <w:lang w:val="es-ES_tradnl"/>
        </w:rPr>
        <w:t xml:space="preserve"> pero varían de forma sustancial de distrito a distrito en la Cámara</w:t>
      </w:r>
      <w:r w:rsidRPr="00C904FA">
        <w:rPr>
          <w:rFonts w:ascii="Garamond" w:hAnsi="Garamond" w:cs="Garamond"/>
          <w:sz w:val="20"/>
          <w:szCs w:val="20"/>
          <w:lang w:val="es-ES_tradnl"/>
        </w:rPr>
        <w:t xml:space="preserve"> </w:t>
      </w:r>
      <w:r>
        <w:rPr>
          <w:lang w:val="es-ES_tradnl"/>
        </w:rPr>
        <w:t>(Vesey, 2013).</w:t>
      </w:r>
    </w:p>
    <w:p w:rsidR="00B015EE" w:rsidRPr="00C904FA" w:rsidRDefault="00B015EE" w:rsidP="00B015EE">
      <w:pPr>
        <w:rPr>
          <w:lang w:val="es-ES_tradnl"/>
        </w:rPr>
      </w:pPr>
      <w:r>
        <w:rPr>
          <w:lang w:val="es-ES_tradnl"/>
        </w:rPr>
        <w:t>S</w:t>
      </w:r>
      <w:r w:rsidRPr="00C904FA">
        <w:rPr>
          <w:lang w:val="es-ES_tradnl"/>
        </w:rPr>
        <w:t xml:space="preserve">alvo excepciones muy puntuales, </w:t>
      </w:r>
      <w:r>
        <w:rPr>
          <w:lang w:val="es-ES_tradnl"/>
        </w:rPr>
        <w:t>el legislativo estadounidense</w:t>
      </w:r>
      <w:r w:rsidRPr="00C904FA">
        <w:rPr>
          <w:lang w:val="es-ES_tradnl"/>
        </w:rPr>
        <w:t xml:space="preserve"> desarrolla generalmente</w:t>
      </w:r>
      <w:r>
        <w:rPr>
          <w:lang w:val="es-ES_tradnl"/>
        </w:rPr>
        <w:t xml:space="preserve"> procesos decisionales que son</w:t>
      </w:r>
      <w:r w:rsidRPr="00C904FA">
        <w:rPr>
          <w:lang w:val="es-ES_tradnl"/>
        </w:rPr>
        <w:t xml:space="preserve"> </w:t>
      </w:r>
      <w:r w:rsidRPr="008B456C">
        <w:t>—</w:t>
      </w:r>
      <w:r w:rsidRPr="00C904FA">
        <w:rPr>
          <w:lang w:val="es-ES_tradnl"/>
        </w:rPr>
        <w:t>por su p</w:t>
      </w:r>
      <w:r>
        <w:rPr>
          <w:lang w:val="es-ES_tradnl"/>
        </w:rPr>
        <w:t>ropia naturaleza constitucional</w:t>
      </w:r>
      <w:r w:rsidRPr="008B456C">
        <w:t>—</w:t>
      </w:r>
      <w:r w:rsidRPr="00C904FA">
        <w:rPr>
          <w:lang w:val="es-ES_tradnl"/>
        </w:rPr>
        <w:t xml:space="preserve"> lentos y muy selectivos en la determinación de asuntos que son objeto de acción positiva (Mayhew, 2008, 359;</w:t>
      </w:r>
      <w:r>
        <w:rPr>
          <w:lang w:val="es-ES_tradnl"/>
        </w:rPr>
        <w:t xml:space="preserve"> </w:t>
      </w:r>
      <w:r w:rsidRPr="00C904FA">
        <w:rPr>
          <w:lang w:val="es-ES_tradnl"/>
        </w:rPr>
        <w:t>Davidson, Oleszek, Lee, 2013). La lentitud de los p</w:t>
      </w:r>
      <w:r>
        <w:rPr>
          <w:lang w:val="es-ES_tradnl"/>
        </w:rPr>
        <w:t>rocesos en el Congreso se puede</w:t>
      </w:r>
      <w:r w:rsidRPr="00C904FA">
        <w:rPr>
          <w:lang w:val="es-ES_tradnl"/>
        </w:rPr>
        <w:t xml:space="preserve"> explicar también por la necesidad que tiene ese cuerpo de gestionar la formación de coaliciones muy extensas que puedan ir por encima de los r</w:t>
      </w:r>
      <w:r>
        <w:rPr>
          <w:lang w:val="es-ES_tradnl"/>
        </w:rPr>
        <w:t>equisitos, a veces de una super</w:t>
      </w:r>
      <w:r w:rsidRPr="00C904FA">
        <w:rPr>
          <w:lang w:val="es-ES_tradnl"/>
        </w:rPr>
        <w:t xml:space="preserve">mayoría en el </w:t>
      </w:r>
      <w:r>
        <w:rPr>
          <w:lang w:val="es-ES_tradnl"/>
        </w:rPr>
        <w:t>Senado (Mayhew, 2005, 359). Eso</w:t>
      </w:r>
      <w:r w:rsidRPr="00C904FA">
        <w:rPr>
          <w:lang w:val="es-ES_tradnl"/>
        </w:rPr>
        <w:t xml:space="preserve"> </w:t>
      </w:r>
      <w:r w:rsidRPr="008B456C">
        <w:t>—</w:t>
      </w:r>
      <w:r w:rsidRPr="00C904FA">
        <w:rPr>
          <w:lang w:val="es-ES_tradnl"/>
        </w:rPr>
        <w:t>que parecería una debilidad</w:t>
      </w:r>
      <w:r w:rsidRPr="008B456C">
        <w:t>—</w:t>
      </w:r>
      <w:r w:rsidRPr="00C904FA">
        <w:rPr>
          <w:lang w:val="es-ES_tradnl"/>
        </w:rPr>
        <w:t xml:space="preserve"> es defendido por Mayhew, un veterano estudioso del Congreso, en la medida en que sitúa al poder legislativo como el mejor posicionado para acomodar intereses muy heterogéneos en una agenda común (Mayhew, 2005, 359).</w:t>
      </w:r>
    </w:p>
    <w:p w:rsidR="00B015EE" w:rsidRPr="00795691" w:rsidRDefault="00B015EE" w:rsidP="00B015EE">
      <w:pPr>
        <w:rPr>
          <w:lang w:val="es-ES_tradnl"/>
        </w:rPr>
      </w:pPr>
      <w:r w:rsidRPr="00C904FA">
        <w:rPr>
          <w:lang w:val="es-ES_tradnl"/>
        </w:rPr>
        <w:t>Aunque no se reconoce a menudo</w:t>
      </w:r>
      <w:r>
        <w:rPr>
          <w:lang w:val="es-ES_tradnl"/>
        </w:rPr>
        <w:t>,</w:t>
      </w:r>
      <w:r w:rsidRPr="00C904FA">
        <w:rPr>
          <w:lang w:val="es-ES_tradnl"/>
        </w:rPr>
        <w:t xml:space="preserve"> los expertos en el estudio del Congreso afirman que la rama legislativa estadounidense tiende a reflejar más directamente los deseos de la persona común. </w:t>
      </w:r>
      <w:r w:rsidRPr="005300BC">
        <w:rPr>
          <w:lang w:val="en-US"/>
        </w:rPr>
        <w:t>Mayhew lo explica del siguiente modo</w:t>
      </w:r>
      <w:r w:rsidRPr="005300BC">
        <w:rPr>
          <w:rFonts w:cs="Garamond"/>
          <w:szCs w:val="20"/>
          <w:lang w:val="en-US"/>
        </w:rPr>
        <w:t>:</w:t>
      </w:r>
      <w:r w:rsidRPr="00795691">
        <w:rPr>
          <w:rFonts w:cs="Garamond"/>
          <w:szCs w:val="20"/>
          <w:lang w:val="en-US"/>
        </w:rPr>
        <w:t xml:space="preserve"> “</w:t>
      </w:r>
      <w:r w:rsidRPr="00795691">
        <w:rPr>
          <w:lang w:val="en-US"/>
        </w:rPr>
        <w:t>Generation after generation, Congress has juxtaposed popular styles of thinking to the thrusts of rationalization or high-mindedness often favored by the executive branch, the judiciary, or the intelligentsia. Congress offers an often-exasperating dose of average thinking” (Mayhew, 2005, 360).</w:t>
      </w:r>
      <w:r w:rsidRPr="005B5FEE">
        <w:rPr>
          <w:lang w:val="en-US"/>
        </w:rPr>
        <w:t xml:space="preserve"> </w:t>
      </w:r>
      <w:r w:rsidRPr="00795691">
        <w:rPr>
          <w:lang w:val="es-ES_tradnl"/>
        </w:rPr>
        <w:t>Por eso, en la medida en que un asunto esté fuera del imaginario popular</w:t>
      </w:r>
      <w:r>
        <w:rPr>
          <w:lang w:val="es-ES_tradnl"/>
        </w:rPr>
        <w:t>,</w:t>
      </w:r>
      <w:r w:rsidRPr="00795691">
        <w:rPr>
          <w:lang w:val="es-ES_tradnl"/>
        </w:rPr>
        <w:t xml:space="preserve"> </w:t>
      </w:r>
      <w:r>
        <w:rPr>
          <w:lang w:val="es-ES_tradnl"/>
        </w:rPr>
        <w:t xml:space="preserve">como lo es el caso de Puerto Rico, </w:t>
      </w:r>
      <w:r w:rsidRPr="00795691">
        <w:rPr>
          <w:lang w:val="es-ES_tradnl"/>
        </w:rPr>
        <w:t xml:space="preserve">esa función de reflejar el sentido común </w:t>
      </w:r>
      <w:r w:rsidRPr="00F80782">
        <w:rPr>
          <w:lang w:val="es-ES_tradnl"/>
        </w:rPr>
        <w:t>habitual</w:t>
      </w:r>
      <w:r w:rsidRPr="00795691">
        <w:rPr>
          <w:lang w:val="es-ES_tradnl"/>
        </w:rPr>
        <w:t xml:space="preserve"> está muy limitada. De ahí la íntima conexión entre opinión pública y acción congresional</w:t>
      </w:r>
      <w:r>
        <w:rPr>
          <w:lang w:val="es-ES_tradnl"/>
        </w:rPr>
        <w:t>,</w:t>
      </w:r>
      <w:r w:rsidRPr="00795691">
        <w:rPr>
          <w:lang w:val="es-ES_tradnl"/>
        </w:rPr>
        <w:t xml:space="preserve"> sobre todo en lo que tiene que ver con los temas que deben ser de atención prioritaria del Congreso (Baumgartner, F. R., </w:t>
      </w:r>
      <w:r>
        <w:rPr>
          <w:lang w:val="es-ES_tradnl"/>
        </w:rPr>
        <w:t>y</w:t>
      </w:r>
      <w:r w:rsidRPr="00795691">
        <w:rPr>
          <w:lang w:val="es-ES_tradnl"/>
        </w:rPr>
        <w:t xml:space="preserve"> Bryan D. J., 2004). </w:t>
      </w:r>
      <w:r>
        <w:rPr>
          <w:noProof/>
          <w:lang w:val="es-ES_tradnl" w:eastAsia="es-PR"/>
        </w:rPr>
        <w:t>Nada de ello ayuda a Puerto Rico en sus reclamos de trato justo, ya que es un tema prácticamente invisible.</w:t>
      </w:r>
    </w:p>
    <w:p w:rsidR="00B015EE" w:rsidRPr="00795691" w:rsidRDefault="00B015EE" w:rsidP="00B015EE">
      <w:pPr>
        <w:rPr>
          <w:noProof/>
          <w:lang w:val="es-ES_tradnl" w:eastAsia="es-PR"/>
        </w:rPr>
      </w:pPr>
      <w:r>
        <w:rPr>
          <w:lang w:val="es-ES_tradnl"/>
        </w:rPr>
        <w:t>E</w:t>
      </w:r>
      <w:r w:rsidRPr="00795691">
        <w:rPr>
          <w:lang w:val="es-ES_tradnl"/>
        </w:rPr>
        <w:t>n el 2004</w:t>
      </w:r>
      <w:r>
        <w:rPr>
          <w:lang w:val="es-ES_tradnl"/>
        </w:rPr>
        <w:t>,</w:t>
      </w:r>
      <w:r w:rsidRPr="00795691">
        <w:rPr>
          <w:lang w:val="es-ES_tradnl"/>
        </w:rPr>
        <w:t xml:space="preserve"> </w:t>
      </w:r>
      <w:r>
        <w:rPr>
          <w:lang w:val="es-ES_tradnl"/>
        </w:rPr>
        <w:t>l</w:t>
      </w:r>
      <w:r w:rsidRPr="00795691">
        <w:rPr>
          <w:lang w:val="es-ES_tradnl"/>
        </w:rPr>
        <w:t>os investigadores Baumgartner</w:t>
      </w:r>
      <w:r>
        <w:rPr>
          <w:lang w:val="es-ES_tradnl"/>
        </w:rPr>
        <w:t xml:space="preserve"> y </w:t>
      </w:r>
      <w:r w:rsidRPr="00795691">
        <w:rPr>
          <w:lang w:val="es-ES_tradnl"/>
        </w:rPr>
        <w:t>Bryan concluyeron que</w:t>
      </w:r>
      <w:r>
        <w:rPr>
          <w:lang w:val="es-ES_tradnl"/>
        </w:rPr>
        <w:t>,</w:t>
      </w:r>
      <w:r w:rsidRPr="00795691">
        <w:rPr>
          <w:lang w:val="es-ES_tradnl"/>
        </w:rPr>
        <w:t xml:space="preserve"> en efecto</w:t>
      </w:r>
      <w:r>
        <w:rPr>
          <w:lang w:val="es-ES_tradnl"/>
        </w:rPr>
        <w:t>,</w:t>
      </w:r>
      <w:r w:rsidRPr="00795691">
        <w:rPr>
          <w:lang w:val="es-ES_tradnl"/>
        </w:rPr>
        <w:t xml:space="preserve"> la opinión pública de ese país desempeña una función central en la toma de decisiones legislativas: “</w:t>
      </w:r>
      <w:r w:rsidRPr="00795691">
        <w:rPr>
          <w:noProof/>
          <w:lang w:val="es-ES_tradnl" w:eastAsia="es-PR"/>
        </w:rPr>
        <w:t>…</w:t>
      </w:r>
      <w:r>
        <w:rPr>
          <w:noProof/>
          <w:lang w:val="es-ES_tradnl" w:eastAsia="es-PR"/>
        </w:rPr>
        <w:t xml:space="preserve"> </w:t>
      </w:r>
      <w:r w:rsidRPr="005300BC">
        <w:rPr>
          <w:noProof/>
          <w:lang w:val="en-US" w:eastAsia="es-PR"/>
        </w:rPr>
        <w:t>There is an impressive congruence between the priorities of the public and the priorities of Congress across time and … there is substantial evidence of congruence between the priorities of the public and lawmaking activities in the national government… Our results … suggest that the public is seriously involved in the agenda-setting process, not an ignored bystander…”</w:t>
      </w:r>
      <w:r w:rsidRPr="005300BC">
        <w:rPr>
          <w:rFonts w:ascii="Garamond" w:hAnsi="Garamond" w:cs="Garamond"/>
          <w:sz w:val="20"/>
          <w:szCs w:val="20"/>
          <w:lang w:val="en-US"/>
        </w:rPr>
        <w:t xml:space="preserve"> </w:t>
      </w:r>
      <w:r w:rsidRPr="00795691">
        <w:rPr>
          <w:rFonts w:ascii="Garamond" w:hAnsi="Garamond" w:cs="Garamond"/>
          <w:sz w:val="20"/>
          <w:szCs w:val="20"/>
          <w:lang w:val="es-ES_tradnl"/>
        </w:rPr>
        <w:t>(</w:t>
      </w:r>
      <w:r w:rsidRPr="00795691">
        <w:rPr>
          <w:noProof/>
          <w:lang w:val="es-ES_tradnl" w:eastAsia="es-PR"/>
        </w:rPr>
        <w:t>Baumgartner, F. R., and Bryan D. J., 2004, 20).</w:t>
      </w:r>
    </w:p>
    <w:p w:rsidR="00B015EE" w:rsidRDefault="00B015EE" w:rsidP="00B015EE">
      <w:pPr>
        <w:rPr>
          <w:lang w:val="es-ES_tradnl"/>
        </w:rPr>
      </w:pPr>
      <w:r w:rsidRPr="00795691">
        <w:rPr>
          <w:lang w:val="es-ES_tradnl"/>
        </w:rPr>
        <w:t>En el legislativo estadounidense, salvo excepciones importantes como la existencia de una percepción de crisis de seguridad nacional, es mucho más fácil para los grupos de presión oponerse a una acción afirmativa que lograr la aprobación de una legislación. Ello es así debido a la multiplicidad de puntos de acceso que los grupos de interés pueden presionar para que los congresistas se abstengan de actuar sobre un asunto (Truman. 1951; Davidson, Oleszek, Lee,</w:t>
      </w:r>
      <w:r>
        <w:rPr>
          <w:lang w:val="es-ES_tradnl"/>
        </w:rPr>
        <w:t xml:space="preserve"> 2013). </w:t>
      </w:r>
      <w:r>
        <w:t>Los grupos de interés, con su cabildeo, ejercen una influencia decisiva en este renglón de contribuir a adelantar o paralizar cierta legislación. Por eso el gasto en cabildeo ha ido en aumento vertiginoso. En el 2010, el gasto total en este renglón en el Congreso sumó la extraordinaria cantidad de $3,500 millones (Davidson, Oleszek, Lee, Schickler 2013, 370).</w:t>
      </w:r>
    </w:p>
    <w:p w:rsidR="00B015EE" w:rsidRPr="00795691" w:rsidRDefault="00B015EE" w:rsidP="00B015EE">
      <w:pPr>
        <w:rPr>
          <w:lang w:val="es-ES_tradnl"/>
        </w:rPr>
      </w:pPr>
      <w:r>
        <w:rPr>
          <w:lang w:val="es-ES_tradnl"/>
        </w:rPr>
        <w:t xml:space="preserve">Todo ello contribuye a </w:t>
      </w:r>
      <w:r w:rsidRPr="00795691">
        <w:rPr>
          <w:lang w:val="es-ES_tradnl"/>
        </w:rPr>
        <w:t>una percepción fuerte entre algunos estudiosos de que un estancamiento en la toma de decisiones del Congreso restringe al presente la capacidad de asumir responsablemente sus funciones de gobierno (Mann, Ornstein, 2008; Binder, 2003). Súmele a todo lo anterior la percepción, y en ocasiones realidad, de una tendencia a atender de forma prioritaria los intereses de grupos económicamente poderosos y con acceso preferencial a los miembros del Congreso por medio del sistema de cabildeo</w:t>
      </w:r>
      <w:r w:rsidRPr="00795691">
        <w:rPr>
          <w:rFonts w:ascii="Garamond" w:hAnsi="Garamond" w:cs="Garamond"/>
          <w:sz w:val="20"/>
          <w:szCs w:val="20"/>
          <w:lang w:val="es-ES_tradnl"/>
        </w:rPr>
        <w:t xml:space="preserve"> (</w:t>
      </w:r>
      <w:r w:rsidRPr="00795691">
        <w:rPr>
          <w:lang w:val="es-ES_tradnl"/>
        </w:rPr>
        <w:t>Davidson, Oleszek, Lee, 2013).</w:t>
      </w:r>
    </w:p>
    <w:p w:rsidR="00B015EE" w:rsidRPr="00795691" w:rsidRDefault="00B015EE" w:rsidP="00B015EE">
      <w:pPr>
        <w:rPr>
          <w:lang w:val="es-ES_tradnl"/>
        </w:rPr>
      </w:pPr>
      <w:r w:rsidRPr="00795691">
        <w:rPr>
          <w:lang w:val="es-ES_tradnl"/>
        </w:rPr>
        <w:t xml:space="preserve"> La crisis de aprobación pública del Cong</w:t>
      </w:r>
      <w:r>
        <w:rPr>
          <w:lang w:val="es-ES_tradnl"/>
        </w:rPr>
        <w:t xml:space="preserve">reso produjo un nivel de apoyo </w:t>
      </w:r>
      <w:r w:rsidRPr="00795691">
        <w:rPr>
          <w:lang w:val="es-ES_tradnl"/>
        </w:rPr>
        <w:t>en las encuestas tan bajo como el 5% durante el cierre de</w:t>
      </w:r>
      <w:r>
        <w:rPr>
          <w:lang w:val="es-ES_tradnl"/>
        </w:rPr>
        <w:t>l</w:t>
      </w:r>
      <w:r w:rsidRPr="00795691">
        <w:rPr>
          <w:lang w:val="es-ES_tradnl"/>
        </w:rPr>
        <w:t xml:space="preserve"> Gobierno de 2013 (Reilly, 2013). Por todo ello, algunos es</w:t>
      </w:r>
      <w:r>
        <w:rPr>
          <w:lang w:val="es-ES_tradnl"/>
        </w:rPr>
        <w:t>tudiosos insisten en catalogar e</w:t>
      </w:r>
      <w:r w:rsidRPr="00795691">
        <w:rPr>
          <w:lang w:val="es-ES_tradnl"/>
        </w:rPr>
        <w:t>l Congreso</w:t>
      </w:r>
      <w:r>
        <w:rPr>
          <w:lang w:val="es-ES_tradnl"/>
        </w:rPr>
        <w:t xml:space="preserve"> como</w:t>
      </w:r>
      <w:r w:rsidRPr="00795691">
        <w:rPr>
          <w:lang w:val="es-ES_tradnl"/>
        </w:rPr>
        <w:t xml:space="preserve"> la “rama rota” de las tres ramas de gobierno </w:t>
      </w:r>
      <w:r>
        <w:rPr>
          <w:lang w:val="es-ES_tradnl"/>
        </w:rPr>
        <w:t>reconocidas por la Constitución</w:t>
      </w:r>
      <w:r w:rsidRPr="00795691">
        <w:rPr>
          <w:lang w:val="es-ES_tradnl"/>
        </w:rPr>
        <w:t xml:space="preserve"> (Mann, Orstein, 2008; Sabato, 2007). La intensa polarización política en el </w:t>
      </w:r>
      <w:r>
        <w:rPr>
          <w:lang w:val="es-ES_tradnl"/>
        </w:rPr>
        <w:t>legislativ</w:t>
      </w:r>
      <w:r w:rsidRPr="00795691">
        <w:rPr>
          <w:lang w:val="es-ES_tradnl"/>
        </w:rPr>
        <w:t>o y la falta de colaboración bipartidista puede que entorpezca la adopción de políticas públicas de amplio apoyo popular</w:t>
      </w:r>
      <w:r>
        <w:rPr>
          <w:lang w:val="es-ES_tradnl"/>
        </w:rPr>
        <w:t>;</w:t>
      </w:r>
      <w:r w:rsidRPr="00795691">
        <w:rPr>
          <w:lang w:val="es-ES_tradnl"/>
        </w:rPr>
        <w:t xml:space="preserve"> y, a la vez, son dos elementos adicionales que contribuyen al desgaste de la imagen de est</w:t>
      </w:r>
      <w:r>
        <w:rPr>
          <w:lang w:val="es-ES_tradnl"/>
        </w:rPr>
        <w:t xml:space="preserve">a importante rama de gobierno. </w:t>
      </w:r>
      <w:r w:rsidRPr="00795691">
        <w:rPr>
          <w:lang w:val="es-ES_tradnl"/>
        </w:rPr>
        <w:t>Las recientes disputas ente un Senado demócrata y una Cámara de Representantes republicana</w:t>
      </w:r>
      <w:r>
        <w:rPr>
          <w:lang w:val="es-ES_tradnl"/>
        </w:rPr>
        <w:t>,</w:t>
      </w:r>
      <w:r w:rsidRPr="00795691">
        <w:rPr>
          <w:lang w:val="es-ES_tradnl"/>
        </w:rPr>
        <w:t xml:space="preserve"> que han impedido la aprobación de legislación tan básica como el propio presupuesto del país</w:t>
      </w:r>
      <w:r>
        <w:rPr>
          <w:lang w:val="es-ES_tradnl"/>
        </w:rPr>
        <w:t>,</w:t>
      </w:r>
      <w:r w:rsidRPr="00795691">
        <w:rPr>
          <w:lang w:val="es-ES_tradnl"/>
        </w:rPr>
        <w:t xml:space="preserve"> tampoco han ayudado a mejorar la estima pública de esta institución. </w:t>
      </w:r>
    </w:p>
    <w:p w:rsidR="00B015EE" w:rsidRDefault="00B015EE" w:rsidP="00B015EE">
      <w:pPr>
        <w:rPr>
          <w:lang w:val="es-ES_tradnl"/>
        </w:rPr>
      </w:pPr>
      <w:r w:rsidRPr="00795691">
        <w:rPr>
          <w:lang w:val="es-ES_tradnl"/>
        </w:rPr>
        <w:t xml:space="preserve">Mann y Ornstein, dos respetados estudiosos del problema </w:t>
      </w:r>
      <w:r>
        <w:rPr>
          <w:lang w:val="es-ES_tradnl"/>
        </w:rPr>
        <w:t xml:space="preserve">y </w:t>
      </w:r>
      <w:r w:rsidRPr="00795691">
        <w:rPr>
          <w:lang w:val="es-ES_tradnl"/>
        </w:rPr>
        <w:t>quienes llevan analizando el Congreso por cuatro décadas</w:t>
      </w:r>
      <w:r>
        <w:rPr>
          <w:lang w:val="es-ES_tradnl"/>
        </w:rPr>
        <w:t>,</w:t>
      </w:r>
      <w:r w:rsidRPr="00795691">
        <w:rPr>
          <w:lang w:val="es-ES_tradnl"/>
        </w:rPr>
        <w:t xml:space="preserve"> lo resumen muy bien: “The current climate of broken politics goes well beyond issues like the debt limit and spending. </w:t>
      </w:r>
      <w:r w:rsidRPr="005300BC">
        <w:rPr>
          <w:lang w:val="en-US"/>
        </w:rPr>
        <w:t xml:space="preserve">The problems are much deeper and broader, inside Congress, in the relations between Congress and the president, in campaigns, and in the coarsened, divided, and tribal political culture” (Mann, Orsein, 2012, 31). </w:t>
      </w:r>
      <w:r w:rsidRPr="00795691">
        <w:rPr>
          <w:lang w:val="es-ES_tradnl"/>
        </w:rPr>
        <w:t>La preocupación con la falta de efectividad del Congreso ha llevado a algunos de los principales estudiosos del sistema político de Estados Unidos a proponer alteraciones sustanciales</w:t>
      </w:r>
      <w:r>
        <w:rPr>
          <w:lang w:val="es-ES_tradnl"/>
        </w:rPr>
        <w:t>,</w:t>
      </w:r>
      <w:r w:rsidRPr="00795691">
        <w:rPr>
          <w:lang w:val="es-ES_tradnl"/>
        </w:rPr>
        <w:t xml:space="preserve"> tanto en su composición, como en su regl</w:t>
      </w:r>
      <w:r>
        <w:rPr>
          <w:lang w:val="es-ES_tradnl"/>
        </w:rPr>
        <w:t>amentación interna y estructura</w:t>
      </w:r>
      <w:r w:rsidRPr="00795691">
        <w:rPr>
          <w:lang w:val="es-ES_tradnl"/>
        </w:rPr>
        <w:t xml:space="preserve"> (Sabato, 2007).</w:t>
      </w:r>
      <w:r>
        <w:rPr>
          <w:lang w:val="es-ES_tradnl"/>
        </w:rPr>
        <w:t xml:space="preserve"> Es en ese contexto altamente polarizado y fragmentado que se considera el caso de Puerto Rico, y ello le presenta retos muy grandes a una parte importante del liderato político que parece ajeno a estas contradicciones.</w:t>
      </w:r>
    </w:p>
    <w:p w:rsidR="00B015EE" w:rsidRPr="00795691" w:rsidRDefault="00B015EE" w:rsidP="00B015EE">
      <w:pPr>
        <w:rPr>
          <w:lang w:val="es-ES_tradnl"/>
        </w:rPr>
      </w:pPr>
    </w:p>
    <w:p w:rsidR="00B015EE" w:rsidRPr="00795691" w:rsidRDefault="00B015EE" w:rsidP="00B015EE">
      <w:pPr>
        <w:pStyle w:val="Heading2"/>
        <w:ind w:left="426" w:hanging="426"/>
        <w:jc w:val="both"/>
        <w:rPr>
          <w:lang w:val="es-ES_tradnl"/>
        </w:rPr>
      </w:pPr>
      <w:bookmarkStart w:id="21" w:name="_Toc384769723"/>
      <w:r w:rsidRPr="00795691">
        <w:rPr>
          <w:lang w:val="es-ES_tradnl"/>
        </w:rPr>
        <w:t xml:space="preserve">El </w:t>
      </w:r>
      <w:r w:rsidRPr="00795691">
        <w:rPr>
          <w:i/>
          <w:lang w:val="es-ES_tradnl"/>
        </w:rPr>
        <w:t>Tea Party</w:t>
      </w:r>
      <w:bookmarkEnd w:id="21"/>
    </w:p>
    <w:p w:rsidR="00B015EE" w:rsidRDefault="00B015EE" w:rsidP="00B015EE">
      <w:pPr>
        <w:spacing w:line="240" w:lineRule="auto"/>
        <w:rPr>
          <w:lang w:val="es-ES_tradnl"/>
        </w:rPr>
      </w:pPr>
    </w:p>
    <w:p w:rsidR="00B015EE" w:rsidRPr="00795691" w:rsidRDefault="00B015EE" w:rsidP="00B015EE">
      <w:pPr>
        <w:rPr>
          <w:lang w:val="es-ES_tradnl"/>
        </w:rPr>
      </w:pPr>
      <w:r w:rsidRPr="00795691">
        <w:rPr>
          <w:lang w:val="es-ES_tradnl"/>
        </w:rPr>
        <w:t xml:space="preserve">Hay </w:t>
      </w:r>
      <w:r>
        <w:rPr>
          <w:lang w:val="es-ES_tradnl"/>
        </w:rPr>
        <w:t>vario</w:t>
      </w:r>
      <w:r w:rsidRPr="00795691">
        <w:rPr>
          <w:lang w:val="es-ES_tradnl"/>
        </w:rPr>
        <w:t>s asuntos adicionales del Congreso que deben tomarse en cuenta. Uno de estos aspectos es el auge de ciertos sectores conservadores agrupados bajo la nomenclatura general del llamado</w:t>
      </w:r>
      <w:r w:rsidRPr="00795691">
        <w:rPr>
          <w:i/>
          <w:lang w:val="es-ES_tradnl"/>
        </w:rPr>
        <w:t xml:space="preserve"> Tea Party</w:t>
      </w:r>
      <w:r>
        <w:rPr>
          <w:lang w:val="es-ES_tradnl"/>
        </w:rPr>
        <w:t>. E</w:t>
      </w:r>
      <w:r w:rsidRPr="00795691">
        <w:rPr>
          <w:lang w:val="es-ES_tradnl"/>
        </w:rPr>
        <w:t>s, sin dudas, un fenómeno político significativo en Estados Unidos en general y en el Congreso de Estados Unidos, aunque hay quienes comienzan a detectar un declive en el apoyo electoral (Weise, 2013).</w:t>
      </w:r>
      <w:r>
        <w:rPr>
          <w:lang w:val="es-ES_tradnl"/>
        </w:rPr>
        <w:t xml:space="preserve"> </w:t>
      </w:r>
    </w:p>
    <w:p w:rsidR="00B015EE" w:rsidRPr="00795691" w:rsidRDefault="00B015EE" w:rsidP="00B015EE">
      <w:pPr>
        <w:rPr>
          <w:lang w:val="es-ES_tradnl"/>
        </w:rPr>
      </w:pPr>
      <w:r>
        <w:rPr>
          <w:lang w:val="es-ES_tradnl"/>
        </w:rPr>
        <w:t>Es</w:t>
      </w:r>
      <w:r w:rsidRPr="00795691">
        <w:rPr>
          <w:lang w:val="es-ES_tradnl"/>
        </w:rPr>
        <w:t xml:space="preserve"> un movimiento conservador amplio</w:t>
      </w:r>
      <w:r>
        <w:rPr>
          <w:lang w:val="es-ES_tradnl"/>
        </w:rPr>
        <w:t>, que se agrupa</w:t>
      </w:r>
      <w:r w:rsidRPr="00795691">
        <w:rPr>
          <w:lang w:val="es-ES_tradnl"/>
        </w:rPr>
        <w:t xml:space="preserve"> en una estructura poco jerárquica y descentralizada, con un considerable apoyo de sectores adinerados comprometidos con una agenda ideológica de gobierno limitado y reducción del gasto gubernamental. Aunque se le representa exclusivamente como un movimiento de la extrema derecha, lo cierto es que </w:t>
      </w:r>
      <w:r>
        <w:rPr>
          <w:lang w:val="es-ES_tradnl"/>
        </w:rPr>
        <w:t xml:space="preserve">el </w:t>
      </w:r>
      <w:r w:rsidRPr="00795691">
        <w:rPr>
          <w:i/>
          <w:lang w:val="es-ES_tradnl"/>
        </w:rPr>
        <w:t>Tea Party</w:t>
      </w:r>
      <w:r w:rsidRPr="00795691">
        <w:rPr>
          <w:lang w:val="es-ES_tradnl"/>
        </w:rPr>
        <w:t xml:space="preserve"> es una colección de</w:t>
      </w:r>
      <w:r>
        <w:rPr>
          <w:lang w:val="es-ES_tradnl"/>
        </w:rPr>
        <w:t xml:space="preserve"> tendencias bastante heterogénea</w:t>
      </w:r>
      <w:r w:rsidRPr="00795691">
        <w:rPr>
          <w:lang w:val="es-ES_tradnl"/>
        </w:rPr>
        <w:t xml:space="preserve"> que va desde el llamado “centro derecha” hasta la extrema derecha de ese país. Todos son, sin embargo, altamente nacionalistas con visiones diversas sobre cómo defender ese interés nacional.</w:t>
      </w:r>
    </w:p>
    <w:p w:rsidR="00B015EE" w:rsidRPr="00795691" w:rsidRDefault="00B015EE" w:rsidP="00B015EE">
      <w:pPr>
        <w:rPr>
          <w:lang w:val="es-ES_tradnl"/>
        </w:rPr>
      </w:pPr>
      <w:r w:rsidRPr="00795691">
        <w:rPr>
          <w:lang w:val="es-ES_tradnl"/>
        </w:rPr>
        <w:t xml:space="preserve">El </w:t>
      </w:r>
      <w:r w:rsidRPr="00795691">
        <w:rPr>
          <w:i/>
          <w:lang w:val="es-ES_tradnl"/>
        </w:rPr>
        <w:t>Tea Party</w:t>
      </w:r>
      <w:r w:rsidRPr="00795691">
        <w:rPr>
          <w:lang w:val="es-ES_tradnl"/>
        </w:rPr>
        <w:t xml:space="preserve"> cuenta con una vasta cubierta mediática y fue </w:t>
      </w:r>
      <w:r>
        <w:rPr>
          <w:lang w:val="es-ES_tradnl"/>
        </w:rPr>
        <w:t xml:space="preserve">un </w:t>
      </w:r>
      <w:r w:rsidRPr="00795691">
        <w:rPr>
          <w:lang w:val="es-ES_tradnl"/>
        </w:rPr>
        <w:t>factor determinante en la amplia victoria republicana en el Congreso de E</w:t>
      </w:r>
      <w:r>
        <w:rPr>
          <w:lang w:val="es-ES_tradnl"/>
        </w:rPr>
        <w:t>stados Unidos</w:t>
      </w:r>
      <w:r w:rsidRPr="00795691">
        <w:rPr>
          <w:lang w:val="es-ES_tradnl"/>
        </w:rPr>
        <w:t xml:space="preserve"> en las elecciones de 2010</w:t>
      </w:r>
      <w:r>
        <w:rPr>
          <w:lang w:val="es-ES_tradnl"/>
        </w:rPr>
        <w:t>;</w:t>
      </w:r>
      <w:r w:rsidRPr="00795691">
        <w:rPr>
          <w:lang w:val="es-ES_tradnl"/>
        </w:rPr>
        <w:t xml:space="preserve"> y logró mantener una representación sustancial de congresistas en las elecciones de 2012. Se calcula que cerca de 66 representantes se identifican con este movimiento en la Cámara y, por momentos,</w:t>
      </w:r>
      <w:r>
        <w:rPr>
          <w:lang w:val="es-ES_tradnl"/>
        </w:rPr>
        <w:t xml:space="preserve"> </w:t>
      </w:r>
      <w:r w:rsidRPr="00795691">
        <w:rPr>
          <w:lang w:val="es-ES_tradnl"/>
        </w:rPr>
        <w:t>se han constituido como un caucus para defender las posturas conservadoras de este sector del Partido Republicano.</w:t>
      </w:r>
    </w:p>
    <w:p w:rsidR="00B015EE" w:rsidRPr="00795691" w:rsidRDefault="00B015EE" w:rsidP="00B015EE">
      <w:pPr>
        <w:rPr>
          <w:lang w:val="es-ES_tradnl"/>
        </w:rPr>
      </w:pPr>
      <w:r w:rsidRPr="00795691">
        <w:rPr>
          <w:lang w:val="es-ES_tradnl"/>
        </w:rPr>
        <w:t>Este sector</w:t>
      </w:r>
      <w:r>
        <w:rPr>
          <w:lang w:val="es-ES_tradnl"/>
        </w:rPr>
        <w:t xml:space="preserve"> fue instrumental en conseguir </w:t>
      </w:r>
      <w:r w:rsidRPr="00795691">
        <w:rPr>
          <w:lang w:val="es-ES_tradnl"/>
        </w:rPr>
        <w:t>forzar el cierre del Gobierno de E</w:t>
      </w:r>
      <w:r>
        <w:rPr>
          <w:lang w:val="es-ES_tradnl"/>
        </w:rPr>
        <w:t>stados Unidos</w:t>
      </w:r>
      <w:r w:rsidRPr="00795691">
        <w:rPr>
          <w:lang w:val="es-ES_tradnl"/>
        </w:rPr>
        <w:t xml:space="preserve"> en el 2013 y ello le ha representado un costo político considerable entre los electores independientes (Weise, 2013). La visión en torno al futuro de </w:t>
      </w:r>
      <w:r>
        <w:rPr>
          <w:lang w:val="es-ES_tradnl"/>
        </w:rPr>
        <w:t>ese país</w:t>
      </w:r>
      <w:r w:rsidRPr="00795691">
        <w:rPr>
          <w:lang w:val="es-ES_tradnl"/>
        </w:rPr>
        <w:t xml:space="preserve"> que impulsa este movimiento populista de derecha es determinante en la consideración de políticas distributivas</w:t>
      </w:r>
      <w:r>
        <w:rPr>
          <w:lang w:val="es-ES_tradnl"/>
        </w:rPr>
        <w:t>,</w:t>
      </w:r>
      <w:r w:rsidRPr="00795691">
        <w:rPr>
          <w:lang w:val="es-ES_tradnl"/>
        </w:rPr>
        <w:t xml:space="preserve"> como el plan de salud de acceso universal promovido por la administración Obama.</w:t>
      </w:r>
      <w:r w:rsidRPr="00CE7F84">
        <w:rPr>
          <w:szCs w:val="20"/>
          <w:vertAlign w:val="superscript"/>
          <w:lang w:val="es-ES_tradnl"/>
        </w:rPr>
        <w:footnoteReference w:id="11"/>
      </w:r>
    </w:p>
    <w:p w:rsidR="00B015EE" w:rsidRDefault="00B015EE" w:rsidP="00B015EE">
      <w:pPr>
        <w:rPr>
          <w:lang w:val="es-ES_tradnl"/>
        </w:rPr>
      </w:pPr>
      <w:r w:rsidRPr="00795691">
        <w:rPr>
          <w:lang w:val="es-ES_tradnl"/>
        </w:rPr>
        <w:t>En la medida en que este movimiento —altamente subsidiado por sectores económicos poderosos— pone su énfasis en el gasto gubernamental como tema central, puede estar generando dinámicas políticas novedosas. Ahora mismo</w:t>
      </w:r>
      <w:r>
        <w:rPr>
          <w:lang w:val="es-ES_tradnl"/>
        </w:rPr>
        <w:t>,</w:t>
      </w:r>
      <w:r w:rsidRPr="00795691">
        <w:rPr>
          <w:lang w:val="es-ES_tradnl"/>
        </w:rPr>
        <w:t xml:space="preserve"> los esfuerzos del Gobierno de Puerto Rico </w:t>
      </w:r>
      <w:r>
        <w:rPr>
          <w:lang w:val="es-ES_tradnl"/>
        </w:rPr>
        <w:t>y otros sectores</w:t>
      </w:r>
      <w:r w:rsidRPr="00795691">
        <w:rPr>
          <w:lang w:val="es-ES_tradnl"/>
        </w:rPr>
        <w:t xml:space="preserve"> de gestionar nuevos incentivos contributivos para las corporaciones de E</w:t>
      </w:r>
      <w:r>
        <w:rPr>
          <w:lang w:val="es-ES_tradnl"/>
        </w:rPr>
        <w:t xml:space="preserve">stados </w:t>
      </w:r>
      <w:r w:rsidRPr="00795691">
        <w:rPr>
          <w:lang w:val="es-ES_tradnl"/>
        </w:rPr>
        <w:t>U</w:t>
      </w:r>
      <w:r>
        <w:rPr>
          <w:lang w:val="es-ES_tradnl"/>
        </w:rPr>
        <w:t>nidos</w:t>
      </w:r>
      <w:r w:rsidRPr="00795691">
        <w:rPr>
          <w:lang w:val="es-ES_tradnl"/>
        </w:rPr>
        <w:t xml:space="preserve"> que hagan negocio en la Isla pueden confrontar muchos problemas </w:t>
      </w:r>
      <w:r>
        <w:rPr>
          <w:lang w:val="es-ES_tradnl"/>
        </w:rPr>
        <w:t xml:space="preserve">para </w:t>
      </w:r>
      <w:r w:rsidRPr="00795691">
        <w:rPr>
          <w:lang w:val="es-ES_tradnl"/>
        </w:rPr>
        <w:t>obten</w:t>
      </w:r>
      <w:r>
        <w:rPr>
          <w:lang w:val="es-ES_tradnl"/>
        </w:rPr>
        <w:t>er</w:t>
      </w:r>
      <w:r w:rsidRPr="00795691">
        <w:rPr>
          <w:lang w:val="es-ES_tradnl"/>
        </w:rPr>
        <w:t xml:space="preserve"> el aval del sector que representa el </w:t>
      </w:r>
      <w:r w:rsidRPr="00795691">
        <w:rPr>
          <w:i/>
          <w:lang w:val="es-ES_tradnl"/>
        </w:rPr>
        <w:t>Tea Party</w:t>
      </w:r>
      <w:r w:rsidRPr="00795691">
        <w:rPr>
          <w:lang w:val="es-ES_tradnl"/>
        </w:rPr>
        <w:t xml:space="preserve"> en la Cámara de Representantes, en donde el Partido Republicano tiene un sólido control de la agenda legislativa. En la Cámara es en donde se inicia cualquier proyecto de ley que afecte asuntos contributivos y de presupuesto.</w:t>
      </w:r>
    </w:p>
    <w:p w:rsidR="00B015EE" w:rsidRPr="003F6918" w:rsidRDefault="00B015EE" w:rsidP="00B015EE">
      <w:r>
        <w:t xml:space="preserve">El </w:t>
      </w:r>
      <w:r w:rsidRPr="0033186C">
        <w:rPr>
          <w:i/>
        </w:rPr>
        <w:t>Tea Party</w:t>
      </w:r>
      <w:r>
        <w:t xml:space="preserve"> suele estar vinculado a otros grupos de presión que han ejercido mucha influencia en los procesos del Congreso relativos a la oficialización del inglés como idioma oficial, y la exigencia del dominio del inglés a los nuevos ciudadanos como prerrequisito de la reforma migratoria que legalizaría la presencia en Estados Unidos de millones de hispanos.</w:t>
      </w:r>
      <w:r w:rsidRPr="00875A75">
        <w:t xml:space="preserve"> </w:t>
      </w:r>
      <w:r>
        <w:t xml:space="preserve">Existe el convencimiento entre amplios sectores en ese país de que exigir que los nuevos inmigrantes dominen el inglés hace más viable políticamente dicha reforma </w:t>
      </w:r>
      <w:r w:rsidRPr="00CE3F9B">
        <w:t>(Wald</w:t>
      </w:r>
      <w:r>
        <w:t>man</w:t>
      </w:r>
      <w:r w:rsidRPr="00CE3F9B">
        <w:t xml:space="preserve">, </w:t>
      </w:r>
      <w:r>
        <w:t>2013).</w:t>
      </w:r>
    </w:p>
    <w:p w:rsidR="00B015EE" w:rsidRPr="000D2CE0" w:rsidRDefault="00B015EE" w:rsidP="00B015EE">
      <w:r>
        <w:t>El tema del inglés ha estado presente en las deliberaciones sobre la estadidad en el Congreso. En 1996, por ejemplo, hubo que retirar una medida legislativa favorable a la estadidad, por razón de una enmienda del representante Solomon, declarando el idioma inglés como idioma oficial de gobierno (</w:t>
      </w:r>
      <w:r w:rsidRPr="001E4FD8">
        <w:t>Torres-González</w:t>
      </w:r>
      <w:r>
        <w:t>, 2002, 380).</w:t>
      </w:r>
      <w:r w:rsidRPr="001E4FD8">
        <w:t xml:space="preserve"> </w:t>
      </w:r>
      <w:r>
        <w:t xml:space="preserve">Torres González (2002) alega que la versión final del llamado “Proyecto Young” aprobado en la Cámara de Representantes asumía el dominio del inglés de parte de los puertorriqueños, antes de la admisión de Puerto Rico como estado (Torres González, 382). Los grupos a favor de declarar el inglés como idioma oficial han continuado con sus esfuerzos contra la estadidad  </w:t>
      </w:r>
      <w:r w:rsidRPr="001E4FD8">
        <w:t>(US English Inc.</w:t>
      </w:r>
      <w:r>
        <w:t>, 2009).</w:t>
      </w:r>
    </w:p>
    <w:p w:rsidR="00B015EE" w:rsidRDefault="00B015EE" w:rsidP="00B015EE">
      <w:r w:rsidRPr="000D2CE0">
        <w:t xml:space="preserve"> </w:t>
      </w:r>
      <w:r>
        <w:t>U</w:t>
      </w:r>
      <w:r w:rsidRPr="003C5938">
        <w:t>n 71.9% de los residentes de Puerto Rico hablan el idioma inglés “less than well”</w:t>
      </w:r>
      <w:r>
        <w:t>, según los</w:t>
      </w:r>
      <w:r w:rsidRPr="003C5938">
        <w:t xml:space="preserve"> datos del Censo de Estados Unidos </w:t>
      </w:r>
      <w:r>
        <w:t>(</w:t>
      </w:r>
      <w:r w:rsidRPr="0041049A">
        <w:rPr>
          <w:i/>
        </w:rPr>
        <w:t>U.S. Census Bureau</w:t>
      </w:r>
      <w:r>
        <w:t xml:space="preserve">, </w:t>
      </w:r>
      <w:r w:rsidRPr="003C5938">
        <w:t>2003</w:t>
      </w:r>
      <w:r>
        <w:t xml:space="preserve">, citado en </w:t>
      </w:r>
      <w:r w:rsidRPr="00E92FEE">
        <w:t>Gonz</w:t>
      </w:r>
      <w:r>
        <w:t>á</w:t>
      </w:r>
      <w:r w:rsidRPr="00E92FEE">
        <w:t>les</w:t>
      </w:r>
      <w:r>
        <w:t>,</w:t>
      </w:r>
      <w:r w:rsidRPr="00E92FEE">
        <w:t xml:space="preserve"> Rose, JB., 2009)</w:t>
      </w:r>
      <w:r>
        <w:t xml:space="preserve">. </w:t>
      </w:r>
      <w:r w:rsidRPr="005427E6">
        <w:t>De lleg</w:t>
      </w:r>
      <w:r>
        <w:t>arse a una discu</w:t>
      </w:r>
      <w:r w:rsidRPr="005427E6">
        <w:t xml:space="preserve">sión </w:t>
      </w:r>
      <w:r>
        <w:t xml:space="preserve">a fondo sobre este tema en el Congreso de Estados Unidos este es una controversia que recibirá atención y podría provocar agrios debates. </w:t>
      </w:r>
    </w:p>
    <w:p w:rsidR="00B015EE" w:rsidRDefault="00B015EE" w:rsidP="00B015EE">
      <w:r>
        <w:t xml:space="preserve">Las tensiones que crea la consideración de la estadidad para Puerto Rico en el Congreso de Estados Unidos, en este contexto, son evidentes a partir de la siguiente descripción del particular ámbito sociopolítico y  cultural de Puerto Rico: </w:t>
      </w:r>
    </w:p>
    <w:p w:rsidR="00B015EE" w:rsidRPr="00C904FA" w:rsidRDefault="00B015EE" w:rsidP="00B015EE">
      <w:pPr>
        <w:widowControl w:val="0"/>
        <w:autoSpaceDE w:val="0"/>
        <w:autoSpaceDN w:val="0"/>
        <w:spacing w:line="240" w:lineRule="auto"/>
        <w:ind w:left="720" w:firstLine="0"/>
        <w:rPr>
          <w:rFonts w:eastAsia="Times New Roman"/>
          <w:szCs w:val="24"/>
          <w:lang w:val="en-US"/>
        </w:rPr>
      </w:pPr>
      <w:r w:rsidRPr="00E376AA">
        <w:rPr>
          <w:lang w:val="en-US"/>
        </w:rPr>
        <w:t>There is no other jurisdiction under the US flag where government business is not conducted in English or where English is not the lingua franca in the daily lives of the citizenship. US Census figures show that the mother tongue of 99% of Puerto Rico’s inhabitants is Spanish and that no more than 25% of them can be considered truly bilingual</w:t>
      </w:r>
      <w:r>
        <w:rPr>
          <w:lang w:val="en-US"/>
        </w:rPr>
        <w:t>.</w:t>
      </w:r>
      <w:r w:rsidRPr="00E376AA">
        <w:rPr>
          <w:lang w:val="en-US"/>
        </w:rPr>
        <w:t xml:space="preserve"> (</w:t>
      </w:r>
      <w:r>
        <w:rPr>
          <w:lang w:val="en-US"/>
        </w:rPr>
        <w:t>Álvarez González, 2009b)</w:t>
      </w:r>
    </w:p>
    <w:p w:rsidR="00B015EE" w:rsidRPr="00795691" w:rsidRDefault="00B015EE" w:rsidP="00B015EE">
      <w:pPr>
        <w:spacing w:line="240" w:lineRule="auto"/>
        <w:rPr>
          <w:lang w:val="es-ES_tradnl"/>
        </w:rPr>
      </w:pPr>
    </w:p>
    <w:p w:rsidR="00B015EE" w:rsidRPr="00795691" w:rsidRDefault="00BE7185" w:rsidP="00B015EE">
      <w:pPr>
        <w:pStyle w:val="Heading2"/>
        <w:ind w:left="426" w:hanging="426"/>
        <w:jc w:val="both"/>
        <w:rPr>
          <w:lang w:val="es-ES_tradnl"/>
        </w:rPr>
      </w:pPr>
      <w:bookmarkStart w:id="22" w:name="_Toc384769724"/>
      <w:r>
        <w:rPr>
          <w:lang w:val="es-ES_tradnl"/>
        </w:rPr>
        <w:t>Conclusiones</w:t>
      </w:r>
      <w:bookmarkEnd w:id="22"/>
    </w:p>
    <w:p w:rsidR="00B015EE" w:rsidRDefault="00B015EE" w:rsidP="00B015EE">
      <w:pPr>
        <w:spacing w:line="240" w:lineRule="auto"/>
        <w:rPr>
          <w:lang w:val="es-ES_tradnl"/>
        </w:rPr>
      </w:pPr>
    </w:p>
    <w:p w:rsidR="00B015EE" w:rsidRDefault="00B015EE" w:rsidP="00B015EE">
      <w:pPr>
        <w:rPr>
          <w:lang w:val="es-ES_tradnl"/>
        </w:rPr>
      </w:pPr>
      <w:r w:rsidRPr="00795691">
        <w:rPr>
          <w:lang w:val="es-ES_tradnl"/>
        </w:rPr>
        <w:t>E</w:t>
      </w:r>
      <w:r>
        <w:rPr>
          <w:lang w:val="es-ES_tradnl"/>
        </w:rPr>
        <w:t>s e</w:t>
      </w:r>
      <w:r w:rsidRPr="00795691">
        <w:rPr>
          <w:lang w:val="es-ES_tradnl"/>
        </w:rPr>
        <w:t>n este escenario político e institucional del Congreso donde se ubica constitucionalmente la resolución del prob</w:t>
      </w:r>
      <w:r>
        <w:rPr>
          <w:lang w:val="es-ES_tradnl"/>
        </w:rPr>
        <w:t xml:space="preserve">lema del estatus. Ello, como </w:t>
      </w:r>
      <w:r w:rsidRPr="00795691">
        <w:rPr>
          <w:lang w:val="es-ES_tradnl"/>
        </w:rPr>
        <w:t>debe suponer</w:t>
      </w:r>
      <w:r>
        <w:rPr>
          <w:lang w:val="es-ES_tradnl"/>
        </w:rPr>
        <w:t>se</w:t>
      </w:r>
      <w:r w:rsidRPr="00795691">
        <w:rPr>
          <w:lang w:val="es-ES_tradnl"/>
        </w:rPr>
        <w:t xml:space="preserve">, le impone retos enormes al pueblo de Puerto Rico en su </w:t>
      </w:r>
      <w:r>
        <w:rPr>
          <w:lang w:val="es-ES_tradnl"/>
        </w:rPr>
        <w:t>empeño</w:t>
      </w:r>
      <w:r w:rsidRPr="00795691">
        <w:rPr>
          <w:lang w:val="es-ES_tradnl"/>
        </w:rPr>
        <w:t xml:space="preserve"> por darle continuidad a los esfuerzos de autodeterminación que todavía </w:t>
      </w:r>
      <w:r w:rsidRPr="00A5077A">
        <w:t>han concluido</w:t>
      </w:r>
      <w:r w:rsidRPr="00805391">
        <w:t xml:space="preserve"> </w:t>
      </w:r>
      <w:r>
        <w:rPr>
          <w:lang w:val="es-ES_tradnl"/>
        </w:rPr>
        <w:t>en pleno siglo XXI.</w:t>
      </w:r>
    </w:p>
    <w:p w:rsidR="00B015EE" w:rsidRPr="00A5077A" w:rsidRDefault="00B015EE" w:rsidP="00B015EE">
      <w:r w:rsidRPr="00A5077A">
        <w:t>En Estados Unidos no parece existir, al momento, un consenso político o académico suficiente para encaminar a corto plazo una alteración exitosa de un cambio del marco jurídico-político de la relación entre Puerto Rico y Estados Unidos. La intensa polarización política interna de Estados Unidos afecta a Puerto Rico de forma directa. En este contexto</w:t>
      </w:r>
      <w:r>
        <w:t>,</w:t>
      </w:r>
      <w:r w:rsidRPr="00A5077A">
        <w:t xml:space="preserve"> es prácticamente imposible impulsar una estrategia partidista dirigida a la alteración del </w:t>
      </w:r>
      <w:r>
        <w:t>e</w:t>
      </w:r>
      <w:r w:rsidRPr="00A5077A">
        <w:t>status político presente.</w:t>
      </w:r>
    </w:p>
    <w:p w:rsidR="00B015EE" w:rsidRPr="00A5077A" w:rsidRDefault="00B015EE" w:rsidP="00B015EE">
      <w:r w:rsidRPr="00A5077A">
        <w:t xml:space="preserve">La situación se complica por la intersección entre </w:t>
      </w:r>
      <w:r>
        <w:t xml:space="preserve">la </w:t>
      </w:r>
      <w:r w:rsidRPr="00A5077A">
        <w:t xml:space="preserve">crisis fiscal y la consideración de nuevas iniciativas de </w:t>
      </w:r>
      <w:r>
        <w:t>e</w:t>
      </w:r>
      <w:r w:rsidRPr="00A5077A">
        <w:t>status. La percepción dominante, que se proyecta en la prensa de Estados Unidos</w:t>
      </w:r>
      <w:r>
        <w:t xml:space="preserve">, es que la crisis fiscal es fruto </w:t>
      </w:r>
      <w:r w:rsidRPr="00A5077A">
        <w:t>de incapacidad administrativa de parte de la administración político</w:t>
      </w:r>
      <w:r>
        <w:t>-</w:t>
      </w:r>
      <w:r w:rsidRPr="00A5077A">
        <w:t>partidista del ELA</w:t>
      </w:r>
      <w:r>
        <w:t>,</w:t>
      </w:r>
      <w:r w:rsidRPr="00A5077A">
        <w:t xml:space="preserve"> junto con ciertas exenciones de impuestos que llevaron a los inversores estadounidenses a tomar unos riesgos exagerados. En </w:t>
      </w:r>
      <w:r>
        <w:t>la información</w:t>
      </w:r>
      <w:r w:rsidRPr="00A5077A">
        <w:t xml:space="preserve"> examinada se enfatiza mucho más el primer factor que el segundo. Atender los problemas que subyacen esa percepción, así como la percepción misma, debería ser una prioridad del Gobierno de Puerto Rico.</w:t>
      </w:r>
    </w:p>
    <w:p w:rsidR="00B015EE" w:rsidRPr="00A5077A" w:rsidRDefault="00B015EE" w:rsidP="00B015EE">
      <w:r w:rsidRPr="00A5077A">
        <w:t>Varios de los  artículos que han aparecido en la prensa estadounidense e internacional sobre Puerto Rico, sin embargo, distorsionan la situación al afirmar cómo alguno</w:t>
      </w:r>
      <w:r>
        <w:t>s</w:t>
      </w:r>
      <w:r w:rsidRPr="00A5077A">
        <w:t xml:space="preserve"> de los problemas señalados, como el tráfico ilegal </w:t>
      </w:r>
      <w:r>
        <w:t xml:space="preserve">de drogas que entra a la Isla, </w:t>
      </w:r>
      <w:r w:rsidRPr="00A5077A">
        <w:t xml:space="preserve">son responsabilidad principal del </w:t>
      </w:r>
      <w:r>
        <w:t>G</w:t>
      </w:r>
      <w:r w:rsidRPr="00A5077A">
        <w:t xml:space="preserve">obierno </w:t>
      </w:r>
      <w:r>
        <w:t>de Puerto Rico. En esos ensayos</w:t>
      </w:r>
      <w:r w:rsidRPr="00A5077A">
        <w:t xml:space="preserve"> tampoco se enfatiza la baja participación laboral</w:t>
      </w:r>
      <w:r>
        <w:t>,</w:t>
      </w:r>
      <w:r w:rsidRPr="00A5077A">
        <w:t xml:space="preserve"> sin atarla a la falta de oportunidades de empleo vinculadas a </w:t>
      </w:r>
      <w:r>
        <w:t>ciertas políticas públicas</w:t>
      </w:r>
      <w:r w:rsidRPr="00A5077A">
        <w:t xml:space="preserve"> de E</w:t>
      </w:r>
      <w:r>
        <w:t xml:space="preserve">stados </w:t>
      </w:r>
      <w:r w:rsidRPr="00A5077A">
        <w:t>U</w:t>
      </w:r>
      <w:r>
        <w:t>nidos</w:t>
      </w:r>
      <w:r w:rsidRPr="00A5077A">
        <w:t xml:space="preserve"> que han impactado, de forma especialmente negativa, a Puerto Rico.   </w:t>
      </w:r>
    </w:p>
    <w:p w:rsidR="00B015EE" w:rsidRPr="00A5077A" w:rsidRDefault="00B015EE" w:rsidP="00B015EE">
      <w:r w:rsidRPr="00A5077A">
        <w:t xml:space="preserve">Esta percepción de una administración pública </w:t>
      </w:r>
      <w:r>
        <w:t>de la Isla</w:t>
      </w:r>
      <w:r w:rsidRPr="00A5077A">
        <w:t xml:space="preserve"> de baja calidad, involucrada en una lucha de </w:t>
      </w:r>
      <w:r>
        <w:t>estatus interminable</w:t>
      </w:r>
      <w:r w:rsidRPr="00A5077A">
        <w:t xml:space="preserve"> y comprometida con la satisfacción de presiones políticas de corto plazo, junto a problemas endémicos de baja participación laboral, corrupción y malgasto de fondos federales</w:t>
      </w:r>
      <w:r>
        <w:t>,</w:t>
      </w:r>
      <w:r w:rsidRPr="00A5077A">
        <w:t xml:space="preserve"> le ha creado una imagen negativa a Puerto Rico. Ello ignora muchas de las ventajas competitivas de Puerto Rico (</w:t>
      </w:r>
      <w:r w:rsidRPr="00335C72">
        <w:rPr>
          <w:i/>
        </w:rPr>
        <w:t>Federal Reserve</w:t>
      </w:r>
      <w:r w:rsidRPr="00A5077A">
        <w:t xml:space="preserve">, 2012) e incide negativamente sobre los esfuerzos de atracción de capital externo. Antes de la degradación por las casas acreditadoras, ya se había producido una especie de “degradación mediática” muy intensa y negativa para los esfuerzos de generar confianza en la toma de decisiones del gobierno. </w:t>
      </w:r>
    </w:p>
    <w:p w:rsidR="00B015EE" w:rsidRPr="00A5077A" w:rsidRDefault="00B015EE" w:rsidP="00B015EE">
      <w:r>
        <w:t>S</w:t>
      </w:r>
      <w:r w:rsidRPr="00A5077A">
        <w:t>e han producido</w:t>
      </w:r>
      <w:r>
        <w:t xml:space="preserve">, sin embargo, </w:t>
      </w:r>
      <w:r w:rsidRPr="00A5077A">
        <w:t xml:space="preserve"> importantes informes y evaluaciones en Estados Unidos que pueden útiles al momento de diseñar políticas públicas alternativas. La necesidad de que el Gobierno del ELA utilice de forma eficiente y maximice el uso de los fondos federales que ya recibe es un elemento común de varios de los informes consultados. También se recomienda insistentemente el prestar atención especial a la creación de empleos en el marco de una revisión de los incentivos existentes para su creación y el efecto adverso de </w:t>
      </w:r>
      <w:r>
        <w:t>ciertas</w:t>
      </w:r>
      <w:r w:rsidRPr="00A5077A">
        <w:t xml:space="preserve"> transferencias federales </w:t>
      </w:r>
      <w:r>
        <w:t xml:space="preserve">no atadas al trabajo </w:t>
      </w:r>
      <w:r w:rsidRPr="00A5077A">
        <w:t>en dicho contexto (</w:t>
      </w:r>
      <w:r w:rsidRPr="00EC16BB">
        <w:rPr>
          <w:i/>
        </w:rPr>
        <w:t>Federal Reserve</w:t>
      </w:r>
      <w:r w:rsidRPr="00A5077A">
        <w:t>, 2012). Reconocer esta realidad es muy importante mientras el Gobierno de Puerto Rico toma medidas que se perfilen como generadoras de un escenario de cambio positivo</w:t>
      </w:r>
      <w:r>
        <w:t>, y promuevan una ética de trabajo y el empresarismo (Rivera Ortiz, 2007, 308, 277)</w:t>
      </w:r>
      <w:r w:rsidRPr="00A5077A">
        <w:t xml:space="preserve">. </w:t>
      </w:r>
    </w:p>
    <w:p w:rsidR="00B015EE" w:rsidRPr="00A5077A" w:rsidRDefault="00B015EE" w:rsidP="00B015EE">
      <w:r w:rsidRPr="00A5077A">
        <w:t xml:space="preserve">Debe considerarse, seriamente, la convocatoria de una comisión no partidista de alto nivel que considere varios de los aspectos de política pública que intervienen en la creación de los factores que han provocado  la crisis. La posibilidad de que el Gobierno </w:t>
      </w:r>
      <w:r>
        <w:t>F</w:t>
      </w:r>
      <w:r w:rsidRPr="00A5077A">
        <w:t>ederal sea uno de los agentes p</w:t>
      </w:r>
      <w:r>
        <w:t xml:space="preserve">romotores de esa iniciativa en Puerto Rico </w:t>
      </w:r>
      <w:r w:rsidRPr="00A5077A">
        <w:t>debe de considerarse seriamente.</w:t>
      </w:r>
      <w:r>
        <w:t xml:space="preserve"> Esa idea s</w:t>
      </w:r>
      <w:r w:rsidRPr="00A5077A">
        <w:t>e present</w:t>
      </w:r>
      <w:r>
        <w:t>ó</w:t>
      </w:r>
      <w:r w:rsidRPr="00A5077A">
        <w:t xml:space="preserve"> recientemente en el </w:t>
      </w:r>
      <w:r w:rsidRPr="00EC16BB">
        <w:rPr>
          <w:i/>
        </w:rPr>
        <w:t>Center for Strategic and International Studies</w:t>
      </w:r>
      <w:r w:rsidRPr="00A5077A">
        <w:t xml:space="preserve"> en Washington (Villamil, 2014, 18). El Congreso también debería considerar el reconocimiento de la asamblea constitucional de </w:t>
      </w:r>
      <w:r>
        <w:t>e</w:t>
      </w:r>
      <w:r w:rsidRPr="00A5077A">
        <w:t>status como ente negociador en un proceso serio e inclusivo. Ambos procesos no son excluyentes y pueden articularse paralelamente.</w:t>
      </w:r>
    </w:p>
    <w:p w:rsidR="00B015EE" w:rsidRPr="00A5077A" w:rsidRDefault="00B015EE" w:rsidP="00B015EE">
      <w:r w:rsidRPr="00A5077A">
        <w:t>Dicha recomendación va dirigida a fortale</w:t>
      </w:r>
      <w:r>
        <w:t>cer las llamadas “políticas de E</w:t>
      </w:r>
      <w:r w:rsidRPr="00A5077A">
        <w:t>stado” que se resisten al embate de los cambios de gobierno de naturaleza político</w:t>
      </w:r>
      <w:r>
        <w:t>-partidista. Específicamente</w:t>
      </w:r>
      <w:r w:rsidRPr="00A5077A">
        <w:t xml:space="preserve">, se deben considerar, en este marco, medidas dirigidas a ampliar el marco de acción gubernamental que abaraten los costos de la entrada de mercancías y que permitan una mayor participación de la Isla en procesos de naturaleza internacional (Char, 2013). También se deben atender las recomendaciones del </w:t>
      </w:r>
      <w:r w:rsidRPr="00EC16BB">
        <w:rPr>
          <w:i/>
        </w:rPr>
        <w:t>Federal Reserve Board</w:t>
      </w:r>
      <w:r w:rsidRPr="00A5077A">
        <w:t xml:space="preserve"> de Nueva York para mejorar la competitividad económica de la Isla (</w:t>
      </w:r>
      <w:r w:rsidRPr="00EC16BB">
        <w:rPr>
          <w:i/>
        </w:rPr>
        <w:t>Federal Reserve</w:t>
      </w:r>
      <w:r w:rsidRPr="00A5077A">
        <w:t>, 2012).</w:t>
      </w:r>
    </w:p>
    <w:p w:rsidR="00B015EE" w:rsidRDefault="00B015EE" w:rsidP="00B015EE">
      <w:pPr>
        <w:rPr>
          <w:lang w:val="es-ES_tradnl"/>
        </w:rPr>
      </w:pPr>
      <w:r w:rsidRPr="00795691">
        <w:rPr>
          <w:lang w:val="es-ES_tradnl"/>
        </w:rPr>
        <w:t>El Congreso ha manifestado múltiples veces su reticencia a atender de forma comprensiva y prioritaria el tema de la evolución de las relaciones políticas entre Puerto Rico y Estados Unidos</w:t>
      </w:r>
      <w:r>
        <w:rPr>
          <w:lang w:val="es-ES_tradnl"/>
        </w:rPr>
        <w:t>,</w:t>
      </w:r>
      <w:r w:rsidRPr="00795691">
        <w:rPr>
          <w:lang w:val="es-ES_tradnl"/>
        </w:rPr>
        <w:t xml:space="preserve"> optando en vez por remedios parciales y de corto p</w:t>
      </w:r>
      <w:r>
        <w:rPr>
          <w:lang w:val="es-ES_tradnl"/>
        </w:rPr>
        <w:t xml:space="preserve">lazo. </w:t>
      </w:r>
      <w:r w:rsidRPr="00A5077A">
        <w:t>En este sentido, el Gob</w:t>
      </w:r>
      <w:r>
        <w:t>ierno de Estados Unidos tampoco</w:t>
      </w:r>
      <w:r w:rsidRPr="00A5077A">
        <w:t xml:space="preserve"> ha ejercido la función que le corresponde de ayudar a des</w:t>
      </w:r>
      <w:r>
        <w:t>a</w:t>
      </w:r>
      <w:r w:rsidRPr="00A5077A">
        <w:t>t</w:t>
      </w:r>
      <w:r>
        <w:t>as</w:t>
      </w:r>
      <w:r w:rsidRPr="00A5077A">
        <w:t>car el escenario altamente polarizado y divisivo en que se conducen las discusiones de política pública en Puerto Rico</w:t>
      </w:r>
      <w:r>
        <w:t>,</w:t>
      </w:r>
      <w:r w:rsidRPr="00A5077A">
        <w:t xml:space="preserve"> y que limitan las capacidades del Gobierno de planificar a largo plazo.</w:t>
      </w:r>
    </w:p>
    <w:p w:rsidR="00B015EE" w:rsidRPr="00795691" w:rsidRDefault="00B015EE" w:rsidP="00B015EE">
      <w:pPr>
        <w:rPr>
          <w:lang w:val="es-ES_tradnl"/>
        </w:rPr>
      </w:pPr>
      <w:r w:rsidRPr="00A5077A">
        <w:t xml:space="preserve">La crisis fiscal presente no necesariamente altera el cuadro anterior, sobre todo si una nueva ronda de </w:t>
      </w:r>
      <w:r>
        <w:t>e</w:t>
      </w:r>
      <w:r w:rsidRPr="00A5077A">
        <w:t xml:space="preserve">status enciende las pasiones partidistas, proyectando un escenario de división y de dinámicas políticas de cero-suma. </w:t>
      </w:r>
      <w:r w:rsidRPr="00795691">
        <w:rPr>
          <w:lang w:val="es-ES_tradnl"/>
        </w:rPr>
        <w:t>Ello sugiere como</w:t>
      </w:r>
      <w:r>
        <w:rPr>
          <w:lang w:val="es-ES_tradnl"/>
        </w:rPr>
        <w:t xml:space="preserve"> </w:t>
      </w:r>
      <w:r w:rsidRPr="00795691">
        <w:rPr>
          <w:lang w:val="es-ES_tradnl"/>
        </w:rPr>
        <w:t>inaplazable el desarrollo de nuevos mecanismos de consulta y negociación entre Puerto Rico y Estados Unidos sobre asuntos que inciden en el contenido de las relaciones políticas</w:t>
      </w:r>
      <w:r>
        <w:rPr>
          <w:lang w:val="es-ES_tradnl"/>
        </w:rPr>
        <w:t>,</w:t>
      </w:r>
      <w:r w:rsidRPr="00795691">
        <w:rPr>
          <w:lang w:val="es-ES_tradnl"/>
        </w:rPr>
        <w:t xml:space="preserve"> como en temas de desarrollo y calidad de vida. E</w:t>
      </w:r>
      <w:r>
        <w:rPr>
          <w:lang w:val="es-ES_tradnl"/>
        </w:rPr>
        <w:t>st</w:t>
      </w:r>
      <w:r w:rsidRPr="00795691">
        <w:rPr>
          <w:lang w:val="es-ES_tradnl"/>
        </w:rPr>
        <w:t>o parecería una condición necesaria para adelantar la agenda de estatus de forma constructiva.</w:t>
      </w:r>
      <w:r>
        <w:rPr>
          <w:lang w:val="es-ES_tradnl"/>
        </w:rPr>
        <w:t xml:space="preserve"> </w:t>
      </w:r>
      <w:r w:rsidRPr="00A5077A">
        <w:t>Los procesos llevados a cabo entre 1989 y 1991, si bien no fueron perfectos, pueden ofrecer claves importantes sobre cómo reactivar la consideración seria de las opciones políticas futuras de Puerto Rico.</w:t>
      </w:r>
    </w:p>
    <w:p w:rsidR="00B015EE" w:rsidRPr="00795691" w:rsidRDefault="00B015EE" w:rsidP="00B015EE">
      <w:pPr>
        <w:rPr>
          <w:lang w:val="es-ES_tradnl"/>
        </w:rPr>
      </w:pPr>
      <w:r w:rsidRPr="00795691">
        <w:rPr>
          <w:lang w:val="es-ES_tradnl"/>
        </w:rPr>
        <w:t xml:space="preserve">El Gobierno de Puerto Rico debe explorar formas de lograr consensos procesales en materia de estatus que permitan la elaboración de criterios mínimos sobre el procedimiento a seguir en materia </w:t>
      </w:r>
      <w:r>
        <w:rPr>
          <w:lang w:val="es-ES_tradnl"/>
        </w:rPr>
        <w:t xml:space="preserve">de relaciones entre Estados Unidos y </w:t>
      </w:r>
      <w:r w:rsidRPr="00A5077A">
        <w:t>Puerto Rico</w:t>
      </w:r>
      <w:r w:rsidRPr="00795691">
        <w:rPr>
          <w:lang w:val="es-ES_tradnl"/>
        </w:rPr>
        <w:t>. La asamblea constitucional de estatus</w:t>
      </w:r>
      <w:r>
        <w:rPr>
          <w:lang w:val="es-ES_tradnl"/>
        </w:rPr>
        <w:t xml:space="preserve">, conceptualmente al menos, </w:t>
      </w:r>
      <w:r w:rsidRPr="00795691">
        <w:rPr>
          <w:lang w:val="es-ES_tradnl"/>
        </w:rPr>
        <w:t>es una opción que se debe considerar con mucho cuidado y discernimiento en consulta con los partidos políticos de Puerto Rico</w:t>
      </w:r>
      <w:r>
        <w:rPr>
          <w:lang w:val="es-ES_tradnl"/>
        </w:rPr>
        <w:t xml:space="preserve"> y con el liderato cívico. E</w:t>
      </w:r>
      <w:r w:rsidRPr="00795691">
        <w:rPr>
          <w:lang w:val="es-ES_tradnl"/>
        </w:rPr>
        <w:t>s un mecanismo que, como han reconocido algunos informes del Congreso, permite la discusión del problema desde una perspectiva amplia y permite continuidad en el tiempo</w:t>
      </w:r>
      <w:r>
        <w:rPr>
          <w:lang w:val="es-ES_tradnl"/>
        </w:rPr>
        <w:t xml:space="preserve"> (Trías Monge, 1999, 229-255)</w:t>
      </w:r>
      <w:r w:rsidRPr="00795691">
        <w:rPr>
          <w:lang w:val="es-ES_tradnl"/>
        </w:rPr>
        <w:t xml:space="preserve">. </w:t>
      </w:r>
      <w:r>
        <w:t>Actualmente</w:t>
      </w:r>
      <w:r w:rsidRPr="00A5077A">
        <w:t xml:space="preserve"> existen varios proyectos de ley bajo consideración en la Legislatura de Puerto Rico</w:t>
      </w:r>
      <w:r>
        <w:t>,</w:t>
      </w:r>
      <w:r w:rsidRPr="00A5077A">
        <w:t xml:space="preserve"> y parecería  posible reconciliar las diferencias entre las varias propuestas sobre la mesa del legislativo.</w:t>
      </w:r>
    </w:p>
    <w:p w:rsidR="00B015EE" w:rsidRDefault="00B015EE" w:rsidP="00B015EE">
      <w:pPr>
        <w:rPr>
          <w:lang w:val="es-ES_tradnl"/>
        </w:rPr>
      </w:pPr>
      <w:r>
        <w:rPr>
          <w:lang w:val="es-ES_tradnl"/>
        </w:rPr>
        <w:t>Ahora e</w:t>
      </w:r>
      <w:r w:rsidRPr="00795691">
        <w:rPr>
          <w:lang w:val="es-ES_tradnl"/>
        </w:rPr>
        <w:t xml:space="preserve">s un momento </w:t>
      </w:r>
      <w:r>
        <w:rPr>
          <w:lang w:val="es-ES_tradnl"/>
        </w:rPr>
        <w:t>propicio</w:t>
      </w:r>
      <w:r w:rsidRPr="00795691">
        <w:rPr>
          <w:lang w:val="es-ES_tradnl"/>
        </w:rPr>
        <w:t xml:space="preserve"> para buscar medidas de conciliación que permitan explorar las opciones sustantivas de Puerto Rico en un marco de reglas de juego </w:t>
      </w:r>
      <w:r w:rsidRPr="00A5077A">
        <w:t>claramente</w:t>
      </w:r>
      <w:r w:rsidRPr="00795691">
        <w:rPr>
          <w:lang w:val="es-ES_tradnl"/>
        </w:rPr>
        <w:t xml:space="preserve"> acordadas por todos los actores interesados. Puerto Rico </w:t>
      </w:r>
      <w:r>
        <w:rPr>
          <w:lang w:val="es-ES_tradnl"/>
        </w:rPr>
        <w:t xml:space="preserve">no </w:t>
      </w:r>
      <w:r w:rsidRPr="00A5077A">
        <w:t>se beneficia</w:t>
      </w:r>
      <w:r w:rsidRPr="00F71EB3">
        <w:t xml:space="preserve"> </w:t>
      </w:r>
      <w:r w:rsidRPr="00795691">
        <w:rPr>
          <w:lang w:val="es-ES_tradnl"/>
        </w:rPr>
        <w:t>de la celebración de nuevas consultas electorales que confirmen las diferencias entre la población sobre este tema</w:t>
      </w:r>
      <w:r>
        <w:rPr>
          <w:lang w:val="es-ES_tradnl"/>
        </w:rPr>
        <w:t>,</w:t>
      </w:r>
      <w:r w:rsidRPr="00795691">
        <w:rPr>
          <w:lang w:val="es-ES_tradnl"/>
        </w:rPr>
        <w:t xml:space="preserve"> y que envían el mensaje de que Puerto Rico no manifiesta capacidad para una acción coherente y ajustada a la gravedad del momento económico y fiscal que experimenta la Isla. </w:t>
      </w:r>
    </w:p>
    <w:p w:rsidR="00B015EE" w:rsidRPr="00795691" w:rsidRDefault="00B015EE" w:rsidP="00B015EE">
      <w:pPr>
        <w:rPr>
          <w:lang w:val="es-ES_tradnl"/>
        </w:rPr>
      </w:pPr>
    </w:p>
    <w:p w:rsidR="00B015EE" w:rsidRDefault="00B015EE" w:rsidP="00B015EE">
      <w:pPr>
        <w:pStyle w:val="Heading2"/>
        <w:numPr>
          <w:ilvl w:val="0"/>
          <w:numId w:val="0"/>
        </w:numPr>
        <w:ind w:left="360"/>
      </w:pPr>
      <w:bookmarkStart w:id="23" w:name="_Toc384769725"/>
      <w:r w:rsidRPr="004E58D5">
        <w:t>Referencias</w:t>
      </w:r>
      <w:bookmarkEnd w:id="23"/>
      <w:r w:rsidRPr="004E58D5">
        <w:t xml:space="preserve"> </w:t>
      </w:r>
    </w:p>
    <w:p w:rsidR="00B015EE" w:rsidRPr="00CE3B9D" w:rsidRDefault="00B015EE" w:rsidP="00B015EE"/>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Alexandrino, D., &amp; Shoitchet, C. (2012, 06 de Diciembre). </w:t>
      </w:r>
      <w:r>
        <w:rPr>
          <w:rFonts w:eastAsia="Times New Roman"/>
          <w:szCs w:val="24"/>
          <w:lang w:val="en-US"/>
        </w:rPr>
        <w:t>White house weighs in on Puerto R</w:t>
      </w:r>
      <w:r w:rsidRPr="005B5FEE">
        <w:rPr>
          <w:rFonts w:eastAsia="Times New Roman"/>
          <w:szCs w:val="24"/>
          <w:lang w:val="en-US"/>
        </w:rPr>
        <w:t xml:space="preserve">ican statehood vote. </w:t>
      </w:r>
      <w:r w:rsidRPr="00BD682C">
        <w:rPr>
          <w:rFonts w:eastAsia="Times New Roman"/>
          <w:szCs w:val="24"/>
        </w:rPr>
        <w:t>Recuperado de http://edition.cnn.com/2012/12/05/politics/puerto-rico-statehood</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Alegría, I. (1982).</w:t>
      </w:r>
      <w:r w:rsidRPr="00BD682C">
        <w:rPr>
          <w:rFonts w:eastAsia="Times New Roman"/>
          <w:szCs w:val="24"/>
        </w:rPr>
        <w:t xml:space="preserve"> </w:t>
      </w:r>
      <w:r w:rsidRPr="0034433C">
        <w:rPr>
          <w:rFonts w:eastAsia="Times New Roman"/>
          <w:i/>
          <w:szCs w:val="24"/>
        </w:rPr>
        <w:t>La Comisión del Status de Puerto Rico: su historia y significación</w:t>
      </w:r>
      <w:r w:rsidRPr="00BD682C">
        <w:rPr>
          <w:rFonts w:eastAsia="Times New Roman"/>
          <w:szCs w:val="24"/>
        </w:rPr>
        <w:t>. San Juan: Editorial Universitaria, Universidad de Puerto Rico.</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BD682C">
        <w:rPr>
          <w:rFonts w:eastAsia="Times New Roman"/>
          <w:szCs w:val="24"/>
        </w:rPr>
        <w:t xml:space="preserve">Aleinikoff, T. A. (2002). </w:t>
      </w:r>
      <w:r w:rsidRPr="008A783C">
        <w:rPr>
          <w:rFonts w:eastAsia="Times New Roman"/>
          <w:szCs w:val="24"/>
          <w:lang w:val="en-US"/>
        </w:rPr>
        <w:t>Semblances of sovereignty: The Consti</w:t>
      </w:r>
      <w:r w:rsidRPr="005B5FEE">
        <w:rPr>
          <w:rFonts w:eastAsia="Times New Roman"/>
          <w:szCs w:val="24"/>
          <w:lang w:val="en-US"/>
        </w:rPr>
        <w:t xml:space="preserve">tution, the state, and American citizenship. </w:t>
      </w:r>
      <w:r w:rsidRPr="00E846B9">
        <w:rPr>
          <w:rFonts w:eastAsia="Times New Roman"/>
          <w:szCs w:val="24"/>
          <w:lang w:val="es-ES"/>
        </w:rPr>
        <w:t>Cambridge: Harvard University Press.</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Álvarez González, J. (1988). “La protección de los derechos humanos en Puerto Rico”. Revista Jurídica de la Univers</w:t>
      </w:r>
      <w:r>
        <w:rPr>
          <w:rFonts w:eastAsia="Times New Roman"/>
          <w:szCs w:val="24"/>
        </w:rPr>
        <w:t>idad de Puerto Rico,</w:t>
      </w:r>
      <w:r w:rsidRPr="00BD682C">
        <w:rPr>
          <w:rFonts w:eastAsia="Times New Roman"/>
          <w:szCs w:val="24"/>
        </w:rPr>
        <w:t xml:space="preserve"> 57 (133).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3D1A30"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Álvarez González, J. (2009). Derecho Constitucional de Puerto Rico y Relaciones Constitucionales con Estados Unidos: Casos y Materiales. </w:t>
      </w:r>
      <w:r w:rsidRPr="003D1A30">
        <w:rPr>
          <w:rFonts w:eastAsia="Times New Roman"/>
          <w:szCs w:val="24"/>
          <w:lang w:val="en-US"/>
        </w:rPr>
        <w:t xml:space="preserve">Bogotá: Editorial Temis. </w:t>
      </w:r>
    </w:p>
    <w:p w:rsidR="00B015EE" w:rsidRPr="003D1A30"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3D1A30">
        <w:rPr>
          <w:rFonts w:eastAsia="Times New Roman"/>
          <w:szCs w:val="24"/>
          <w:lang w:val="en-US"/>
        </w:rPr>
        <w:t xml:space="preserve">Álvarez González, J. (2009b). Puerto Rico’s position within the United States System of Government. </w:t>
      </w:r>
      <w:r>
        <w:rPr>
          <w:rFonts w:eastAsia="Times New Roman"/>
          <w:szCs w:val="24"/>
        </w:rPr>
        <w:t>International Journal of Legal Informarion 37:2.</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Álvarez Rivera, M. (2012). Elecciones Puerto Rico. Recuperado de http://electionspuertorico.org/2012/voto.consulta.php</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EC5C42">
        <w:rPr>
          <w:rFonts w:eastAsia="Times New Roman"/>
          <w:szCs w:val="24"/>
          <w:lang w:val="es-ES"/>
        </w:rPr>
        <w:t xml:space="preserve">Aron, N. Cohen, L. (2013, 21 de enero). </w:t>
      </w:r>
      <w:r w:rsidRPr="005B5FEE">
        <w:rPr>
          <w:rFonts w:eastAsia="Times New Roman"/>
          <w:szCs w:val="24"/>
          <w:lang w:val="en-US"/>
        </w:rPr>
        <w:t xml:space="preserve">“Ending Congressional Gridlock Requires Curbing Abuse of the Filibuster”. </w:t>
      </w:r>
      <w:r w:rsidRPr="00BD682C">
        <w:rPr>
          <w:rFonts w:eastAsia="Times New Roman"/>
          <w:szCs w:val="24"/>
        </w:rPr>
        <w:t xml:space="preserve">Recuperado de </w:t>
      </w:r>
      <w:hyperlink r:id="rId11" w:history="1">
        <w:r w:rsidRPr="00BD682C">
          <w:rPr>
            <w:rFonts w:eastAsia="Times New Roman"/>
            <w:szCs w:val="24"/>
          </w:rPr>
          <w:t>http://www.huffingtonpost.com/nan-aron/congressional-gridlock_b_2443098.html</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Asamblea Legislativa de Puerto Rico (R. Conc. del S. 24). Recuperado de </w:t>
      </w:r>
      <w:hyperlink r:id="rId12" w:history="1">
        <w:r w:rsidRPr="00BD682C">
          <w:rPr>
            <w:rFonts w:eastAsia="Times New Roman"/>
            <w:szCs w:val="24"/>
          </w:rPr>
          <w:t>http://prfaa.pr.gov/espanol/noticias/wp-content/uploads/2013/05/Resolucion-Concurrente-24.pdf</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Ayala, C. J., Bernabe, R. (2007). </w:t>
      </w:r>
      <w:r w:rsidRPr="005B5FEE">
        <w:rPr>
          <w:rFonts w:eastAsia="Times New Roman"/>
          <w:szCs w:val="24"/>
          <w:lang w:val="en-US"/>
        </w:rPr>
        <w:t>Puerto Rico in the American Century: A History since 1898. Chapel Hill: University of North Carolina Press.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Baker, R.K. (2001) House and Senate, </w:t>
      </w:r>
      <w:r>
        <w:rPr>
          <w:rFonts w:eastAsia="Times New Roman"/>
          <w:szCs w:val="24"/>
          <w:lang w:val="en-US"/>
        </w:rPr>
        <w:t xml:space="preserve">New York: </w:t>
      </w:r>
      <w:r w:rsidRPr="005B5FEE">
        <w:rPr>
          <w:rFonts w:eastAsia="Times New Roman"/>
          <w:szCs w:val="24"/>
          <w:lang w:val="en-US"/>
        </w:rPr>
        <w:t>WW Norton.</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28468B"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28468B">
        <w:rPr>
          <w:rFonts w:eastAsia="Times New Roman"/>
          <w:szCs w:val="24"/>
        </w:rPr>
        <w:t xml:space="preserve">Balzac v. Porto Rico, 258 US 298 (1922)  </w:t>
      </w:r>
    </w:p>
    <w:p w:rsidR="00B015EE" w:rsidRPr="0028468B"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Barreto, A. (2001). The politics of language in Puerto Rico. Gainesville: U</w:t>
      </w:r>
      <w:r>
        <w:rPr>
          <w:rFonts w:eastAsia="Times New Roman"/>
          <w:szCs w:val="24"/>
          <w:lang w:val="en-US"/>
        </w:rPr>
        <w:t>niversity Press of Florida</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lang w:val="en-US"/>
        </w:rPr>
        <w:t>Barron L. (2013,</w:t>
      </w:r>
      <w:r w:rsidRPr="0010737F">
        <w:rPr>
          <w:rFonts w:eastAsia="Times New Roman"/>
          <w:szCs w:val="24"/>
          <w:lang w:val="en-US"/>
        </w:rPr>
        <w:t xml:space="preserve"> diciembre</w:t>
      </w:r>
      <w:r>
        <w:rPr>
          <w:rFonts w:eastAsia="Times New Roman"/>
          <w:szCs w:val="24"/>
          <w:lang w:val="en-US"/>
        </w:rPr>
        <w:t xml:space="preserve"> 02</w:t>
      </w:r>
      <w:r w:rsidRPr="0010737F">
        <w:rPr>
          <w:rFonts w:eastAsia="Times New Roman"/>
          <w:szCs w:val="24"/>
          <w:lang w:val="en-US"/>
        </w:rPr>
        <w:t>)</w:t>
      </w:r>
      <w:r w:rsidRPr="005B5FEE">
        <w:rPr>
          <w:rFonts w:eastAsia="Times New Roman"/>
          <w:szCs w:val="24"/>
          <w:lang w:val="en-US"/>
        </w:rPr>
        <w:t xml:space="preserve">. Puerto Rico's Economic Crisis Returns Statehood to Spotlight. </w:t>
      </w:r>
      <w:r w:rsidRPr="00BD682C">
        <w:rPr>
          <w:rFonts w:eastAsia="Times New Roman"/>
          <w:szCs w:val="24"/>
        </w:rPr>
        <w:t xml:space="preserve">Recuperado de </w:t>
      </w:r>
      <w:hyperlink r:id="rId13" w:history="1">
        <w:r w:rsidRPr="00BD682C">
          <w:rPr>
            <w:rFonts w:eastAsia="Times New Roman"/>
            <w:szCs w:val="24"/>
          </w:rPr>
          <w:t>http://www.newsmax.com/US/Puerto-Rico-statehood-crisis/2013/12/02/id/539531</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Bary, A. (201</w:t>
      </w:r>
      <w:r>
        <w:rPr>
          <w:rFonts w:eastAsia="Times New Roman"/>
          <w:szCs w:val="24"/>
          <w:lang w:val="en-US"/>
        </w:rPr>
        <w:t>3,</w:t>
      </w:r>
      <w:r w:rsidRPr="005B5FEE">
        <w:rPr>
          <w:rFonts w:eastAsia="Times New Roman"/>
          <w:szCs w:val="24"/>
          <w:lang w:val="en-US"/>
        </w:rPr>
        <w:t xml:space="preserve"> agosto</w:t>
      </w:r>
      <w:r>
        <w:rPr>
          <w:rFonts w:eastAsia="Times New Roman"/>
          <w:szCs w:val="24"/>
          <w:lang w:val="en-US"/>
        </w:rPr>
        <w:t xml:space="preserve"> 26). “Troubling Winds”. </w:t>
      </w:r>
      <w:r w:rsidRPr="00411B70">
        <w:rPr>
          <w:rFonts w:eastAsia="Times New Roman"/>
          <w:i/>
          <w:szCs w:val="24"/>
          <w:lang w:val="en-US"/>
        </w:rPr>
        <w:t>Barron's</w:t>
      </w:r>
      <w:r w:rsidRPr="005B5FEE">
        <w:rPr>
          <w:rFonts w:eastAsia="Times New Roman"/>
          <w:szCs w:val="24"/>
          <w:lang w:val="en-US"/>
        </w:rPr>
        <w:t xml:space="preserve">. </w:t>
      </w:r>
    </w:p>
    <w:p w:rsidR="00B015EE" w:rsidRDefault="008964A4" w:rsidP="007538AA">
      <w:pPr>
        <w:widowControl w:val="0"/>
        <w:tabs>
          <w:tab w:val="left" w:pos="630"/>
        </w:tabs>
        <w:autoSpaceDE w:val="0"/>
        <w:autoSpaceDN w:val="0"/>
        <w:spacing w:line="240" w:lineRule="auto"/>
        <w:ind w:left="720" w:hanging="720"/>
        <w:jc w:val="left"/>
        <w:rPr>
          <w:rFonts w:eastAsia="Times New Roman"/>
          <w:szCs w:val="24"/>
          <w:lang w:val="en-US"/>
        </w:rPr>
      </w:pPr>
      <w:hyperlink r:id="rId14" w:anchor="articleTabs_article%3D1" w:history="1">
        <w:r w:rsidR="00B015EE" w:rsidRPr="00EC630D">
          <w:rPr>
            <w:rStyle w:val="Hyperlink"/>
            <w:rFonts w:eastAsia="Times New Roman"/>
            <w:szCs w:val="24"/>
            <w:lang w:val="en-US"/>
          </w:rPr>
          <w:t>http://online.barrons.com/article/SB50001424052748704719204579022892632785548.html#articleTabs_article%3D1</w:t>
        </w:r>
      </w:hyperlink>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Baumgartner, F. R., Bryan D. J. (2004).  "Representation and agenda setting." </w:t>
      </w:r>
      <w:r w:rsidRPr="00BF0FFD">
        <w:rPr>
          <w:rFonts w:eastAsia="Times New Roman"/>
          <w:i/>
          <w:szCs w:val="24"/>
          <w:lang w:val="en-US"/>
        </w:rPr>
        <w:t>Policy Studies Journal</w:t>
      </w:r>
      <w:r w:rsidRPr="005B5FEE">
        <w:rPr>
          <w:rFonts w:eastAsia="Times New Roman"/>
          <w:szCs w:val="24"/>
          <w:lang w:val="en-US"/>
        </w:rPr>
        <w:t>, 32(1), 26.</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lang w:val="en-US"/>
        </w:rPr>
        <w:t>Before t</w:t>
      </w:r>
      <w:r w:rsidRPr="005B5FEE">
        <w:rPr>
          <w:rFonts w:eastAsia="Times New Roman"/>
          <w:szCs w:val="24"/>
          <w:lang w:val="en-US"/>
        </w:rPr>
        <w:t>he H.R. 2000: Puerto Rico Status Resolution</w:t>
      </w:r>
      <w:r>
        <w:rPr>
          <w:rFonts w:eastAsia="Times New Roman"/>
          <w:szCs w:val="24"/>
          <w:lang w:val="en-US"/>
        </w:rPr>
        <w:t xml:space="preserve">. </w:t>
      </w:r>
      <w:r w:rsidRPr="006A281F">
        <w:rPr>
          <w:rFonts w:eastAsia="Times New Roman"/>
          <w:szCs w:val="24"/>
        </w:rPr>
        <w:t>Recuperado de http://www.gpo.gov/fdsys/pkg/BILLS-113hr2000ih/pdf/BILLS-113hr2000ih.pdf.</w:t>
      </w:r>
    </w:p>
    <w:p w:rsidR="00B015EE" w:rsidRPr="006244A3"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E846B9">
        <w:rPr>
          <w:rFonts w:eastAsia="Times New Roman"/>
          <w:szCs w:val="24"/>
          <w:lang w:val="es-ES"/>
        </w:rPr>
        <w:t xml:space="preserve">Berríos Martínez, R. (1997). “Puerto Rico's Decolonization”. </w:t>
      </w:r>
      <w:r w:rsidRPr="005B5FEE">
        <w:rPr>
          <w:rFonts w:eastAsia="Times New Roman"/>
          <w:szCs w:val="24"/>
          <w:lang w:val="en-US"/>
        </w:rPr>
        <w:t xml:space="preserve">Foreign Affairs,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November/December 1997.</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Bea, K. Garrett, R. (2010). Political Status of Puerto Rico: Options for Congress. </w:t>
      </w:r>
      <w:r w:rsidRPr="00BD682C">
        <w:rPr>
          <w:rFonts w:eastAsia="Times New Roman"/>
          <w:szCs w:val="24"/>
        </w:rPr>
        <w:t xml:space="preserve">(Congressional Research Service Report RL32933). Recuperado de </w:t>
      </w:r>
      <w:hyperlink r:id="rId15" w:history="1">
        <w:r w:rsidRPr="00BD682C">
          <w:rPr>
            <w:rFonts w:eastAsia="Times New Roman"/>
            <w:szCs w:val="24"/>
          </w:rPr>
          <w:t>http://www.fas.org/sgp/crs/row/RL32933.pdf</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Berríos Martínez, R. (1993). Puerto Rico: Nacionalidad y plebiscito. </w:t>
      </w:r>
      <w:r w:rsidRPr="005B5FEE">
        <w:rPr>
          <w:rFonts w:eastAsia="Times New Roman"/>
          <w:szCs w:val="24"/>
          <w:lang w:val="en-US"/>
        </w:rPr>
        <w:t>Puerto Nuevo: Editorial Libertad, 1993.</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Bhana, S. (1975). The United States and the Development of the Puerto Rican Status Question: 1936–1968. Lawrence: The University Press of Kansas.</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0624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 xml:space="preserve">Biber (2004). </w:t>
      </w:r>
      <w:r w:rsidRPr="000624EE">
        <w:rPr>
          <w:rFonts w:eastAsia="Times New Roman"/>
          <w:szCs w:val="24"/>
          <w:lang w:val="en-US"/>
        </w:rPr>
        <w:t>The Price of Admission: Causes, Effects, and</w:t>
      </w:r>
    </w:p>
    <w:p w:rsidR="00B015EE" w:rsidRPr="00971EB4"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 xml:space="preserve"> </w:t>
      </w:r>
      <w:r w:rsidRPr="000624EE">
        <w:rPr>
          <w:rFonts w:eastAsia="Times New Roman"/>
          <w:szCs w:val="24"/>
          <w:lang w:val="en-US"/>
        </w:rPr>
        <w:t>Patterns of Conditions Imposed on States Entering</w:t>
      </w:r>
      <w:r>
        <w:rPr>
          <w:rFonts w:eastAsia="Times New Roman"/>
          <w:szCs w:val="24"/>
          <w:lang w:val="en-US"/>
        </w:rPr>
        <w:t xml:space="preserve"> </w:t>
      </w:r>
      <w:r w:rsidRPr="00971EB4">
        <w:rPr>
          <w:rFonts w:eastAsia="Times New Roman"/>
          <w:szCs w:val="24"/>
          <w:lang w:val="en-US"/>
        </w:rPr>
        <w:t>the Union. Berkeley Law Scholarship Repository</w:t>
      </w:r>
      <w:r>
        <w:rPr>
          <w:rFonts w:eastAsia="Times New Roman"/>
          <w:szCs w:val="24"/>
          <w:lang w:val="en-US"/>
        </w:rPr>
        <w:t xml:space="preserve">. </w:t>
      </w:r>
      <w:r w:rsidRPr="00971EB4">
        <w:rPr>
          <w:rFonts w:eastAsia="Times New Roman"/>
          <w:szCs w:val="24"/>
          <w:lang w:val="en-US"/>
        </w:rPr>
        <w:t>Recuperado dehttp://scholarship.law.berkeley.edu/cgi/viewcontent.cgi?article=2031&amp;context=facpubs</w:t>
      </w:r>
    </w:p>
    <w:p w:rsidR="00B015EE" w:rsidRPr="00971EB4"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Binder, S. A. (2003).  Stalemate: The Causes and Consequences of Legislative Gridlock Washington: Brookings Institution Press.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Binder, S. (2013, 21 de enero). “Prospects for the 113th Congress”. </w:t>
      </w:r>
      <w:r w:rsidRPr="00BD682C">
        <w:rPr>
          <w:rFonts w:eastAsia="Times New Roman"/>
          <w:szCs w:val="24"/>
        </w:rPr>
        <w:t>Recuperado de</w:t>
      </w:r>
      <w:r>
        <w:rPr>
          <w:rFonts w:eastAsia="Times New Roman"/>
          <w:b/>
          <w:szCs w:val="24"/>
        </w:rPr>
        <w:t xml:space="preserve"> </w:t>
      </w:r>
      <w:hyperlink r:id="rId16" w:history="1">
        <w:r w:rsidRPr="00EC630D">
          <w:rPr>
            <w:rStyle w:val="Hyperlink"/>
            <w:rFonts w:eastAsia="Times New Roman"/>
            <w:szCs w:val="24"/>
          </w:rPr>
          <w:t>http://www.huffingtonpost.com/sarah-binder/113th-congress_b_2426574.html</w:t>
        </w:r>
      </w:hyperlink>
      <w:r w:rsidRPr="00BD682C">
        <w:rPr>
          <w:rFonts w:eastAsia="Times New Roman"/>
          <w:szCs w:val="24"/>
        </w:rPr>
        <w:t>.</w:t>
      </w:r>
    </w:p>
    <w:p w:rsidR="00B015EE" w:rsidRPr="00A82C93"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i/>
          <w:szCs w:val="24"/>
          <w:lang w:val="en-US"/>
        </w:rPr>
      </w:pPr>
      <w:r w:rsidRPr="005B5FEE">
        <w:rPr>
          <w:rFonts w:eastAsia="Times New Roman"/>
          <w:szCs w:val="24"/>
          <w:lang w:val="en-US"/>
        </w:rPr>
        <w:t xml:space="preserve">Bosworth, B., Margaret Collins, S, and Soto Class. M.A. (2006). </w:t>
      </w:r>
      <w:r w:rsidRPr="00EC5C42">
        <w:rPr>
          <w:rFonts w:eastAsia="Times New Roman"/>
          <w:i/>
          <w:szCs w:val="24"/>
          <w:lang w:val="en-US"/>
        </w:rPr>
        <w:t>The Economy of Puerto</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EC5C42">
        <w:rPr>
          <w:rFonts w:eastAsia="Times New Roman"/>
          <w:i/>
          <w:szCs w:val="24"/>
          <w:lang w:val="en-US"/>
        </w:rPr>
        <w:tab/>
        <w:t>Rico: Restoring Growth</w:t>
      </w:r>
      <w:r w:rsidRPr="005B5FEE">
        <w:rPr>
          <w:rFonts w:eastAsia="Times New Roman"/>
          <w:szCs w:val="24"/>
          <w:lang w:val="en-US"/>
        </w:rPr>
        <w:t>. San Juan; Washington: Center for the New Economy.</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 xml:space="preserve">Brookings Institution Press. </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E846B9">
        <w:rPr>
          <w:rFonts w:eastAsia="Times New Roman"/>
          <w:szCs w:val="24"/>
          <w:lang w:val="en-US"/>
        </w:rPr>
        <w:t xml:space="preserve">Borja, R. (1997). </w:t>
      </w:r>
      <w:r w:rsidRPr="00BD682C">
        <w:rPr>
          <w:rFonts w:eastAsia="Times New Roman"/>
          <w:szCs w:val="24"/>
        </w:rPr>
        <w:t>Enciclopedia de la Política. Fondo de Cultura Económica.</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Bosque Pérez, R. Colon Morera J. (1997). Las Carpetas: persecución política y derechos civiles en Puerto Rico: ensayos y documentos. </w:t>
      </w:r>
      <w:r w:rsidRPr="00E846B9">
        <w:rPr>
          <w:rFonts w:eastAsia="Times New Roman"/>
          <w:szCs w:val="24"/>
          <w:lang w:val="en-US"/>
        </w:rPr>
        <w:t>CIP DC.</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Boumedienne v. Bush, 553 U.S. 723</w:t>
      </w:r>
      <w:r>
        <w:rPr>
          <w:rFonts w:eastAsia="Times New Roman"/>
          <w:szCs w:val="24"/>
          <w:lang w:val="en-US"/>
        </w:rPr>
        <w:t>.(2008)</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Braun, A. (2013, 10 de agosto). Out of 5,000 Bills in Every Congress, Guess How Many Become Law?. </w:t>
      </w:r>
      <w:r w:rsidRPr="0028468B">
        <w:rPr>
          <w:rFonts w:eastAsia="Times New Roman"/>
          <w:szCs w:val="24"/>
        </w:rPr>
        <w:t xml:space="preserve">Recuperado de  </w:t>
      </w:r>
      <w:hyperlink r:id="rId17" w:history="1">
        <w:r w:rsidRPr="00BD682C">
          <w:rPr>
            <w:rFonts w:eastAsia="Times New Roman"/>
            <w:szCs w:val="24"/>
          </w:rPr>
          <w:t>http://www.policymic.com/articles/59033/out-of-5-000-bills-in-every-congress-guess-how-many-become-law</w:t>
        </w:r>
      </w:hyperlink>
      <w:r w:rsidRPr="00BD682C">
        <w:rPr>
          <w:rFonts w:eastAsia="Times New Roman"/>
          <w:szCs w:val="24"/>
        </w:rPr>
        <w:t xml:space="preserve">. </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Bremmer , P. (2013, 22 de marzo). PBS: ‘Congress Hasn’t Passed a Budget in Years,’ Fails to Call Out Democratic Senate. </w:t>
      </w:r>
      <w:r w:rsidRPr="00B67EC2">
        <w:rPr>
          <w:rFonts w:eastAsia="Times New Roman"/>
          <w:i/>
          <w:szCs w:val="24"/>
        </w:rPr>
        <w:t>News Busters</w:t>
      </w:r>
      <w:r w:rsidRPr="00BD682C">
        <w:rPr>
          <w:rFonts w:eastAsia="Times New Roman"/>
          <w:szCs w:val="24"/>
        </w:rPr>
        <w:t>. Recuperado de http://newsbusters.org/blogs/paul-bremmer/2013/03/22/pbs-congress-hasn-t-passed-budget-years-fails-call-out-democratic-sena#ixzz2etzPnFME</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Briefing on Puerto Rico political status by the G</w:t>
      </w:r>
      <w:r>
        <w:rPr>
          <w:rFonts w:eastAsia="Times New Roman"/>
          <w:szCs w:val="24"/>
          <w:lang w:val="en-US"/>
        </w:rPr>
        <w:t>overnment</w:t>
      </w:r>
      <w:r w:rsidRPr="005B5FEE">
        <w:rPr>
          <w:rFonts w:eastAsia="Times New Roman"/>
          <w:szCs w:val="24"/>
          <w:lang w:val="en-US"/>
        </w:rPr>
        <w:t xml:space="preserve"> Accountability Office (GAO) and Congressional Research Service (CRS): oversight hearing before the Subcommittee on Insular and International Affairs of the Committee on Interior and Insular Affairs, House of Representatives, One Hundred First Congress, second session ... hearing held in Washington, DC, January 30, 1990. Washington, D.C.: U.S. Government Printing Office, 1991</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Burgos (2013). Democracy or Empire? </w:t>
      </w:r>
      <w:r w:rsidRPr="00A226D8">
        <w:rPr>
          <w:rFonts w:eastAsia="Times New Roman"/>
          <w:szCs w:val="24"/>
        </w:rPr>
        <w:t xml:space="preserve">On Puerto Rico’s Political Status. </w:t>
      </w:r>
      <w:r w:rsidRPr="00BD682C">
        <w:rPr>
          <w:rFonts w:eastAsia="Times New Roman"/>
          <w:szCs w:val="24"/>
        </w:rPr>
        <w:t>Recuperado de http://xaviersrevenge.blogspot.com/2013/04/democracy-or-empire-on-puerto-ricos.html.\</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Bush, G. (1989). 1989 State of the Union Address. </w:t>
      </w:r>
      <w:r w:rsidRPr="00BD682C">
        <w:rPr>
          <w:rFonts w:eastAsia="Times New Roman"/>
          <w:szCs w:val="24"/>
        </w:rPr>
        <w:t xml:space="preserve">Recuperado de </w:t>
      </w:r>
      <w:hyperlink r:id="rId18" w:history="1">
        <w:r w:rsidRPr="00BD682C">
          <w:rPr>
            <w:rFonts w:eastAsia="Times New Roman"/>
            <w:szCs w:val="24"/>
          </w:rPr>
          <w:t>http://www.presidentialelection.com/state_of_the_union/1989_state_of_the_union_address.htm</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Bush v Gore, 531 US 98 (2000) </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E846B9">
        <w:rPr>
          <w:rFonts w:eastAsia="Times New Roman"/>
          <w:szCs w:val="24"/>
          <w:lang w:val="en-US"/>
        </w:rPr>
        <w:t xml:space="preserve">Cabranes, J. (2001). </w:t>
      </w:r>
      <w:r w:rsidRPr="005B5FEE">
        <w:rPr>
          <w:rFonts w:eastAsia="Times New Roman"/>
          <w:szCs w:val="24"/>
          <w:lang w:val="en-US"/>
        </w:rPr>
        <w:t>“Some common ground”. In C. D. Burnett &amp; B. Marshall (eds.),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Foreign in a Domestic Sense: Puerto Rico, American Expansion, and the Constitution.</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Durham: Duke University Press.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Cabranes, J.</w:t>
      </w:r>
      <w:r w:rsidRPr="00B67EC2">
        <w:rPr>
          <w:rFonts w:eastAsia="Times New Roman"/>
          <w:szCs w:val="24"/>
          <w:lang w:val="en-US"/>
        </w:rPr>
        <w:t xml:space="preserve"> </w:t>
      </w:r>
      <w:r>
        <w:rPr>
          <w:rFonts w:eastAsia="Times New Roman"/>
          <w:szCs w:val="24"/>
          <w:lang w:val="en-US"/>
        </w:rPr>
        <w:t>(1978-1979).</w:t>
      </w:r>
      <w:r w:rsidRPr="005B5FEE">
        <w:rPr>
          <w:rFonts w:eastAsia="Times New Roman"/>
          <w:szCs w:val="24"/>
          <w:lang w:val="en-US"/>
        </w:rPr>
        <w:t xml:space="preserve"> “Puerto Rico: Out of the Colonial Closet.” </w:t>
      </w:r>
      <w:r w:rsidRPr="00B67EC2">
        <w:rPr>
          <w:rFonts w:eastAsia="Times New Roman"/>
          <w:i/>
          <w:szCs w:val="24"/>
          <w:lang w:val="en-US"/>
        </w:rPr>
        <w:t>Foreign Policy</w:t>
      </w:r>
      <w:r>
        <w:rPr>
          <w:rFonts w:eastAsia="Times New Roman"/>
          <w:szCs w:val="24"/>
          <w:lang w:val="en-US"/>
        </w:rPr>
        <w:t xml:space="preserve">, </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Winter</w:t>
      </w:r>
      <w:r>
        <w:rPr>
          <w:rFonts w:eastAsia="Times New Roman"/>
          <w:szCs w:val="24"/>
          <w:lang w:val="en-US"/>
        </w:rPr>
        <w:t xml:space="preserve"> (33)</w:t>
      </w:r>
      <w:r w:rsidRPr="005B5FEE">
        <w:rPr>
          <w:rFonts w:eastAsia="Times New Roman"/>
          <w:szCs w:val="24"/>
          <w:lang w:val="en-US"/>
        </w:rPr>
        <w:t xml:space="preserve"> </w:t>
      </w:r>
      <w:r>
        <w:rPr>
          <w:rFonts w:eastAsia="Times New Roman"/>
          <w:szCs w:val="24"/>
          <w:lang w:val="en-US"/>
        </w:rPr>
        <w:t xml:space="preserve">66-91. </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EC5C42">
        <w:rPr>
          <w:rFonts w:eastAsia="Times New Roman"/>
          <w:szCs w:val="24"/>
          <w:lang w:val="en-US"/>
        </w:rPr>
        <w:t xml:space="preserve">Cámara, L. (2004). </w:t>
      </w:r>
      <w:r w:rsidRPr="005B5FEE">
        <w:rPr>
          <w:rFonts w:eastAsia="Times New Roman"/>
          <w:szCs w:val="24"/>
          <w:lang w:val="en-US"/>
        </w:rPr>
        <w:t xml:space="preserve">The Phenomenon of Puerto Rican Voting. </w:t>
      </w:r>
      <w:r w:rsidRPr="00E846B9">
        <w:rPr>
          <w:rFonts w:eastAsia="Times New Roman"/>
          <w:szCs w:val="24"/>
          <w:lang w:val="es-ES"/>
        </w:rPr>
        <w:t xml:space="preserve">Florida, USA: University Press of Florida. </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B67EC2"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E846B9">
        <w:rPr>
          <w:rFonts w:eastAsia="Times New Roman"/>
          <w:szCs w:val="24"/>
          <w:lang w:val="es-ES"/>
        </w:rPr>
        <w:t xml:space="preserve">Camargo, R. (2013, enero 15). </w:t>
      </w:r>
      <w:r w:rsidRPr="005B5FEE">
        <w:rPr>
          <w:rFonts w:eastAsia="Times New Roman"/>
          <w:szCs w:val="24"/>
          <w:lang w:val="en-US"/>
        </w:rPr>
        <w:t>“Pressure begins in D.C. for change in status of Puerto Rico”.</w:t>
      </w:r>
      <w:r>
        <w:rPr>
          <w:rFonts w:eastAsia="Times New Roman"/>
          <w:szCs w:val="24"/>
          <w:lang w:val="en-US"/>
        </w:rPr>
        <w:t xml:space="preserve"> </w:t>
      </w:r>
      <w:r w:rsidRPr="00B67EC2">
        <w:rPr>
          <w:rFonts w:eastAsia="Times New Roman"/>
          <w:i/>
          <w:szCs w:val="24"/>
        </w:rPr>
        <w:t>VOXXI</w:t>
      </w:r>
      <w:r w:rsidRPr="00B67EC2">
        <w:rPr>
          <w:rFonts w:eastAsia="Times New Roman"/>
          <w:szCs w:val="24"/>
        </w:rPr>
        <w:t xml:space="preserve">. Recuperado de </w:t>
      </w:r>
      <w:hyperlink r:id="rId19" w:anchor="ixzz2fFnp5Bn3" w:history="1">
        <w:r w:rsidRPr="00B67EC2">
          <w:rPr>
            <w:rFonts w:eastAsia="Times New Roman"/>
            <w:szCs w:val="24"/>
          </w:rPr>
          <w:t>http://www.voxxi.com/puerto-rican-statehood-pressure-congress/#ixzz2fFnp5Bn3</w:t>
        </w:r>
      </w:hyperlink>
    </w:p>
    <w:p w:rsidR="00B015EE" w:rsidRPr="00B67EC2"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67EC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67EC2">
        <w:rPr>
          <w:rFonts w:eastAsia="Times New Roman"/>
          <w:szCs w:val="24"/>
        </w:rPr>
        <w:t xml:space="preserve">Campo-Flores, A. (2014, 6 de enero). </w:t>
      </w:r>
      <w:r w:rsidRPr="005B5FEE">
        <w:rPr>
          <w:rFonts w:eastAsia="Times New Roman"/>
          <w:szCs w:val="24"/>
          <w:lang w:val="en-US"/>
        </w:rPr>
        <w:t>“Puerto Ricans Flock N</w:t>
      </w:r>
      <w:r>
        <w:rPr>
          <w:rFonts w:eastAsia="Times New Roman"/>
          <w:szCs w:val="24"/>
          <w:lang w:val="en-US"/>
        </w:rPr>
        <w:t xml:space="preserve">orth Away From Battered Economy: </w:t>
      </w:r>
      <w:r w:rsidRPr="005B5FEE">
        <w:rPr>
          <w:rFonts w:eastAsia="Times New Roman"/>
          <w:szCs w:val="24"/>
          <w:lang w:val="en-US"/>
        </w:rPr>
        <w:t>Exodus in Past Decade Was</w:t>
      </w:r>
      <w:r>
        <w:rPr>
          <w:rFonts w:eastAsia="Times New Roman"/>
          <w:szCs w:val="24"/>
          <w:lang w:val="en-US"/>
        </w:rPr>
        <w:t xml:space="preserve"> the Largest Since the 1950s”.</w:t>
      </w:r>
      <w:r w:rsidRPr="005A3C7D">
        <w:rPr>
          <w:rFonts w:eastAsia="Times New Roman"/>
          <w:i/>
          <w:szCs w:val="24"/>
          <w:lang w:val="en-US"/>
        </w:rPr>
        <w:t xml:space="preserve"> </w:t>
      </w:r>
      <w:r w:rsidRPr="00B67EC2">
        <w:rPr>
          <w:rFonts w:eastAsia="Times New Roman"/>
          <w:i/>
          <w:szCs w:val="24"/>
          <w:lang w:val="en-US"/>
        </w:rPr>
        <w:t>The Wall Street Journal</w:t>
      </w:r>
      <w:r>
        <w:rPr>
          <w:rFonts w:eastAsia="Times New Roman"/>
          <w:szCs w:val="24"/>
          <w:lang w:val="en-US"/>
        </w:rPr>
        <w:t xml:space="preserve">.  </w:t>
      </w:r>
      <w:r w:rsidRPr="005A3C7D">
        <w:rPr>
          <w:rFonts w:eastAsia="Times New Roman"/>
          <w:szCs w:val="24"/>
          <w:lang w:val="en-US"/>
        </w:rPr>
        <w:t xml:space="preserve">Recuperado </w:t>
      </w:r>
      <w:r>
        <w:rPr>
          <w:rFonts w:eastAsia="Times New Roman"/>
          <w:szCs w:val="24"/>
          <w:lang w:val="en-US"/>
        </w:rPr>
        <w:t xml:space="preserve">de </w:t>
      </w:r>
      <w:hyperlink r:id="rId20" w:history="1">
        <w:r w:rsidRPr="005A3C7D">
          <w:rPr>
            <w:rFonts w:eastAsia="Times New Roman"/>
            <w:szCs w:val="24"/>
            <w:lang w:val="en-US"/>
          </w:rPr>
          <w:t>http://online.wsj.com/news/articles/SB10001424052702304173704579262390542968318</w:t>
        </w:r>
      </w:hyperlink>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A226D8"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(201</w:t>
      </w:r>
      <w:r>
        <w:rPr>
          <w:rFonts w:eastAsia="Times New Roman"/>
          <w:szCs w:val="24"/>
          <w:lang w:val="en-US"/>
        </w:rPr>
        <w:t>3)</w:t>
      </w:r>
      <w:r>
        <w:rPr>
          <w:rFonts w:eastAsia="Times New Roman"/>
          <w:i/>
          <w:szCs w:val="24"/>
          <w:lang w:val="en-US"/>
        </w:rPr>
        <w:t>.</w:t>
      </w:r>
      <w:r w:rsidRPr="005B5FEE">
        <w:rPr>
          <w:rFonts w:eastAsia="Times New Roman"/>
          <w:szCs w:val="24"/>
          <w:lang w:val="en-US"/>
        </w:rPr>
        <w:t xml:space="preserve"> “Carrión </w:t>
      </w:r>
      <w:r>
        <w:rPr>
          <w:rFonts w:eastAsia="Times New Roman"/>
          <w:szCs w:val="24"/>
          <w:lang w:val="en-US"/>
        </w:rPr>
        <w:t>takes aim at Economist report”.</w:t>
      </w:r>
      <w:r w:rsidRPr="005A3C7D">
        <w:rPr>
          <w:rFonts w:eastAsia="Times New Roman"/>
          <w:i/>
          <w:szCs w:val="24"/>
          <w:lang w:val="en-US"/>
        </w:rPr>
        <w:t xml:space="preserve"> </w:t>
      </w:r>
      <w:r w:rsidRPr="008A783C">
        <w:rPr>
          <w:rFonts w:eastAsia="Times New Roman"/>
          <w:i/>
          <w:szCs w:val="24"/>
          <w:lang w:val="en-US"/>
        </w:rPr>
        <w:t xml:space="preserve">Caribbean Business. </w:t>
      </w:r>
      <w:r w:rsidRPr="00A226D8">
        <w:rPr>
          <w:rFonts w:eastAsia="Times New Roman"/>
          <w:szCs w:val="24"/>
          <w:lang w:val="en-US"/>
        </w:rPr>
        <w:t>Recuperado de</w:t>
      </w:r>
    </w:p>
    <w:p w:rsidR="00B015EE" w:rsidRPr="00A226D8"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226D8">
        <w:rPr>
          <w:lang w:val="en-US"/>
        </w:rPr>
        <w:tab/>
      </w:r>
      <w:hyperlink r:id="rId21" w:history="1">
        <w:r w:rsidRPr="00A226D8">
          <w:rPr>
            <w:rFonts w:eastAsia="Times New Roman"/>
            <w:szCs w:val="24"/>
            <w:lang w:val="en-US"/>
          </w:rPr>
          <w:t>http://caribbeanbusinesspr.com/news/carrion-takes-aim-at-economist-report-91700.html</w:t>
        </w:r>
      </w:hyperlink>
      <w:r w:rsidRPr="00A226D8">
        <w:rPr>
          <w:rFonts w:eastAsia="Times New Roman"/>
          <w:szCs w:val="24"/>
          <w:lang w:val="en-US"/>
        </w:rPr>
        <w:t>.</w:t>
      </w:r>
    </w:p>
    <w:p w:rsidR="00B015EE" w:rsidRPr="00A226D8"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Pr>
          <w:rFonts w:eastAsia="Times New Roman"/>
          <w:szCs w:val="24"/>
          <w:lang w:val="en-US"/>
        </w:rPr>
        <w:t>(</w:t>
      </w:r>
      <w:r w:rsidRPr="005B5FEE">
        <w:rPr>
          <w:rFonts w:eastAsia="Times New Roman"/>
          <w:szCs w:val="24"/>
          <w:lang w:val="en-US"/>
        </w:rPr>
        <w:t>2014</w:t>
      </w:r>
      <w:r>
        <w:rPr>
          <w:rFonts w:eastAsia="Times New Roman"/>
          <w:szCs w:val="24"/>
          <w:lang w:val="en-US"/>
        </w:rPr>
        <w:t xml:space="preserve">). </w:t>
      </w:r>
      <w:r w:rsidRPr="005B5FEE">
        <w:rPr>
          <w:rFonts w:eastAsia="Times New Roman"/>
          <w:szCs w:val="24"/>
          <w:lang w:val="en-US"/>
        </w:rPr>
        <w:t>“PR status plebiscite in Obama budget”.</w:t>
      </w:r>
      <w:r w:rsidRPr="005A3C7D">
        <w:rPr>
          <w:rFonts w:eastAsia="Times New Roman"/>
          <w:i/>
          <w:szCs w:val="24"/>
          <w:lang w:val="en-US"/>
        </w:rPr>
        <w:t xml:space="preserve"> </w:t>
      </w:r>
      <w:r w:rsidRPr="0010737F">
        <w:rPr>
          <w:rFonts w:eastAsia="Times New Roman"/>
          <w:i/>
          <w:szCs w:val="24"/>
          <w:lang w:val="es-ES"/>
        </w:rPr>
        <w:t>Caribbean Business</w:t>
      </w:r>
      <w:r w:rsidRPr="0010737F">
        <w:rPr>
          <w:rFonts w:eastAsia="Times New Roman"/>
          <w:szCs w:val="24"/>
          <w:lang w:val="es-ES"/>
        </w:rPr>
        <w:t xml:space="preserve">. Recuperado de </w:t>
      </w:r>
      <w:hyperlink r:id="rId22" w:history="1">
        <w:r w:rsidRPr="0010737F">
          <w:rPr>
            <w:rFonts w:eastAsia="Times New Roman"/>
            <w:szCs w:val="24"/>
            <w:lang w:val="es-ES"/>
          </w:rPr>
          <w:t>http://www.caribbeanbusinesspr.com/news/pr-status-plebiscite-in-obama-budget-83109.html</w:t>
        </w:r>
      </w:hyperlink>
      <w:r w:rsidRPr="0010737F">
        <w:rPr>
          <w:rFonts w:eastAsia="Times New Roman"/>
          <w:szCs w:val="24"/>
          <w:lang w:val="es-ES"/>
        </w:rPr>
        <w:t>.</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Default="00B015EE" w:rsidP="007538AA">
      <w:pPr>
        <w:widowControl w:val="0"/>
        <w:tabs>
          <w:tab w:val="left" w:pos="630"/>
        </w:tabs>
        <w:autoSpaceDE w:val="0"/>
        <w:autoSpaceDN w:val="0"/>
        <w:spacing w:line="240" w:lineRule="auto"/>
        <w:ind w:left="720" w:hanging="720"/>
        <w:jc w:val="left"/>
      </w:pPr>
      <w:r w:rsidRPr="008A783C">
        <w:rPr>
          <w:rFonts w:eastAsia="Times New Roman"/>
          <w:szCs w:val="24"/>
          <w:lang w:val="en-US"/>
        </w:rPr>
        <w:t xml:space="preserve">Carothers, T. (1997, 2 de noviembre). </w:t>
      </w:r>
      <w:r w:rsidRPr="005B5FEE">
        <w:rPr>
          <w:rFonts w:eastAsia="Times New Roman"/>
          <w:szCs w:val="24"/>
          <w:lang w:val="en-US"/>
        </w:rPr>
        <w:t xml:space="preserve">“Island Paradox”. </w:t>
      </w:r>
      <w:r w:rsidRPr="00BF0FFD">
        <w:rPr>
          <w:rFonts w:eastAsia="Times New Roman"/>
          <w:i/>
          <w:szCs w:val="24"/>
          <w:lang w:val="en-US"/>
        </w:rPr>
        <w:t>The New York Times</w:t>
      </w:r>
      <w:r w:rsidRPr="005B5FEE">
        <w:rPr>
          <w:rFonts w:eastAsia="Times New Roman"/>
          <w:szCs w:val="24"/>
          <w:lang w:val="en-US"/>
        </w:rPr>
        <w:t xml:space="preserve">. </w:t>
      </w:r>
      <w:r w:rsidRPr="00BD682C">
        <w:rPr>
          <w:rFonts w:eastAsia="Times New Roman"/>
          <w:szCs w:val="24"/>
        </w:rPr>
        <w:t xml:space="preserve">Recuperado de </w:t>
      </w:r>
      <w:hyperlink r:id="rId23" w:history="1">
        <w:r w:rsidRPr="00BD682C">
          <w:rPr>
            <w:rFonts w:eastAsia="Times New Roman"/>
            <w:szCs w:val="24"/>
          </w:rPr>
          <w:t>http://www.nytimes.com/1997/11/02/books/island-paradox.html</w:t>
        </w:r>
      </w:hyperlink>
    </w:p>
    <w:p w:rsidR="00B015EE" w:rsidRDefault="00B015EE" w:rsidP="007538AA">
      <w:pPr>
        <w:widowControl w:val="0"/>
        <w:tabs>
          <w:tab w:val="left" w:pos="630"/>
        </w:tabs>
        <w:autoSpaceDE w:val="0"/>
        <w:autoSpaceDN w:val="0"/>
        <w:spacing w:line="240" w:lineRule="auto"/>
        <w:ind w:left="720" w:hanging="720"/>
        <w:jc w:val="left"/>
      </w:pPr>
    </w:p>
    <w:p w:rsidR="00B015EE" w:rsidRPr="0028468B"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226D8">
        <w:rPr>
          <w:rStyle w:val="Emphasis"/>
        </w:rPr>
        <w:t>Carrión</w:t>
      </w:r>
      <w:r w:rsidRPr="00A226D8">
        <w:rPr>
          <w:rStyle w:val="st"/>
        </w:rPr>
        <w:t xml:space="preserve">, </w:t>
      </w:r>
      <w:r w:rsidRPr="00A226D8">
        <w:rPr>
          <w:rStyle w:val="Emphasis"/>
        </w:rPr>
        <w:t>J. M.</w:t>
      </w:r>
      <w:r w:rsidRPr="00A226D8">
        <w:rPr>
          <w:rStyle w:val="st"/>
        </w:rPr>
        <w:t xml:space="preserve"> (</w:t>
      </w:r>
      <w:r w:rsidRPr="00A226D8">
        <w:rPr>
          <w:rStyle w:val="Emphasis"/>
        </w:rPr>
        <w:t>2006</w:t>
      </w:r>
      <w:r w:rsidRPr="00A226D8">
        <w:rPr>
          <w:rStyle w:val="st"/>
        </w:rPr>
        <w:t xml:space="preserve">). </w:t>
      </w:r>
      <w:r w:rsidRPr="00816EF6">
        <w:rPr>
          <w:rStyle w:val="st"/>
          <w:lang w:val="en-US"/>
        </w:rPr>
        <w:t xml:space="preserve">The war of the flags: Conflicting national loyalties in a modern colonial situation. </w:t>
      </w:r>
      <w:r w:rsidRPr="0028468B">
        <w:rPr>
          <w:rStyle w:val="Emphasis"/>
          <w:lang w:val="en-US"/>
        </w:rPr>
        <w:t>Centro Journal</w:t>
      </w:r>
      <w:r w:rsidRPr="0028468B">
        <w:rPr>
          <w:rStyle w:val="st"/>
          <w:lang w:val="en-US"/>
        </w:rPr>
        <w:t>, XVIII(2) 101-123.</w:t>
      </w:r>
    </w:p>
    <w:p w:rsidR="00B015EE" w:rsidRPr="0028468B"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A3C7D"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28468B">
        <w:rPr>
          <w:rFonts w:eastAsia="Times New Roman"/>
          <w:szCs w:val="24"/>
          <w:lang w:val="en-US"/>
        </w:rPr>
        <w:t xml:space="preserve">Carrión, A. (2013, agosto 12). </w:t>
      </w:r>
      <w:r w:rsidRPr="005B5FEE">
        <w:rPr>
          <w:rFonts w:eastAsia="Times New Roman"/>
          <w:szCs w:val="24"/>
          <w:lang w:val="en-US"/>
        </w:rPr>
        <w:t xml:space="preserve">“Intense Debate Over Changes in Puerto Rico's Political Status”. </w:t>
      </w:r>
      <w:r w:rsidRPr="0010737F">
        <w:rPr>
          <w:rFonts w:eastAsia="Times New Roman"/>
          <w:i/>
          <w:szCs w:val="24"/>
          <w:lang w:val="es-ES"/>
        </w:rPr>
        <w:t>Global Voices.</w:t>
      </w:r>
      <w:r w:rsidRPr="0010737F">
        <w:rPr>
          <w:rFonts w:eastAsia="Times New Roman"/>
          <w:szCs w:val="24"/>
          <w:lang w:val="es-ES"/>
        </w:rPr>
        <w:t xml:space="preserve"> </w:t>
      </w:r>
      <w:r>
        <w:t xml:space="preserve">Recuperado de </w:t>
      </w:r>
      <w:hyperlink r:id="rId24" w:history="1">
        <w:r w:rsidRPr="005A3C7D">
          <w:rPr>
            <w:rFonts w:eastAsia="Times New Roman"/>
            <w:szCs w:val="24"/>
          </w:rPr>
          <w:t>http://globalvoicesonline.org/2013/08/12/intense-debate-over-changes-in-puerto-ricos-political-status/</w:t>
        </w:r>
      </w:hyperlink>
    </w:p>
    <w:p w:rsidR="00B015EE" w:rsidRPr="005A3C7D"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A3C7D">
        <w:rPr>
          <w:rFonts w:eastAsia="Times New Roman"/>
          <w:szCs w:val="24"/>
          <w:lang w:val="en-US"/>
        </w:rPr>
        <w:t>Castillo, (2012</w:t>
      </w:r>
      <w:r>
        <w:rPr>
          <w:rFonts w:eastAsia="Times New Roman"/>
          <w:szCs w:val="24"/>
          <w:lang w:val="en-US"/>
        </w:rPr>
        <w:t>, noviembre</w:t>
      </w:r>
      <w:r w:rsidRPr="005A3C7D">
        <w:rPr>
          <w:rFonts w:eastAsia="Times New Roman"/>
          <w:szCs w:val="24"/>
          <w:lang w:val="en-US"/>
        </w:rPr>
        <w:t xml:space="preserve"> 8). “Puerto Ricans favor statehood for first time”. </w:t>
      </w:r>
      <w:r w:rsidRPr="005A3C7D">
        <w:rPr>
          <w:rFonts w:eastAsia="Times New Roman"/>
          <w:i/>
          <w:szCs w:val="24"/>
        </w:rPr>
        <w:t>CNN</w:t>
      </w:r>
      <w:r w:rsidRPr="005A3C7D">
        <w:rPr>
          <w:rFonts w:eastAsia="Times New Roman"/>
          <w:szCs w:val="24"/>
        </w:rPr>
        <w:t>. Recuperado de</w:t>
      </w:r>
      <w:r>
        <w:rPr>
          <w:rFonts w:eastAsia="Times New Roman"/>
          <w:szCs w:val="24"/>
        </w:rPr>
        <w:t xml:space="preserve"> </w:t>
      </w:r>
      <w:hyperlink r:id="rId25" w:history="1">
        <w:r w:rsidRPr="00BD682C">
          <w:rPr>
            <w:rFonts w:eastAsia="Times New Roman"/>
            <w:szCs w:val="24"/>
          </w:rPr>
          <w:t>http://edition.cnn.com/2012/11/07/politics/election-puerto-rico</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Catalá Oliveras, F.A. (2007). “Desenvolvimiento económico de Puerto Rico: dependencia de senda y encapsulamiento ceremonial”, </w:t>
      </w:r>
      <w:r>
        <w:rPr>
          <w:rFonts w:eastAsia="Times New Roman"/>
          <w:i/>
          <w:szCs w:val="24"/>
        </w:rPr>
        <w:t>Revista de Ciencias Sociales,</w:t>
      </w:r>
      <w:r>
        <w:rPr>
          <w:rFonts w:eastAsia="Times New Roman"/>
          <w:szCs w:val="24"/>
        </w:rPr>
        <w:t xml:space="preserve"> (17): 58-77. Recuperado de</w:t>
      </w:r>
      <w:r w:rsidRPr="00BD682C">
        <w:rPr>
          <w:rFonts w:eastAsia="Times New Roman"/>
          <w:szCs w:val="24"/>
        </w:rPr>
        <w:t xml:space="preserve"> </w:t>
      </w:r>
      <w:hyperlink r:id="rId26" w:history="1">
        <w:r w:rsidRPr="00BD682C">
          <w:rPr>
            <w:rFonts w:eastAsia="Times New Roman"/>
            <w:szCs w:val="24"/>
          </w:rPr>
          <w:t>http://cis.uprrp.edu/documents/6franciscocatala.pdf</w:t>
        </w:r>
      </w:hyperlink>
      <w:r w:rsidRPr="00BD682C">
        <w:rPr>
          <w:rFonts w:eastAsia="Times New Roman"/>
          <w:szCs w:val="24"/>
        </w:rPr>
        <w:t>.</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873F5E" w:rsidP="007538AA">
      <w:pPr>
        <w:widowControl w:val="0"/>
        <w:tabs>
          <w:tab w:val="left" w:pos="630"/>
        </w:tabs>
        <w:autoSpaceDE w:val="0"/>
        <w:autoSpaceDN w:val="0"/>
        <w:spacing w:line="240" w:lineRule="auto"/>
        <w:ind w:left="720" w:hanging="720"/>
        <w:jc w:val="left"/>
        <w:rPr>
          <w:rFonts w:eastAsia="Times New Roman"/>
          <w:szCs w:val="24"/>
          <w:lang w:val="en-US"/>
        </w:rPr>
      </w:pPr>
      <w:r w:rsidRPr="00873F5E">
        <w:rPr>
          <w:rFonts w:eastAsia="Times New Roman"/>
          <w:szCs w:val="24"/>
        </w:rPr>
        <w:t>Cl</w:t>
      </w:r>
      <w:r w:rsidR="00B015EE" w:rsidRPr="00873F5E">
        <w:rPr>
          <w:rFonts w:eastAsia="Times New Roman"/>
          <w:szCs w:val="24"/>
        </w:rPr>
        <w:t xml:space="preserve">ar, J. (2013). </w:t>
      </w:r>
      <w:r w:rsidR="00B015EE" w:rsidRPr="005B5FEE">
        <w:rPr>
          <w:rFonts w:eastAsia="Times New Roman"/>
          <w:szCs w:val="24"/>
          <w:lang w:val="en-US"/>
        </w:rPr>
        <w:t>“Rethinking the Puerto Rican Commonwealth Model through a Lens of</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 xml:space="preserve">Internationalization”. </w:t>
      </w:r>
      <w:r w:rsidRPr="005A3C7D">
        <w:rPr>
          <w:rFonts w:eastAsia="Times New Roman"/>
          <w:i/>
          <w:szCs w:val="24"/>
          <w:lang w:val="en-US"/>
        </w:rPr>
        <w:t>The Fletcher Forum</w:t>
      </w:r>
      <w:r>
        <w:rPr>
          <w:rFonts w:eastAsia="Times New Roman"/>
          <w:szCs w:val="24"/>
          <w:lang w:val="en-US"/>
        </w:rPr>
        <w:t>, 37(</w:t>
      </w:r>
      <w:r w:rsidRPr="005B5FEE">
        <w:rPr>
          <w:rFonts w:eastAsia="Times New Roman"/>
          <w:szCs w:val="24"/>
          <w:lang w:val="en-US"/>
        </w:rPr>
        <w:t>3</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60C"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 xml:space="preserve">Cillizza, C. (2013). </w:t>
      </w:r>
      <w:r w:rsidRPr="005A3C7D">
        <w:rPr>
          <w:rFonts w:eastAsia="Times New Roman"/>
          <w:i/>
          <w:szCs w:val="24"/>
          <w:lang w:val="en-US"/>
        </w:rPr>
        <w:t>“The least productive Congress ever”.</w:t>
      </w:r>
      <w:r>
        <w:rPr>
          <w:rFonts w:eastAsia="Times New Roman"/>
          <w:szCs w:val="24"/>
          <w:lang w:val="en-US"/>
        </w:rPr>
        <w:t xml:space="preserve"> </w:t>
      </w:r>
      <w:r w:rsidRPr="00873F5E">
        <w:rPr>
          <w:rFonts w:eastAsia="Times New Roman"/>
          <w:szCs w:val="24"/>
        </w:rPr>
        <w:t>Recuperado de h</w:t>
      </w:r>
      <w:r w:rsidRPr="00BD660C">
        <w:rPr>
          <w:rFonts w:eastAsia="Times New Roman"/>
          <w:szCs w:val="24"/>
          <w:lang w:val="es-ES"/>
        </w:rPr>
        <w:t>ttp://www.washingtonpost.com/blogs/the-fix/wp/2013/07/17/the-least-productive-congress-ever/</w:t>
      </w:r>
    </w:p>
    <w:p w:rsidR="00B015EE" w:rsidRPr="00BD660C"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Collado-Schwarz, A. (2012). Decolonization Models for Americas Last Colony: Puerto Rico. Syracuse University Press.</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186217" w:rsidRDefault="00B015EE" w:rsidP="007538AA">
      <w:pPr>
        <w:tabs>
          <w:tab w:val="left" w:pos="6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hanging="720"/>
        <w:jc w:val="left"/>
        <w:rPr>
          <w:rFonts w:eastAsia="Times New Roman"/>
          <w:sz w:val="20"/>
          <w:szCs w:val="20"/>
          <w:lang w:val="en-US"/>
        </w:rPr>
      </w:pPr>
      <w:r w:rsidRPr="00186217">
        <w:rPr>
          <w:rFonts w:eastAsia="Times New Roman"/>
          <w:sz w:val="20"/>
          <w:szCs w:val="20"/>
          <w:lang w:val="en-US"/>
        </w:rPr>
        <w:t>COMMITTEE ON NATURAL RESOURCES, U.S. HOUSE OF REPRESENTATIVES (2009)</w:t>
      </w:r>
    </w:p>
    <w:p w:rsidR="00B015EE" w:rsidRPr="0028468B" w:rsidRDefault="00B015EE" w:rsidP="007538AA">
      <w:pPr>
        <w:tabs>
          <w:tab w:val="left" w:pos="6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hanging="720"/>
        <w:jc w:val="left"/>
        <w:rPr>
          <w:rFonts w:eastAsia="Times New Roman"/>
          <w:sz w:val="20"/>
          <w:szCs w:val="20"/>
        </w:rPr>
      </w:pPr>
      <w:r w:rsidRPr="0028468B">
        <w:rPr>
          <w:rFonts w:eastAsia="Times New Roman"/>
          <w:sz w:val="20"/>
          <w:szCs w:val="20"/>
        </w:rPr>
        <w:t>Recuperado de</w:t>
      </w:r>
    </w:p>
    <w:p w:rsidR="00B015EE" w:rsidRPr="00186217" w:rsidRDefault="00B015EE" w:rsidP="007538AA">
      <w:pPr>
        <w:tabs>
          <w:tab w:val="left" w:pos="6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hanging="720"/>
        <w:jc w:val="left"/>
        <w:rPr>
          <w:rFonts w:eastAsia="Times New Roman"/>
          <w:sz w:val="20"/>
          <w:szCs w:val="20"/>
          <w:lang w:val="es-ES"/>
        </w:rPr>
      </w:pPr>
      <w:r w:rsidRPr="00186217">
        <w:rPr>
          <w:rFonts w:eastAsia="Times New Roman"/>
          <w:sz w:val="20"/>
          <w:szCs w:val="20"/>
          <w:lang w:val="es-ES"/>
        </w:rPr>
        <w:t>http://www.gpo.gov/fdsys/pkg/CHRG-111hhrg50610/html/CHRG-111hhrg50610.htm</w:t>
      </w:r>
    </w:p>
    <w:p w:rsidR="00B015EE" w:rsidRPr="0020557B"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Congressional Research Service (2013). Puerto Rico’s Political Status and the 2012</w:t>
      </w:r>
    </w:p>
    <w:p w:rsidR="00B015EE" w:rsidRPr="0028468B" w:rsidRDefault="00B015EE" w:rsidP="007538AA">
      <w:pPr>
        <w:widowControl w:val="0"/>
        <w:tabs>
          <w:tab w:val="left" w:pos="630"/>
        </w:tabs>
        <w:autoSpaceDE w:val="0"/>
        <w:autoSpaceDN w:val="0"/>
        <w:spacing w:line="240" w:lineRule="auto"/>
        <w:ind w:left="720" w:hanging="720"/>
        <w:jc w:val="left"/>
        <w:rPr>
          <w:lang w:val="en-US"/>
        </w:rPr>
      </w:pPr>
      <w:r>
        <w:rPr>
          <w:rFonts w:eastAsia="Times New Roman"/>
          <w:szCs w:val="24"/>
          <w:lang w:val="en-US"/>
        </w:rPr>
        <w:tab/>
      </w:r>
      <w:r w:rsidRPr="005B5FEE">
        <w:rPr>
          <w:rFonts w:eastAsia="Times New Roman"/>
          <w:szCs w:val="24"/>
          <w:lang w:val="en-US"/>
        </w:rPr>
        <w:t>Plebiscite: Background and Key Questions.</w:t>
      </w:r>
      <w:r>
        <w:rPr>
          <w:rFonts w:eastAsia="Times New Roman"/>
          <w:szCs w:val="24"/>
          <w:lang w:val="en-US"/>
        </w:rPr>
        <w:t xml:space="preserve"> </w:t>
      </w:r>
      <w:r w:rsidRPr="0028468B">
        <w:rPr>
          <w:rFonts w:eastAsia="Times New Roman"/>
          <w:szCs w:val="24"/>
          <w:lang w:val="en-US"/>
        </w:rPr>
        <w:t xml:space="preserve">(Congressional Research Service R42765) Recuperado de </w:t>
      </w:r>
      <w:hyperlink r:id="rId27" w:history="1">
        <w:r w:rsidRPr="0028468B">
          <w:rPr>
            <w:rFonts w:eastAsia="Times New Roman"/>
            <w:szCs w:val="24"/>
            <w:lang w:val="en-US"/>
          </w:rPr>
          <w:t>http://www.fas.org/sgp/crs/row/R42765.pdf</w:t>
        </w:r>
      </w:hyperlink>
    </w:p>
    <w:p w:rsidR="00B015EE" w:rsidRPr="0028468B" w:rsidRDefault="00B015EE" w:rsidP="007538AA">
      <w:pPr>
        <w:widowControl w:val="0"/>
        <w:tabs>
          <w:tab w:val="left" w:pos="630"/>
        </w:tabs>
        <w:autoSpaceDE w:val="0"/>
        <w:autoSpaceDN w:val="0"/>
        <w:spacing w:line="240" w:lineRule="auto"/>
        <w:ind w:left="720" w:hanging="720"/>
        <w:jc w:val="left"/>
        <w:rPr>
          <w:lang w:val="en-US"/>
        </w:rPr>
      </w:pPr>
    </w:p>
    <w:p w:rsidR="00B015EE" w:rsidRPr="00186217"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A82C93">
        <w:rPr>
          <w:lang w:val="en-US"/>
        </w:rPr>
        <w:t>Congressional Research Service (2008). Political status of Puerto Rico</w:t>
      </w:r>
      <w:r>
        <w:rPr>
          <w:lang w:val="en-US"/>
        </w:rPr>
        <w:t xml:space="preserve">: Options for Congress. </w:t>
      </w:r>
      <w:r w:rsidRPr="00186217">
        <w:rPr>
          <w:lang w:val="es-ES"/>
        </w:rPr>
        <w:t>Recuperado de htt</w:t>
      </w:r>
      <w:r>
        <w:rPr>
          <w:lang w:val="es-ES"/>
        </w:rPr>
        <w:t>p://www.puertoricoreport.com/wp</w:t>
      </w:r>
      <w:r w:rsidRPr="00186217">
        <w:rPr>
          <w:lang w:val="es-ES"/>
        </w:rPr>
        <w:t>content/uploads/2012/03/Tab_38_CRS_May2008.pdf</w:t>
      </w:r>
    </w:p>
    <w:p w:rsidR="00B015EE" w:rsidRPr="00186217"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rPr>
        <w:t>Colón Martínez, N.</w:t>
      </w:r>
      <w:r w:rsidRPr="00BD682C">
        <w:rPr>
          <w:rFonts w:eastAsia="Times New Roman"/>
          <w:szCs w:val="24"/>
        </w:rPr>
        <w:t xml:space="preserve"> (2009). </w:t>
      </w:r>
      <w:r w:rsidRPr="00E50D0C">
        <w:rPr>
          <w:rFonts w:eastAsia="Times New Roman"/>
          <w:i/>
          <w:szCs w:val="24"/>
        </w:rPr>
        <w:t>“</w:t>
      </w:r>
      <w:r w:rsidRPr="00F47488">
        <w:rPr>
          <w:rFonts w:eastAsia="Times New Roman"/>
          <w:szCs w:val="24"/>
        </w:rPr>
        <w:t>La asamblea constitucional de status como mecanismo descolonizador: En La disidencia como vocación</w:t>
      </w:r>
      <w:r w:rsidRPr="00E50D0C">
        <w:rPr>
          <w:rFonts w:eastAsia="Times New Roman"/>
          <w:i/>
          <w:szCs w:val="24"/>
        </w:rPr>
        <w:t>”</w:t>
      </w:r>
      <w:r>
        <w:rPr>
          <w:rFonts w:eastAsia="Times New Roman"/>
          <w:i/>
          <w:szCs w:val="24"/>
        </w:rPr>
        <w:t>.</w:t>
      </w:r>
      <w:r w:rsidRPr="00E50D0C">
        <w:rPr>
          <w:rFonts w:eastAsia="Times New Roman"/>
          <w:i/>
          <w:szCs w:val="24"/>
        </w:rPr>
        <w:t xml:space="preserve"> </w:t>
      </w:r>
      <w:r w:rsidRPr="0028468B">
        <w:rPr>
          <w:rFonts w:eastAsia="Times New Roman"/>
          <w:szCs w:val="24"/>
          <w:lang w:val="en-US"/>
        </w:rPr>
        <w:t xml:space="preserve">Río Piedras: </w:t>
      </w:r>
      <w:r w:rsidRPr="004A6812">
        <w:rPr>
          <w:rFonts w:eastAsia="Times New Roman"/>
          <w:szCs w:val="24"/>
          <w:lang w:val="en-US"/>
        </w:rPr>
        <w:t xml:space="preserve">Editorial Gaviota. </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10737F">
        <w:rPr>
          <w:rFonts w:eastAsia="Times New Roman"/>
          <w:szCs w:val="24"/>
          <w:lang w:val="en-US"/>
        </w:rPr>
        <w:t>Colón Morera, JJ (1993). Economic Constraints and Political Choices: U.S. Congressional Deliberations on the Status of Puerto R</w:t>
      </w:r>
      <w:r w:rsidRPr="005B5FEE">
        <w:rPr>
          <w:rFonts w:eastAsia="Times New Roman"/>
          <w:szCs w:val="24"/>
          <w:lang w:val="en-US"/>
        </w:rPr>
        <w:t xml:space="preserve">ico, 1989-1991. </w:t>
      </w:r>
      <w:r w:rsidRPr="00BD682C">
        <w:rPr>
          <w:rFonts w:eastAsia="Times New Roman"/>
          <w:szCs w:val="24"/>
        </w:rPr>
        <w:t>Boston, Massachusetts: Boston University.</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Colón Morera, Albarrán González, Rivera Ortiz (1995). El Congreso de Estados Unidos y el Status Político de Puerto Rico: Informe de una Investigación Em</w:t>
      </w:r>
      <w:r>
        <w:rPr>
          <w:rFonts w:eastAsia="Times New Roman"/>
          <w:szCs w:val="24"/>
        </w:rPr>
        <w:t>pírica. San Juan</w:t>
      </w:r>
      <w:r w:rsidRPr="00BD682C">
        <w:rPr>
          <w:rFonts w:eastAsia="Times New Roman"/>
          <w:szCs w:val="24"/>
        </w:rPr>
        <w:t>: Instituto de Estudios del Caribe de la Universidad de Puerto Rico</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Colón Morera, J.J. (1999) “Puerto Rico: el repliegue de la estadidad.” </w:t>
      </w:r>
      <w:r w:rsidRPr="00E50D0C">
        <w:rPr>
          <w:rFonts w:eastAsia="Times New Roman"/>
          <w:i/>
          <w:szCs w:val="24"/>
        </w:rPr>
        <w:t>Nueva Sociedad</w:t>
      </w:r>
      <w:r>
        <w:rPr>
          <w:rFonts w:eastAsia="Times New Roman"/>
          <w:szCs w:val="24"/>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ab/>
        <w:t>160</w:t>
      </w:r>
      <w:r w:rsidRPr="00BD682C">
        <w:rPr>
          <w:rFonts w:eastAsia="Times New Roman"/>
          <w:szCs w:val="24"/>
        </w:rPr>
        <w:t xml:space="preserve"> </w:t>
      </w:r>
      <w:r>
        <w:rPr>
          <w:rFonts w:eastAsia="Times New Roman"/>
          <w:szCs w:val="24"/>
        </w:rPr>
        <w:t>(</w:t>
      </w:r>
      <w:r w:rsidRPr="00BD682C">
        <w:rPr>
          <w:rFonts w:eastAsia="Times New Roman"/>
          <w:szCs w:val="24"/>
        </w:rPr>
        <w:t>Mar-Apr</w:t>
      </w:r>
      <w:r>
        <w:rPr>
          <w:rFonts w:eastAsia="Times New Roman"/>
          <w:szCs w:val="24"/>
        </w:rPr>
        <w:t xml:space="preserve">), </w:t>
      </w:r>
      <w:r w:rsidRPr="00BD682C">
        <w:rPr>
          <w:rFonts w:eastAsia="Times New Roman"/>
          <w:szCs w:val="24"/>
        </w:rPr>
        <w:t>20-28.</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Coló</w:t>
      </w:r>
      <w:r w:rsidRPr="00BD682C">
        <w:rPr>
          <w:rFonts w:eastAsia="Times New Roman"/>
          <w:szCs w:val="24"/>
        </w:rPr>
        <w:t xml:space="preserve">n Morera, JJ.  (2000). </w:t>
      </w:r>
      <w:r w:rsidRPr="00E50D0C">
        <w:rPr>
          <w:rFonts w:eastAsia="Times New Roman"/>
          <w:i/>
          <w:szCs w:val="24"/>
        </w:rPr>
        <w:t>Cien años de sociedad, los 98 del Gran Caribe. San Juan de Puerto Rico</w:t>
      </w:r>
      <w:r w:rsidRPr="00BD682C">
        <w:rPr>
          <w:rFonts w:eastAsia="Times New Roman"/>
          <w:szCs w:val="24"/>
        </w:rPr>
        <w:t>. Editores: Gaztambide-Géigel, A., González-Mendoza, J. Mario R. Cancel, M.R.</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Colón Morera, J.J. (2012).  “El debate sobre Pue</w:t>
      </w:r>
      <w:r>
        <w:rPr>
          <w:rFonts w:eastAsia="Times New Roman"/>
          <w:szCs w:val="24"/>
        </w:rPr>
        <w:t>rto Rico: las dudas imperiales”.</w:t>
      </w:r>
      <w:r w:rsidRPr="00BD682C">
        <w:rPr>
          <w:rFonts w:eastAsia="Times New Roman"/>
          <w:szCs w:val="24"/>
        </w:rPr>
        <w:t xml:space="preserve"> </w:t>
      </w:r>
      <w:r w:rsidRPr="00E50D0C">
        <w:rPr>
          <w:rFonts w:eastAsia="Times New Roman"/>
          <w:i/>
          <w:szCs w:val="24"/>
        </w:rPr>
        <w:t>Revista de Ciencias Sociales</w:t>
      </w:r>
      <w:r>
        <w:rPr>
          <w:rFonts w:eastAsia="Times New Roman"/>
          <w:i/>
          <w:szCs w:val="24"/>
        </w:rPr>
        <w:t xml:space="preserve">. </w:t>
      </w:r>
      <w:r>
        <w:rPr>
          <w:rFonts w:eastAsia="Times New Roman"/>
          <w:szCs w:val="24"/>
        </w:rPr>
        <w:t>San Juan,</w:t>
      </w:r>
      <w:r w:rsidRPr="00E50D0C">
        <w:rPr>
          <w:rFonts w:eastAsia="Times New Roman"/>
          <w:i/>
          <w:szCs w:val="24"/>
        </w:rPr>
        <w:t xml:space="preserve"> </w:t>
      </w:r>
      <w:r w:rsidRPr="00E50D0C">
        <w:rPr>
          <w:rFonts w:eastAsia="Times New Roman"/>
          <w:szCs w:val="24"/>
        </w:rPr>
        <w:t>Universidad de Puerto Rico.</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Consejo de Salud v. Johnny Rullán, 593 F. Supp.2nd 386 (D. PR 2009)</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Corté</w:t>
      </w:r>
      <w:r w:rsidRPr="00BD682C">
        <w:rPr>
          <w:rFonts w:eastAsia="Times New Roman"/>
          <w:szCs w:val="24"/>
        </w:rPr>
        <w:t>s Chico, R. (2013</w:t>
      </w:r>
      <w:r>
        <w:rPr>
          <w:rFonts w:eastAsia="Times New Roman"/>
          <w:szCs w:val="24"/>
        </w:rPr>
        <w:t>, agosto 20</w:t>
      </w:r>
      <w:r w:rsidRPr="00BD682C">
        <w:rPr>
          <w:rFonts w:eastAsia="Times New Roman"/>
          <w:szCs w:val="24"/>
        </w:rPr>
        <w:t>) “Creen que asamblea constitucional puede romper el tranque del statu</w:t>
      </w:r>
      <w:r>
        <w:rPr>
          <w:rFonts w:eastAsia="Times New Roman"/>
          <w:szCs w:val="24"/>
        </w:rPr>
        <w:t xml:space="preserve">s”. </w:t>
      </w:r>
      <w:r w:rsidRPr="00E50D0C">
        <w:rPr>
          <w:rFonts w:eastAsia="Times New Roman"/>
          <w:i/>
          <w:szCs w:val="24"/>
        </w:rPr>
        <w:t>El Nuevo Día</w:t>
      </w:r>
      <w:r>
        <w:rPr>
          <w:rFonts w:eastAsia="Times New Roman"/>
          <w:szCs w:val="24"/>
        </w:rPr>
        <w:t xml:space="preserve">. Recuperado de </w:t>
      </w:r>
      <w:hyperlink r:id="rId28" w:history="1">
        <w:r w:rsidRPr="00BD682C">
          <w:rPr>
            <w:rFonts w:eastAsia="Times New Roman"/>
            <w:szCs w:val="24"/>
          </w:rPr>
          <w:t>http://www.elnuevodia.com/creenqueasambleaconstitucionalpuederompereltranquedelstatus-1576869.html</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Cotto Serrano, R. (2013). “Las elecciones en Estados Unidos y su pos</w:t>
      </w:r>
      <w:r>
        <w:rPr>
          <w:rFonts w:eastAsia="Times New Roman"/>
          <w:szCs w:val="24"/>
        </w:rPr>
        <w:t>ible impacto sobre Puerto Rico”.</w:t>
      </w:r>
      <w:r w:rsidRPr="00BD682C">
        <w:rPr>
          <w:rFonts w:eastAsia="Times New Roman"/>
          <w:szCs w:val="24"/>
        </w:rPr>
        <w:t xml:space="preserve"> </w:t>
      </w:r>
      <w:r w:rsidRPr="00E50D0C">
        <w:rPr>
          <w:rFonts w:eastAsia="Times New Roman"/>
          <w:i/>
          <w:szCs w:val="24"/>
        </w:rPr>
        <w:t>Huellas</w:t>
      </w:r>
      <w:r>
        <w:rPr>
          <w:rFonts w:eastAsia="Times New Roman"/>
          <w:i/>
          <w:szCs w:val="24"/>
        </w:rPr>
        <w:t xml:space="preserve"> de EE.UA</w:t>
      </w:r>
      <w:r>
        <w:rPr>
          <w:rFonts w:eastAsia="Times New Roman"/>
          <w:szCs w:val="24"/>
        </w:rPr>
        <w:t>. Recuperado de</w:t>
      </w:r>
      <w:r w:rsidRPr="00BD682C">
        <w:rPr>
          <w:rFonts w:eastAsia="Times New Roman"/>
          <w:szCs w:val="24"/>
        </w:rPr>
        <w:t xml:space="preserve"> </w:t>
      </w:r>
      <w:hyperlink r:id="rId29" w:history="1">
        <w:r w:rsidRPr="00BD682C">
          <w:rPr>
            <w:rFonts w:eastAsia="Times New Roman"/>
            <w:szCs w:val="24"/>
          </w:rPr>
          <w:t>www.huellasdeeua.com.ar</w:t>
        </w:r>
      </w:hyperlink>
      <w:r w:rsidRPr="00BD682C">
        <w:rPr>
          <w:rFonts w:eastAsia="Times New Roman"/>
          <w:szCs w:val="24"/>
        </w:rPr>
        <w:t xml:space="preserve">.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Daubón, R. (2002)</w:t>
      </w:r>
      <w:r>
        <w:rPr>
          <w:rFonts w:eastAsia="Times New Roman"/>
          <w:szCs w:val="24"/>
        </w:rPr>
        <w:t xml:space="preserve">.Capital social. San Juan: </w:t>
      </w:r>
      <w:r w:rsidRPr="00BD682C">
        <w:rPr>
          <w:rFonts w:eastAsia="Times New Roman"/>
          <w:szCs w:val="24"/>
        </w:rPr>
        <w:t>Editorial TalCual.</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10737F">
        <w:rPr>
          <w:rFonts w:eastAsia="Times New Roman"/>
          <w:szCs w:val="24"/>
          <w:lang w:val="en-US"/>
        </w:rPr>
        <w:t>Davidson, R. Oleszek, W. Lee, F.  (2013). Congress and i</w:t>
      </w:r>
      <w:r w:rsidRPr="005B5FEE">
        <w:rPr>
          <w:rFonts w:eastAsia="Times New Roman"/>
          <w:szCs w:val="24"/>
          <w:lang w:val="en-US"/>
        </w:rPr>
        <w:t xml:space="preserve">ts members Congress and Its Members, 14th Edition, CQ Press. </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E50D0C" w:rsidRDefault="00B015EE" w:rsidP="007538AA">
      <w:pPr>
        <w:widowControl w:val="0"/>
        <w:tabs>
          <w:tab w:val="left" w:pos="630"/>
        </w:tabs>
        <w:autoSpaceDE w:val="0"/>
        <w:autoSpaceDN w:val="0"/>
        <w:spacing w:line="240" w:lineRule="auto"/>
        <w:ind w:left="720" w:hanging="720"/>
        <w:jc w:val="left"/>
        <w:rPr>
          <w:rFonts w:eastAsia="Times New Roman"/>
          <w:i/>
          <w:szCs w:val="24"/>
          <w:lang w:val="en-US"/>
        </w:rPr>
      </w:pPr>
      <w:r w:rsidRPr="004A6812">
        <w:rPr>
          <w:rFonts w:eastAsia="Times New Roman"/>
          <w:szCs w:val="24"/>
          <w:lang w:val="en-US"/>
        </w:rPr>
        <w:t>Dávila</w:t>
      </w:r>
      <w:r w:rsidRPr="005B5FEE">
        <w:rPr>
          <w:rFonts w:eastAsia="Times New Roman"/>
          <w:szCs w:val="24"/>
          <w:lang w:val="en-US"/>
        </w:rPr>
        <w:t xml:space="preserve">-Colón, LR (1981). </w:t>
      </w:r>
      <w:r w:rsidRPr="00E50D0C">
        <w:rPr>
          <w:rFonts w:eastAsia="Times New Roman"/>
          <w:i/>
          <w:szCs w:val="24"/>
          <w:lang w:val="en-US"/>
        </w:rPr>
        <w:t>“Equal Citizenship, Self-Determination, and the U.S. Statehood</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E50D0C">
        <w:rPr>
          <w:rFonts w:eastAsia="Times New Roman"/>
          <w:i/>
          <w:szCs w:val="24"/>
          <w:lang w:val="en-US"/>
        </w:rPr>
        <w:t>Process: A Constitut</w:t>
      </w:r>
      <w:r>
        <w:rPr>
          <w:rFonts w:eastAsia="Times New Roman"/>
          <w:i/>
          <w:szCs w:val="24"/>
          <w:lang w:val="en-US"/>
        </w:rPr>
        <w:t xml:space="preserve">ional and Historical Analysis”. </w:t>
      </w:r>
      <w:r w:rsidRPr="004A6812">
        <w:rPr>
          <w:rFonts w:eastAsia="Times New Roman"/>
          <w:szCs w:val="24"/>
          <w:lang w:val="en-US"/>
        </w:rPr>
        <w:t>13 CASE W. RES. J. INT’L L. 315, 374.</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Delgado, J. (2014)</w:t>
      </w:r>
      <w:r w:rsidRPr="005140D0">
        <w:t xml:space="preserve"> </w:t>
      </w:r>
      <w:r w:rsidRPr="005140D0">
        <w:rPr>
          <w:rFonts w:eastAsia="Times New Roman"/>
          <w:szCs w:val="24"/>
        </w:rPr>
        <w:t xml:space="preserve">Es ley el lenguaje de status </w:t>
      </w:r>
      <w:r>
        <w:rPr>
          <w:rFonts w:eastAsia="Times New Roman"/>
          <w:szCs w:val="24"/>
        </w:rPr>
        <w:t xml:space="preserve">, </w:t>
      </w:r>
      <w:r w:rsidRPr="005140D0">
        <w:rPr>
          <w:rFonts w:eastAsia="Times New Roman"/>
          <w:szCs w:val="24"/>
        </w:rPr>
        <w:t>Queda en manos del gobierno de Puerto Rico decidir si utiliza la propuesta federal</w:t>
      </w:r>
      <w:r>
        <w:rPr>
          <w:rFonts w:eastAsia="Times New Roman"/>
          <w:szCs w:val="24"/>
        </w:rPr>
        <w:t>.</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ab/>
        <w:t xml:space="preserve">Recuperado de </w:t>
      </w:r>
      <w:r w:rsidRPr="005140D0">
        <w:rPr>
          <w:rFonts w:eastAsia="Times New Roman"/>
          <w:szCs w:val="24"/>
        </w:rPr>
        <w:t>http://www.elnuevodia.com/esleyellenguajedestatus-1691923.html</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Delgado, J. (2013</w:t>
      </w:r>
      <w:r>
        <w:rPr>
          <w:rFonts w:eastAsia="Times New Roman"/>
          <w:szCs w:val="24"/>
        </w:rPr>
        <w:t>,</w:t>
      </w:r>
      <w:r w:rsidRPr="00E50D0C">
        <w:rPr>
          <w:rFonts w:eastAsia="Times New Roman"/>
          <w:szCs w:val="24"/>
        </w:rPr>
        <w:t xml:space="preserve"> </w:t>
      </w:r>
      <w:r>
        <w:rPr>
          <w:rFonts w:eastAsia="Times New Roman"/>
          <w:szCs w:val="24"/>
        </w:rPr>
        <w:t xml:space="preserve">septiembre  29). </w:t>
      </w:r>
      <w:r w:rsidRPr="00BD682C">
        <w:rPr>
          <w:rFonts w:eastAsia="Times New Roman"/>
          <w:szCs w:val="24"/>
        </w:rPr>
        <w:t xml:space="preserve">“Con más boricuas afuera que adentro”. </w:t>
      </w:r>
      <w:r w:rsidRPr="00E50D0C">
        <w:rPr>
          <w:rFonts w:eastAsia="Times New Roman"/>
          <w:i/>
          <w:szCs w:val="24"/>
        </w:rPr>
        <w:t>El Nuevo Día</w:t>
      </w:r>
      <w:r w:rsidRPr="00BD682C">
        <w:rPr>
          <w:rFonts w:eastAsia="Times New Roman"/>
          <w:szCs w:val="24"/>
        </w:rPr>
        <w:t xml:space="preserve"> . </w:t>
      </w:r>
      <w:r>
        <w:rPr>
          <w:rFonts w:eastAsia="Times New Roman"/>
          <w:szCs w:val="24"/>
        </w:rPr>
        <w:t xml:space="preserve">Recuperado de </w:t>
      </w:r>
      <w:hyperlink r:id="rId30" w:history="1">
        <w:r w:rsidRPr="00BD682C">
          <w:rPr>
            <w:rFonts w:eastAsia="Times New Roman"/>
            <w:szCs w:val="24"/>
          </w:rPr>
          <w:t>http://www.elnuevodia.com/conmasboricuasafueraqueadentro-1606985.html</w:t>
        </w:r>
      </w:hyperlink>
      <w:r w:rsidRPr="00BD682C">
        <w:rPr>
          <w:rFonts w:eastAsia="Times New Roman"/>
          <w:szCs w:val="24"/>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Delgado, J. (2013).  “Atrasado el informe sobre la estadidad”, 8 de noviembre de 2013. </w:t>
      </w:r>
      <w:hyperlink r:id="rId31" w:history="1">
        <w:r w:rsidRPr="005B5FEE">
          <w:rPr>
            <w:rFonts w:eastAsia="Times New Roman"/>
            <w:szCs w:val="24"/>
            <w:lang w:val="en-US"/>
          </w:rPr>
          <w:t>http://www.elnuevodia.com/blog-atrasadoelinformesobrelaestadidad-1639328.html</w:t>
        </w:r>
      </w:hyperlink>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Downes v. Bidwell</w:t>
      </w:r>
      <w:r>
        <w:rPr>
          <w:rFonts w:eastAsia="Times New Roman"/>
          <w:szCs w:val="24"/>
          <w:lang w:val="en-US"/>
        </w:rPr>
        <w:t>.</w:t>
      </w:r>
      <w:r w:rsidRPr="005B5FEE">
        <w:rPr>
          <w:rFonts w:eastAsia="Times New Roman"/>
          <w:szCs w:val="24"/>
          <w:lang w:val="en-US"/>
        </w:rPr>
        <w:t xml:space="preserve"> 182 U.S. 244. </w:t>
      </w:r>
      <w:r>
        <w:rPr>
          <w:rFonts w:eastAsia="Times New Roman"/>
          <w:szCs w:val="24"/>
          <w:lang w:val="en-US"/>
        </w:rPr>
        <w:t>(1901)</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2A159D"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 xml:space="preserve">D. R. (2013).  Information on </w:t>
      </w:r>
      <w:r>
        <w:rPr>
          <w:rFonts w:eastAsia="Times New Roman"/>
          <w:szCs w:val="24"/>
          <w:lang w:val="en-US"/>
        </w:rPr>
        <w:t xml:space="preserve">the 113th Congress (2013-2014). </w:t>
      </w:r>
      <w:r w:rsidRPr="002A159D">
        <w:rPr>
          <w:rFonts w:eastAsia="Times New Roman"/>
          <w:szCs w:val="24"/>
          <w:lang w:val="es-ES"/>
        </w:rPr>
        <w:t>Recuperado de http://bipartisanpolicy.org/sites/default/files/Profile-113th.pdf</w:t>
      </w:r>
    </w:p>
    <w:p w:rsidR="00B015EE" w:rsidRPr="007F49FA"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Duany, J. (2002). The Puerto Rican Nation on the Move: Identities on the Island and in the United States. The University of North Carolina Press.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Duany, J. (2003). “Nation, migration, identity: The case of Puerto Ricans”. </w:t>
      </w:r>
      <w:r w:rsidRPr="00561D0C">
        <w:rPr>
          <w:rFonts w:eastAsia="Times New Roman"/>
          <w:i/>
          <w:szCs w:val="24"/>
          <w:lang w:val="en-US"/>
        </w:rPr>
        <w:t>Latino Studies</w:t>
      </w:r>
      <w:r w:rsidRPr="005B5FEE">
        <w:rPr>
          <w:rFonts w:eastAsia="Times New Roman"/>
          <w:szCs w:val="24"/>
          <w:lang w:val="en-US"/>
        </w:rPr>
        <w:t>. 424–444.</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Duffy Burnett, C. y Marshall, B. (2001). Foreign in a Domestic Sense: Puerto Rico, American Expansion, and the Constitution. Durham, North Carolina, USA: Duke University Press.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Duffy Burnett, C (2005). “Untied States American expansion</w:t>
      </w:r>
      <w:r>
        <w:rPr>
          <w:rFonts w:eastAsia="Times New Roman"/>
          <w:szCs w:val="24"/>
          <w:lang w:val="en-US"/>
        </w:rPr>
        <w:t xml:space="preserve"> and territorial Deannexation”. </w:t>
      </w:r>
      <w:r w:rsidRPr="00561D0C">
        <w:rPr>
          <w:rFonts w:eastAsia="Times New Roman"/>
          <w:i/>
          <w:szCs w:val="24"/>
          <w:lang w:val="en-US"/>
        </w:rPr>
        <w:t>Chicago Law  Review</w:t>
      </w:r>
      <w:r>
        <w:rPr>
          <w:rFonts w:eastAsia="Times New Roman"/>
          <w:szCs w:val="24"/>
          <w:lang w:val="en-US"/>
        </w:rPr>
        <w:t xml:space="preserve">, 72 (3). Recuperado de </w:t>
      </w:r>
      <w:r w:rsidRPr="005B5FEE">
        <w:rPr>
          <w:rFonts w:eastAsia="Times New Roman"/>
          <w:szCs w:val="24"/>
          <w:lang w:val="en-US"/>
        </w:rPr>
        <w:t>http://thepocketpart.org/2007/05/19/burnett.html.</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Duffy Burnett, C. (2007). “Two Puerto Rican Senators Stay Home”. </w:t>
      </w:r>
      <w:r w:rsidRPr="00561D0C">
        <w:rPr>
          <w:rFonts w:eastAsia="Times New Roman"/>
          <w:i/>
          <w:szCs w:val="24"/>
          <w:lang w:val="en-US"/>
        </w:rPr>
        <w:t>Yale Law Journal</w:t>
      </w:r>
      <w:r w:rsidRPr="005B5FEE">
        <w:rPr>
          <w:rFonts w:eastAsia="Times New Roman"/>
          <w:szCs w:val="24"/>
          <w:lang w:val="en-US"/>
        </w:rPr>
        <w:t xml:space="preserve">.  </w:t>
      </w:r>
      <w:hyperlink r:id="rId32" w:history="1">
        <w:r w:rsidRPr="005B5FEE">
          <w:rPr>
            <w:rFonts w:eastAsia="Times New Roman"/>
            <w:szCs w:val="24"/>
            <w:lang w:val="en-US"/>
          </w:rPr>
          <w:t>http://yalelawjournal.org/the-yale-law-journal-pocket-part/constitutional-law/two-puerto-rican-senators-stay-home</w:t>
        </w:r>
      </w:hyperlink>
      <w:r w:rsidRPr="005B5FEE">
        <w:rPr>
          <w:rFonts w:eastAsia="Times New Roman"/>
          <w:szCs w:val="24"/>
          <w:lang w:val="en-US"/>
        </w:rPr>
        <w:t xml:space="preserve"> 116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4A681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4A6812">
        <w:rPr>
          <w:rFonts w:eastAsia="Times New Roman"/>
          <w:szCs w:val="24"/>
          <w:lang w:val="en-US"/>
        </w:rPr>
        <w:t>Duffy Burnett, C. (2008)</w:t>
      </w:r>
      <w:r>
        <w:rPr>
          <w:rFonts w:eastAsia="Times New Roman"/>
          <w:szCs w:val="24"/>
          <w:lang w:val="en-US"/>
        </w:rPr>
        <w:t>.</w:t>
      </w:r>
      <w:r w:rsidRPr="004A6812">
        <w:rPr>
          <w:rFonts w:eastAsia="Times New Roman"/>
          <w:szCs w:val="24"/>
          <w:lang w:val="en-US"/>
        </w:rPr>
        <w:t xml:space="preserve"> “They Say I am Not an American . . .”: The Noncitizen</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National and the Law of American Empire, 48 VA. J. INT’L L. 659, 714.</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Duffy Burnett, C. (2009) “A convenient Constitution? Extraterritoriali</w:t>
      </w:r>
      <w:r>
        <w:rPr>
          <w:rFonts w:eastAsia="Times New Roman"/>
          <w:szCs w:val="24"/>
          <w:lang w:val="en-US"/>
        </w:rPr>
        <w:t>ty after Boumediene.</w:t>
      </w:r>
      <w:r w:rsidRPr="005B5FEE">
        <w:rPr>
          <w:rFonts w:eastAsia="Times New Roman"/>
          <w:szCs w:val="24"/>
          <w:lang w:val="en-US"/>
        </w:rPr>
        <w:t xml:space="preserve"> </w:t>
      </w:r>
      <w:r w:rsidRPr="00561D0C">
        <w:rPr>
          <w:rFonts w:eastAsia="Times New Roman"/>
          <w:i/>
          <w:szCs w:val="24"/>
          <w:lang w:val="en-US"/>
        </w:rPr>
        <w:t>Columbia Law Review</w:t>
      </w:r>
      <w:r>
        <w:rPr>
          <w:rFonts w:eastAsia="Times New Roman"/>
          <w:szCs w:val="24"/>
          <w:lang w:val="en-US"/>
        </w:rPr>
        <w:t>, 109</w:t>
      </w:r>
      <w:r w:rsidRPr="005B5FEE">
        <w:rPr>
          <w:rFonts w:eastAsia="Times New Roman"/>
          <w:szCs w:val="24"/>
          <w:lang w:val="en-US"/>
        </w:rPr>
        <w:t xml:space="preserve"> </w:t>
      </w:r>
      <w:r>
        <w:rPr>
          <w:rFonts w:eastAsia="Times New Roman"/>
          <w:szCs w:val="24"/>
          <w:lang w:val="en-US"/>
        </w:rPr>
        <w:t>(</w:t>
      </w:r>
      <w:r w:rsidRPr="005B5FEE">
        <w:rPr>
          <w:rFonts w:eastAsia="Times New Roman"/>
          <w:szCs w:val="24"/>
          <w:lang w:val="en-US"/>
        </w:rPr>
        <w:t>973</w:t>
      </w:r>
      <w:r>
        <w:rPr>
          <w:rFonts w:eastAsia="Times New Roman"/>
          <w:szCs w:val="24"/>
          <w:lang w:val="en-US"/>
        </w:rPr>
        <w:t>)</w:t>
      </w:r>
      <w:r w:rsidRPr="005B5FEE">
        <w:rPr>
          <w:rFonts w:eastAsia="Times New Roman"/>
          <w:szCs w:val="24"/>
          <w:lang w:val="en-US"/>
        </w:rPr>
        <w:t>.</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6244A3"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Duprey Salgado, N. (2002). </w:t>
      </w:r>
      <w:r w:rsidRPr="00561D0C">
        <w:rPr>
          <w:rFonts w:eastAsia="Times New Roman"/>
          <w:i/>
          <w:szCs w:val="24"/>
        </w:rPr>
        <w:t>Crónica de una guerra anunciada</w:t>
      </w:r>
      <w:r w:rsidRPr="00BD682C">
        <w:rPr>
          <w:rFonts w:eastAsia="Times New Roman"/>
          <w:szCs w:val="24"/>
        </w:rPr>
        <w:t>. San Juan, Puerto Rico: Editorial Cultural.</w:t>
      </w:r>
    </w:p>
    <w:p w:rsidR="00B015EE" w:rsidRPr="006244A3"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91703D"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Duprey Salgado, N. (2010). “La Vuelta al Círculo: Las comisiones presidenciales norteamericanas y Puerto Rico”. </w:t>
      </w:r>
      <w:r w:rsidRPr="0091703D">
        <w:rPr>
          <w:rFonts w:eastAsia="Times New Roman"/>
          <w:i/>
          <w:szCs w:val="24"/>
        </w:rPr>
        <w:t>Claridad</w:t>
      </w:r>
      <w:r w:rsidRPr="0091703D">
        <w:rPr>
          <w:rFonts w:eastAsia="Times New Roman"/>
          <w:szCs w:val="24"/>
        </w:rPr>
        <w:t>.</w:t>
      </w:r>
    </w:p>
    <w:p w:rsidR="00B015EE" w:rsidRPr="0091703D"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91703D">
        <w:rPr>
          <w:rFonts w:eastAsia="Times New Roman"/>
          <w:szCs w:val="24"/>
        </w:rPr>
        <w:t xml:space="preserve">    </w:t>
      </w:r>
    </w:p>
    <w:p w:rsidR="00B015EE" w:rsidRPr="00561D0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91703D">
        <w:rPr>
          <w:rFonts w:eastAsia="Times New Roman"/>
          <w:szCs w:val="24"/>
        </w:rPr>
        <w:t xml:space="preserve">El Nasser, H. (2012). “Puerto Rico's population exodus is all about jobs”, </w:t>
      </w:r>
      <w:r w:rsidRPr="0091703D">
        <w:rPr>
          <w:rFonts w:eastAsia="Times New Roman"/>
          <w:i/>
          <w:szCs w:val="24"/>
        </w:rPr>
        <w:t xml:space="preserve">USA TODAY. </w:t>
      </w:r>
      <w:r w:rsidRPr="00561D0C">
        <w:rPr>
          <w:rFonts w:eastAsia="Times New Roman"/>
          <w:szCs w:val="24"/>
        </w:rPr>
        <w:t xml:space="preserve">Recuperado de </w:t>
      </w:r>
      <w:hyperlink r:id="rId33" w:history="1">
        <w:r w:rsidRPr="00561D0C">
          <w:rPr>
            <w:rFonts w:eastAsia="Times New Roman"/>
            <w:szCs w:val="24"/>
          </w:rPr>
          <w:t>http://usatoday30.usatoday.com/news/nation/story/2012-03-11/puerto-rico-economy-brain-drain-exodus/53490820/1</w:t>
        </w:r>
      </w:hyperlink>
      <w:r w:rsidRPr="00561D0C">
        <w:rPr>
          <w:rFonts w:eastAsia="Times New Roman"/>
          <w:szCs w:val="24"/>
        </w:rPr>
        <w:t>.</w:t>
      </w:r>
    </w:p>
    <w:p w:rsidR="00B015EE" w:rsidRPr="00561D0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61D0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3D1A30">
        <w:rPr>
          <w:rFonts w:eastAsia="Times New Roman"/>
          <w:szCs w:val="24"/>
        </w:rPr>
        <w:t xml:space="preserve">Rivera Quiñones </w:t>
      </w:r>
      <w:r>
        <w:rPr>
          <w:rFonts w:eastAsia="Times New Roman"/>
          <w:szCs w:val="24"/>
        </w:rPr>
        <w:t xml:space="preserve">I. </w:t>
      </w:r>
      <w:r w:rsidRPr="003D1A30">
        <w:rPr>
          <w:rFonts w:eastAsia="Times New Roman"/>
          <w:szCs w:val="24"/>
        </w:rPr>
        <w:t xml:space="preserve"> </w:t>
      </w:r>
      <w:r>
        <w:rPr>
          <w:rFonts w:eastAsia="Times New Roman"/>
          <w:szCs w:val="24"/>
        </w:rPr>
        <w:t>(2012, noviembre 15)</w:t>
      </w:r>
      <w:r w:rsidRPr="00BD682C">
        <w:rPr>
          <w:rFonts w:eastAsia="Times New Roman"/>
          <w:szCs w:val="24"/>
        </w:rPr>
        <w:t xml:space="preserve"> “ALAS continuará trabajo para conseguir el ELA soberano”. </w:t>
      </w:r>
      <w:r w:rsidRPr="00561D0C">
        <w:rPr>
          <w:rFonts w:eastAsia="Times New Roman"/>
          <w:i/>
          <w:szCs w:val="24"/>
        </w:rPr>
        <w:t>El Nuevo Día.</w:t>
      </w:r>
      <w:r>
        <w:rPr>
          <w:rFonts w:eastAsia="Times New Roman"/>
          <w:szCs w:val="24"/>
        </w:rPr>
        <w:t xml:space="preserve"> Recuperado de </w:t>
      </w:r>
      <w:hyperlink r:id="rId34" w:history="1">
        <w:r w:rsidRPr="00561D0C">
          <w:rPr>
            <w:rFonts w:eastAsia="Times New Roman"/>
            <w:szCs w:val="24"/>
          </w:rPr>
          <w:t>http://www.elnuevodia.com/Xstatic/endi/template/imprimir.aspx?id=1386509&amp;t=3</w:t>
        </w:r>
      </w:hyperlink>
      <w:r w:rsidRPr="00561D0C">
        <w:rPr>
          <w:rFonts w:eastAsia="Times New Roman"/>
          <w:szCs w:val="24"/>
        </w:rPr>
        <w:t>.</w:t>
      </w:r>
    </w:p>
    <w:p w:rsidR="00B015EE" w:rsidRPr="00561D0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61D0C">
        <w:rPr>
          <w:rFonts w:eastAsia="Times New Roman"/>
          <w:szCs w:val="24"/>
        </w:rPr>
        <w:t xml:space="preserve">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English First, “Puerto Rico &amp; Statehood: Why Congress Must Settle the Language Issue Before Puerto Rico Makes its Choice</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Erman, S.</w:t>
      </w:r>
      <w:r w:rsidRPr="00561D0C">
        <w:rPr>
          <w:rFonts w:eastAsia="Times New Roman"/>
          <w:szCs w:val="24"/>
          <w:lang w:val="en-US"/>
        </w:rPr>
        <w:t xml:space="preserve"> </w:t>
      </w:r>
      <w:r>
        <w:rPr>
          <w:rFonts w:eastAsia="Times New Roman"/>
          <w:szCs w:val="24"/>
          <w:lang w:val="en-US"/>
        </w:rPr>
        <w:t>(2008).</w:t>
      </w:r>
      <w:r w:rsidRPr="005B5FEE">
        <w:rPr>
          <w:rFonts w:eastAsia="Times New Roman"/>
          <w:szCs w:val="24"/>
          <w:lang w:val="en-US"/>
        </w:rPr>
        <w:t xml:space="preserve"> “Meanings of citizenship</w:t>
      </w:r>
      <w:r>
        <w:rPr>
          <w:rFonts w:eastAsia="Times New Roman"/>
          <w:szCs w:val="24"/>
          <w:lang w:val="en-US"/>
        </w:rPr>
        <w:t xml:space="preserve"> in the US Empire: Puerto Rico. </w:t>
      </w:r>
      <w:r w:rsidRPr="00561D0C">
        <w:rPr>
          <w:rFonts w:eastAsia="Times New Roman"/>
          <w:i/>
          <w:szCs w:val="24"/>
          <w:lang w:val="en-US"/>
        </w:rPr>
        <w:t>Journal of American Ethnic History</w:t>
      </w:r>
      <w:r w:rsidRPr="005B5FEE">
        <w:rPr>
          <w:rFonts w:eastAsia="Times New Roman"/>
          <w:szCs w:val="24"/>
          <w:lang w:val="en-US"/>
        </w:rPr>
        <w:t xml:space="preserve">, </w:t>
      </w:r>
      <w:r>
        <w:rPr>
          <w:rFonts w:eastAsia="Times New Roman"/>
          <w:szCs w:val="24"/>
          <w:lang w:val="en-US"/>
        </w:rPr>
        <w:t>27 (</w:t>
      </w:r>
      <w:r w:rsidRPr="005B5FEE">
        <w:rPr>
          <w:rFonts w:eastAsia="Times New Roman"/>
          <w:szCs w:val="24"/>
          <w:lang w:val="en-US"/>
        </w:rPr>
        <w:t>4</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 xml:space="preserve">Falcón, A. </w:t>
      </w:r>
      <w:r w:rsidRPr="005B5FEE">
        <w:rPr>
          <w:rFonts w:eastAsia="Times New Roman"/>
          <w:szCs w:val="24"/>
          <w:lang w:val="en-US"/>
        </w:rPr>
        <w:t>(2007</w:t>
      </w:r>
      <w:r w:rsidRPr="00561D0C">
        <w:rPr>
          <w:rFonts w:eastAsia="Times New Roman"/>
          <w:szCs w:val="24"/>
          <w:lang w:val="en-US"/>
        </w:rPr>
        <w:t xml:space="preserve"> </w:t>
      </w:r>
      <w:r w:rsidRPr="005B5FEE">
        <w:rPr>
          <w:rFonts w:eastAsia="Times New Roman"/>
          <w:szCs w:val="24"/>
          <w:lang w:val="en-US"/>
        </w:rPr>
        <w:t xml:space="preserve">Nov/Dec):  “The Diaspora Factor: Stateside Boricuas </w:t>
      </w:r>
      <w:r>
        <w:rPr>
          <w:rFonts w:eastAsia="Times New Roman"/>
          <w:szCs w:val="24"/>
          <w:lang w:val="en-US"/>
        </w:rPr>
        <w:t>and the Future of  Puerto Rico”.</w:t>
      </w:r>
      <w:r w:rsidRPr="005B5FEE">
        <w:rPr>
          <w:rFonts w:eastAsia="Times New Roman"/>
          <w:szCs w:val="24"/>
          <w:lang w:val="en-US"/>
        </w:rPr>
        <w:t xml:space="preserve">  NACLA</w:t>
      </w:r>
      <w:r>
        <w:rPr>
          <w:rFonts w:eastAsia="Times New Roman"/>
          <w:szCs w:val="24"/>
          <w:lang w:val="en-US"/>
        </w:rPr>
        <w:t>,</w:t>
      </w:r>
      <w:r w:rsidRPr="005B5FEE">
        <w:rPr>
          <w:rFonts w:eastAsia="Times New Roman"/>
          <w:szCs w:val="24"/>
          <w:lang w:val="en-US"/>
        </w:rPr>
        <w:t xml:space="preserve"> Report on the Americas 40. 6 </w:t>
      </w:r>
      <w:r>
        <w:rPr>
          <w:rFonts w:eastAsia="Times New Roman"/>
          <w:szCs w:val="24"/>
          <w:lang w:val="en-US"/>
        </w:rPr>
        <w:t>(</w:t>
      </w:r>
      <w:r w:rsidRPr="005B5FEE">
        <w:rPr>
          <w:rFonts w:eastAsia="Times New Roman"/>
          <w:szCs w:val="24"/>
          <w:lang w:val="en-US"/>
        </w:rPr>
        <w:t>2</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Farrell, M., </w:t>
      </w:r>
      <w:r>
        <w:rPr>
          <w:rFonts w:eastAsia="Times New Roman"/>
          <w:szCs w:val="24"/>
          <w:lang w:val="en-US"/>
        </w:rPr>
        <w:t>(</w:t>
      </w:r>
      <w:r w:rsidRPr="005B5FEE">
        <w:rPr>
          <w:rFonts w:eastAsia="Times New Roman"/>
          <w:szCs w:val="24"/>
          <w:lang w:val="en-US"/>
        </w:rPr>
        <w:t>2013</w:t>
      </w:r>
      <w:r>
        <w:rPr>
          <w:rFonts w:eastAsia="Times New Roman"/>
          <w:szCs w:val="24"/>
          <w:lang w:val="en-US"/>
        </w:rPr>
        <w:t>, octubre 31)</w:t>
      </w:r>
      <w:r w:rsidRPr="005B5FEE">
        <w:rPr>
          <w:rFonts w:eastAsia="Times New Roman"/>
          <w:szCs w:val="24"/>
          <w:lang w:val="en-US"/>
        </w:rPr>
        <w:t xml:space="preserve">. “Is Puerto Rico the next Detroit?”. </w:t>
      </w:r>
      <w:r w:rsidRPr="00174310">
        <w:rPr>
          <w:rFonts w:eastAsia="Times New Roman"/>
          <w:i/>
          <w:szCs w:val="24"/>
        </w:rPr>
        <w:t>CNN.</w:t>
      </w:r>
      <w:r w:rsidRPr="00174310">
        <w:rPr>
          <w:rFonts w:eastAsia="Times New Roman"/>
          <w:szCs w:val="24"/>
        </w:rPr>
        <w:t xml:space="preserve"> Recuperado de http://money.cnn.com/2013/10/31/investing/puerto-rico-hedge-funds/ </w:t>
      </w:r>
      <w:r w:rsidRPr="00BD682C">
        <w:rPr>
          <w:rFonts w:eastAsia="Times New Roman"/>
          <w:szCs w:val="24"/>
        </w:rPr>
        <w:t>.31 de octubre de 2013.</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Faries, B., Braun, M. Kaske, M. (2013</w:t>
      </w:r>
      <w:r>
        <w:rPr>
          <w:rFonts w:eastAsia="Times New Roman"/>
          <w:szCs w:val="24"/>
          <w:lang w:val="en-US"/>
        </w:rPr>
        <w:t>, octubre 22</w:t>
      </w:r>
      <w:r w:rsidRPr="005B5FEE">
        <w:rPr>
          <w:rFonts w:eastAsia="Times New Roman"/>
          <w:szCs w:val="24"/>
          <w:lang w:val="en-US"/>
        </w:rPr>
        <w:t>). “How Wall Street Fed Puerto Rico’s $70 Billion Debt Binge”</w:t>
      </w:r>
      <w:r>
        <w:rPr>
          <w:rFonts w:eastAsia="Times New Roman"/>
          <w:szCs w:val="24"/>
          <w:lang w:val="en-US"/>
        </w:rPr>
        <w:t xml:space="preserve">. </w:t>
      </w:r>
      <w:r w:rsidRPr="00174310">
        <w:rPr>
          <w:rFonts w:eastAsia="Times New Roman"/>
          <w:i/>
          <w:szCs w:val="24"/>
        </w:rPr>
        <w:t>Bloomberg.</w:t>
      </w:r>
      <w:r>
        <w:rPr>
          <w:rFonts w:eastAsia="Times New Roman"/>
          <w:i/>
          <w:szCs w:val="24"/>
        </w:rPr>
        <w:t xml:space="preserve"> </w:t>
      </w:r>
      <w:r w:rsidRPr="00174310">
        <w:rPr>
          <w:rFonts w:eastAsia="Times New Roman"/>
          <w:szCs w:val="24"/>
        </w:rPr>
        <w:t xml:space="preserve">Recuperado de </w:t>
      </w:r>
      <w:hyperlink r:id="rId35" w:history="1">
        <w:r w:rsidRPr="00174310">
          <w:rPr>
            <w:rFonts w:eastAsia="Times New Roman"/>
            <w:szCs w:val="24"/>
          </w:rPr>
          <w:t>http://www.bloomberg.com/news/2013-10-22/how-wall-street-fed-puerto-rico-s-70-billion-borrowing-binge.html</w:t>
        </w:r>
      </w:hyperlink>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Farnam. T.W. (2011, 5 de diciembre). </w:t>
      </w:r>
      <w:r w:rsidRPr="005B5FEE">
        <w:rPr>
          <w:rFonts w:eastAsia="Times New Roman"/>
          <w:szCs w:val="24"/>
          <w:lang w:val="en-US"/>
        </w:rPr>
        <w:t xml:space="preserve">In race for campaign funds from billionaires, Romney outpaces Obama. </w:t>
      </w:r>
      <w:r w:rsidRPr="00174310">
        <w:rPr>
          <w:rFonts w:eastAsia="Times New Roman"/>
          <w:i/>
          <w:szCs w:val="24"/>
          <w:lang w:val="en-US"/>
        </w:rPr>
        <w:t>The Washington Post</w:t>
      </w:r>
      <w:r>
        <w:rPr>
          <w:rFonts w:eastAsia="Times New Roman"/>
          <w:szCs w:val="24"/>
          <w:lang w:val="en-US"/>
        </w:rPr>
        <w:t xml:space="preserve">. </w:t>
      </w:r>
      <w:r w:rsidRPr="0010737F">
        <w:rPr>
          <w:rFonts w:eastAsia="Times New Roman"/>
          <w:szCs w:val="24"/>
          <w:lang w:val="en-US"/>
        </w:rPr>
        <w:t xml:space="preserve">Recuperado de </w:t>
      </w:r>
      <w:hyperlink r:id="rId36" w:history="1">
        <w:r w:rsidRPr="0010737F">
          <w:rPr>
            <w:rFonts w:eastAsia="Times New Roman"/>
            <w:szCs w:val="24"/>
            <w:lang w:val="en-US"/>
          </w:rPr>
          <w:t>http://www.washingtonpost.com/politics/in-race-for-campaign-funds-from-billionaires-romney-outpaces-obama/2011/12/01/gIQAxQLsXO_story.html</w:t>
        </w:r>
      </w:hyperlink>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Fernández, R. (1992).  </w:t>
      </w:r>
      <w:r w:rsidRPr="00174310">
        <w:rPr>
          <w:rFonts w:eastAsia="Times New Roman"/>
          <w:i/>
          <w:szCs w:val="24"/>
          <w:lang w:val="en-US"/>
        </w:rPr>
        <w:t>The Disenchanted Island: Puerto Rico and the United States in the twentieth century</w:t>
      </w:r>
      <w:r w:rsidRPr="005B5FEE">
        <w:rPr>
          <w:rFonts w:eastAsia="Times New Roman"/>
          <w:szCs w:val="24"/>
          <w:lang w:val="en-US"/>
        </w:rPr>
        <w:t xml:space="preserve">. New York, New York, USA: Praeger Publishers.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Fernós Isern, A. (1974). </w:t>
      </w:r>
      <w:r w:rsidRPr="00174310">
        <w:rPr>
          <w:rFonts w:eastAsia="Times New Roman"/>
          <w:i/>
          <w:szCs w:val="24"/>
        </w:rPr>
        <w:t>Estado Libre Asociado de Puerto Rico: antecedentes, creación y desarrollo hasta la época presente</w:t>
      </w:r>
      <w:r w:rsidRPr="00BD682C">
        <w:rPr>
          <w:rFonts w:eastAsia="Times New Roman"/>
          <w:szCs w:val="24"/>
        </w:rPr>
        <w:t xml:space="preserve">. </w:t>
      </w:r>
      <w:r>
        <w:rPr>
          <w:rFonts w:eastAsia="Times New Roman"/>
          <w:szCs w:val="24"/>
        </w:rPr>
        <w:t xml:space="preserve">San Juan: </w:t>
      </w:r>
      <w:r w:rsidRPr="00BD682C">
        <w:rPr>
          <w:rFonts w:eastAsia="Times New Roman"/>
          <w:szCs w:val="24"/>
        </w:rPr>
        <w:t>Editorial Universitaria, Universidad de Puerto Rico.</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Finger, J. Vélez-Hagan (2013</w:t>
      </w:r>
      <w:r>
        <w:rPr>
          <w:rFonts w:eastAsia="Times New Roman"/>
          <w:szCs w:val="24"/>
        </w:rPr>
        <w:t>, diciembre 1</w:t>
      </w:r>
      <w:r w:rsidRPr="00BD682C">
        <w:rPr>
          <w:rFonts w:eastAsia="Times New Roman"/>
          <w:szCs w:val="24"/>
        </w:rPr>
        <w:t xml:space="preserve">). </w:t>
      </w:r>
      <w:r w:rsidRPr="0010737F">
        <w:rPr>
          <w:rFonts w:eastAsia="Times New Roman"/>
          <w:szCs w:val="24"/>
          <w:lang w:val="es-ES"/>
        </w:rPr>
        <w:t xml:space="preserve">“Default: Puerto Rico's Inevitable Option”. </w:t>
      </w:r>
      <w:r w:rsidRPr="00174310">
        <w:rPr>
          <w:rFonts w:eastAsia="Times New Roman"/>
          <w:i/>
          <w:szCs w:val="24"/>
        </w:rPr>
        <w:t>Forbes</w:t>
      </w:r>
      <w:r w:rsidRPr="00174310">
        <w:rPr>
          <w:rFonts w:eastAsia="Times New Roman"/>
          <w:szCs w:val="24"/>
        </w:rPr>
        <w:t xml:space="preserve">. </w:t>
      </w:r>
      <w:r>
        <w:rPr>
          <w:rFonts w:eastAsia="Times New Roman"/>
          <w:szCs w:val="24"/>
        </w:rPr>
        <w:t xml:space="preserve">Recuperado de </w:t>
      </w:r>
      <w:r w:rsidRPr="00174310">
        <w:rPr>
          <w:rFonts w:eastAsia="Times New Roman"/>
          <w:szCs w:val="24"/>
        </w:rPr>
        <w:t>http://www.forbes.com/sites/richardfinger/2013/12/01/default-puerto-ricos-inevitable-option/.</w:t>
      </w:r>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Fiorina (1989). Congress, Keystone of the Washington Establishment. New Ha</w:t>
      </w:r>
      <w:r>
        <w:rPr>
          <w:rFonts w:eastAsia="Times New Roman"/>
          <w:szCs w:val="24"/>
          <w:lang w:val="en-US"/>
        </w:rPr>
        <w:t>ven: Yale University Press</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Fletcher, MA (2013</w:t>
      </w:r>
      <w:r>
        <w:rPr>
          <w:rFonts w:eastAsia="Times New Roman"/>
          <w:szCs w:val="24"/>
          <w:lang w:val="en-US"/>
        </w:rPr>
        <w:t>, noviembre 30</w:t>
      </w:r>
      <w:r w:rsidRPr="005B5FEE">
        <w:rPr>
          <w:rFonts w:eastAsia="Times New Roman"/>
          <w:szCs w:val="24"/>
          <w:lang w:val="en-US"/>
        </w:rPr>
        <w:t>).</w:t>
      </w:r>
      <w:r w:rsidRPr="00174310">
        <w:rPr>
          <w:rFonts w:eastAsia="Times New Roman"/>
          <w:szCs w:val="24"/>
          <w:lang w:val="en-US"/>
        </w:rPr>
        <w:t xml:space="preserve"> </w:t>
      </w:r>
      <w:r>
        <w:rPr>
          <w:rFonts w:eastAsia="Times New Roman"/>
          <w:szCs w:val="24"/>
          <w:lang w:val="en-US"/>
        </w:rPr>
        <w:t>“</w:t>
      </w:r>
      <w:r w:rsidRPr="005B5FEE">
        <w:rPr>
          <w:rFonts w:eastAsia="Times New Roman"/>
          <w:szCs w:val="24"/>
          <w:lang w:val="en-US"/>
        </w:rPr>
        <w:t>Puerto Rico, with at least $70 billion in debt, confronts a rising economic misery</w:t>
      </w:r>
      <w:r>
        <w:rPr>
          <w:rFonts w:eastAsia="Times New Roman"/>
          <w:szCs w:val="24"/>
          <w:lang w:val="en-US"/>
        </w:rPr>
        <w:t>”.</w:t>
      </w:r>
      <w:r w:rsidRPr="005B5FEE">
        <w:rPr>
          <w:rFonts w:eastAsia="Times New Roman"/>
          <w:szCs w:val="24"/>
          <w:lang w:val="en-US"/>
        </w:rPr>
        <w:t xml:space="preserve"> </w:t>
      </w:r>
      <w:r w:rsidRPr="0010737F">
        <w:rPr>
          <w:rFonts w:eastAsia="Times New Roman"/>
          <w:i/>
          <w:szCs w:val="24"/>
          <w:lang w:val="es-ES"/>
        </w:rPr>
        <w:t>Washington Post</w:t>
      </w:r>
      <w:r w:rsidRPr="0010737F">
        <w:rPr>
          <w:rFonts w:eastAsia="Times New Roman"/>
          <w:szCs w:val="24"/>
          <w:lang w:val="es-ES"/>
        </w:rPr>
        <w:t xml:space="preserve">. </w:t>
      </w:r>
      <w:r w:rsidRPr="00174310">
        <w:rPr>
          <w:rFonts w:eastAsia="Times New Roman"/>
          <w:szCs w:val="24"/>
        </w:rPr>
        <w:t>Recuperado de http://www.washingtonpost.com/business/economy/puerto-rico-with-at-least-70-billion-in-debt-confronts-a-rising-economic-misery/2013/11/30/f40a22c6-5376-11</w:t>
      </w:r>
      <w:r>
        <w:rPr>
          <w:rFonts w:eastAsia="Times New Roman"/>
          <w:szCs w:val="24"/>
        </w:rPr>
        <w:t>e3-9fe0-fd2ca728e67c_print.html</w:t>
      </w:r>
      <w:r w:rsidRPr="00174310">
        <w:rPr>
          <w:rFonts w:eastAsia="Times New Roman"/>
          <w:szCs w:val="24"/>
        </w:rPr>
        <w:t xml:space="preserve"> </w:t>
      </w:r>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Ford, G. R. (1976</w:t>
      </w:r>
      <w:r>
        <w:rPr>
          <w:rFonts w:eastAsia="Times New Roman"/>
          <w:szCs w:val="24"/>
          <w:lang w:val="en-US"/>
        </w:rPr>
        <w:t>, diciembre 3</w:t>
      </w:r>
      <w:r w:rsidRPr="005B5FEE">
        <w:rPr>
          <w:rFonts w:eastAsia="Times New Roman"/>
          <w:szCs w:val="24"/>
          <w:lang w:val="en-US"/>
        </w:rPr>
        <w:t>).  "Statement on Proposed Stateho</w:t>
      </w:r>
      <w:r>
        <w:rPr>
          <w:rFonts w:eastAsia="Times New Roman"/>
          <w:szCs w:val="24"/>
          <w:lang w:val="en-US"/>
        </w:rPr>
        <w:t>od for Puerto Rico.,"</w:t>
      </w:r>
      <w:r w:rsidRPr="005B5FEE">
        <w:rPr>
          <w:rFonts w:eastAsia="Times New Roman"/>
          <w:szCs w:val="24"/>
          <w:lang w:val="en-US"/>
        </w:rPr>
        <w:t xml:space="preserve">. Online by Gerhard Peters and John T. Woolley, </w:t>
      </w:r>
      <w:r w:rsidRPr="00174310">
        <w:rPr>
          <w:rFonts w:eastAsia="Times New Roman"/>
          <w:i/>
          <w:szCs w:val="24"/>
          <w:lang w:val="en-US"/>
        </w:rPr>
        <w:t>The American Presidency Project</w:t>
      </w:r>
      <w:r w:rsidRPr="005B5FEE">
        <w:rPr>
          <w:rFonts w:eastAsia="Times New Roman"/>
          <w:szCs w:val="24"/>
          <w:lang w:val="en-US"/>
        </w:rPr>
        <w:t>.</w:t>
      </w:r>
      <w:r>
        <w:rPr>
          <w:rFonts w:eastAsia="Times New Roman"/>
          <w:szCs w:val="24"/>
          <w:lang w:val="en-US"/>
        </w:rPr>
        <w:t xml:space="preserve"> </w:t>
      </w:r>
      <w:r w:rsidRPr="00174310">
        <w:rPr>
          <w:rFonts w:eastAsia="Times New Roman"/>
          <w:szCs w:val="24"/>
        </w:rPr>
        <w:t xml:space="preserve">Recuperado de  </w:t>
      </w:r>
      <w:hyperlink r:id="rId37" w:history="1">
        <w:r w:rsidRPr="00174310">
          <w:rPr>
            <w:rFonts w:eastAsia="Times New Roman"/>
            <w:szCs w:val="24"/>
          </w:rPr>
          <w:t>http://www.presidency.ucsb.edu/ws/?pid=5538</w:t>
        </w:r>
      </w:hyperlink>
      <w:r w:rsidRPr="00174310">
        <w:rPr>
          <w:rFonts w:eastAsia="Times New Roman"/>
          <w:szCs w:val="24"/>
        </w:rPr>
        <w:t>.</w:t>
      </w:r>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A226D8">
        <w:rPr>
          <w:rFonts w:eastAsia="Times New Roman"/>
          <w:szCs w:val="24"/>
        </w:rPr>
        <w:t xml:space="preserve">Fortuño, L. (2007, marzo 22) </w:t>
      </w:r>
      <w:r w:rsidRPr="00A226D8">
        <w:rPr>
          <w:rFonts w:eastAsia="Times New Roman"/>
          <w:i/>
          <w:szCs w:val="24"/>
        </w:rPr>
        <w:t>“Opening Remarks.”</w:t>
      </w:r>
      <w:r w:rsidRPr="00A226D8">
        <w:rPr>
          <w:rFonts w:eastAsia="Times New Roman"/>
          <w:szCs w:val="24"/>
        </w:rPr>
        <w:t xml:space="preserve"> </w:t>
      </w:r>
      <w:r w:rsidRPr="00174310">
        <w:rPr>
          <w:rFonts w:eastAsia="Times New Roman"/>
          <w:szCs w:val="24"/>
          <w:lang w:val="en-US"/>
        </w:rPr>
        <w:t>Subcommittee on Insular Affairs</w:t>
      </w:r>
      <w:r>
        <w:rPr>
          <w:rFonts w:eastAsia="Times New Roman"/>
          <w:szCs w:val="24"/>
          <w:lang w:val="en-US"/>
        </w:rPr>
        <w:t xml:space="preserve">, Washington, D.C. U.S. House of </w:t>
      </w:r>
      <w:r w:rsidRPr="005B5FEE">
        <w:rPr>
          <w:rFonts w:eastAsia="Times New Roman"/>
          <w:szCs w:val="24"/>
          <w:lang w:val="en-US"/>
        </w:rPr>
        <w:t>Rep</w:t>
      </w:r>
      <w:r>
        <w:rPr>
          <w:rFonts w:eastAsia="Times New Roman"/>
          <w:szCs w:val="24"/>
          <w:lang w:val="en-US"/>
        </w:rPr>
        <w:t>resentatives</w:t>
      </w:r>
      <w:r w:rsidRPr="005B5FEE">
        <w:rPr>
          <w:rFonts w:eastAsia="Times New Roman"/>
          <w:szCs w:val="24"/>
          <w:lang w:val="en-US"/>
        </w:rPr>
        <w:t xml:space="preserve">. </w:t>
      </w:r>
      <w:r w:rsidRPr="00174310">
        <w:rPr>
          <w:rFonts w:eastAsia="Times New Roman"/>
          <w:szCs w:val="24"/>
        </w:rPr>
        <w:t xml:space="preserve">Recuperado de </w:t>
      </w:r>
      <w:hyperlink r:id="rId38" w:history="1">
        <w:r w:rsidRPr="00174310">
          <w:rPr>
            <w:rFonts w:eastAsia="Times New Roman"/>
            <w:szCs w:val="24"/>
          </w:rPr>
          <w:t>http://www.house.gov/fortuno/pdf/Legislation/OpeningRmks-03-22-07.html</w:t>
        </w:r>
      </w:hyperlink>
      <w:r w:rsidRPr="00174310">
        <w:rPr>
          <w:rFonts w:eastAsia="Times New Roman"/>
          <w:szCs w:val="24"/>
        </w:rPr>
        <w:t>.</w:t>
      </w:r>
    </w:p>
    <w:p w:rsidR="00B015EE" w:rsidRPr="00174310"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Frank, T. M. (2001, enero). Are Human Rights Universal?</w:t>
      </w:r>
      <w:r>
        <w:rPr>
          <w:rFonts w:eastAsia="Times New Roman"/>
          <w:szCs w:val="24"/>
          <w:lang w:val="en-US"/>
        </w:rPr>
        <w:t>.</w:t>
      </w:r>
      <w:r w:rsidRPr="005B5FEE">
        <w:rPr>
          <w:rFonts w:eastAsia="Times New Roman"/>
          <w:szCs w:val="24"/>
          <w:lang w:val="en-US"/>
        </w:rPr>
        <w:t xml:space="preserve"> </w:t>
      </w:r>
      <w:r w:rsidRPr="00174310">
        <w:rPr>
          <w:rFonts w:eastAsia="Times New Roman"/>
          <w:i/>
          <w:szCs w:val="24"/>
          <w:lang w:val="en-US"/>
        </w:rPr>
        <w:t>Foreign Affairs</w:t>
      </w:r>
      <w:r w:rsidRPr="005B5FEE">
        <w:rPr>
          <w:rFonts w:eastAsia="Times New Roman"/>
          <w:szCs w:val="24"/>
          <w:lang w:val="en-US"/>
        </w:rPr>
        <w:t xml:space="preserve">, 80 (1).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Franqui-Rivera, H. (2013). ” National Mythologies: U.S. Citizenship for the People of Puerto Rico and Military Service”, </w:t>
      </w:r>
      <w:r w:rsidRPr="000D3594">
        <w:rPr>
          <w:rFonts w:eastAsia="Times New Roman"/>
          <w:i/>
          <w:szCs w:val="24"/>
          <w:lang w:val="en-US"/>
        </w:rPr>
        <w:t>Revista digital de Historia y Arqueología desde el Caribe colombiano</w:t>
      </w:r>
      <w:r>
        <w:rPr>
          <w:rFonts w:eastAsia="Times New Roman"/>
          <w:szCs w:val="24"/>
          <w:lang w:val="en-US"/>
        </w:rPr>
        <w:t>, 10</w:t>
      </w:r>
      <w:r w:rsidRPr="005B5FEE">
        <w:rPr>
          <w:rFonts w:eastAsia="Times New Roman"/>
          <w:szCs w:val="24"/>
          <w:lang w:val="en-US"/>
        </w:rPr>
        <w:t xml:space="preserve"> </w:t>
      </w:r>
      <w:r>
        <w:rPr>
          <w:rFonts w:eastAsia="Times New Roman"/>
          <w:szCs w:val="24"/>
          <w:lang w:val="en-US"/>
        </w:rPr>
        <w:t>(</w:t>
      </w:r>
      <w:r w:rsidRPr="005B5FEE">
        <w:rPr>
          <w:rFonts w:eastAsia="Times New Roman"/>
          <w:szCs w:val="24"/>
          <w:lang w:val="en-US"/>
        </w:rPr>
        <w:t>21</w:t>
      </w:r>
      <w:r>
        <w:rPr>
          <w:rFonts w:eastAsia="Times New Roman"/>
          <w:szCs w:val="24"/>
          <w:lang w:val="en-US"/>
        </w:rPr>
        <w:t>)</w:t>
      </w:r>
      <w:r w:rsidRPr="005B5FEE">
        <w:rPr>
          <w:rFonts w:eastAsia="Times New Roman"/>
          <w:szCs w:val="24"/>
          <w:lang w:val="en-US"/>
        </w:rPr>
        <w:t>. Barra</w:t>
      </w:r>
      <w:r>
        <w:rPr>
          <w:rFonts w:eastAsia="Times New Roman"/>
          <w:szCs w:val="24"/>
          <w:lang w:val="en-US"/>
        </w:rPr>
        <w:t>nquilla, Colombia.</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Friedman, D. “The 113th Congress Likely To Be Partis</w:t>
      </w:r>
      <w:r>
        <w:rPr>
          <w:rFonts w:eastAsia="Times New Roman"/>
          <w:szCs w:val="24"/>
          <w:lang w:val="en-US"/>
        </w:rPr>
        <w:t xml:space="preserve">an, Divided, and Much the Same”. </w:t>
      </w:r>
      <w:r w:rsidRPr="007F6B7F">
        <w:rPr>
          <w:rFonts w:eastAsia="Times New Roman"/>
          <w:i/>
          <w:szCs w:val="24"/>
        </w:rPr>
        <w:t>National Journal</w:t>
      </w:r>
      <w:r w:rsidRPr="007F6B7F">
        <w:rPr>
          <w:rFonts w:eastAsia="Times New Roman"/>
          <w:szCs w:val="24"/>
        </w:rPr>
        <w:t xml:space="preserve">. Recuperado de </w:t>
      </w:r>
      <w:hyperlink r:id="rId39" w:history="1">
        <w:r w:rsidRPr="00404320">
          <w:rPr>
            <w:rStyle w:val="Hyperlink"/>
            <w:rFonts w:eastAsia="Times New Roman"/>
            <w:szCs w:val="24"/>
          </w:rPr>
          <w:t>http://www.nationaljournal.com/congress/the-113th-congress-likely-to-be-partisan-divided-and-much-the-same-20121107</w:t>
        </w:r>
      </w:hyperlink>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4A6812"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810661">
        <w:rPr>
          <w:rFonts w:eastAsia="Times New Roman"/>
          <w:szCs w:val="24"/>
        </w:rPr>
        <w:t xml:space="preserve">García-Passalacqua, </w:t>
      </w:r>
      <w:r>
        <w:rPr>
          <w:rFonts w:eastAsia="Times New Roman"/>
          <w:szCs w:val="24"/>
        </w:rPr>
        <w:t xml:space="preserve">JM, </w:t>
      </w:r>
      <w:r w:rsidRPr="00810661">
        <w:rPr>
          <w:rFonts w:eastAsia="Times New Roman"/>
          <w:szCs w:val="24"/>
        </w:rPr>
        <w:t>Rivera Lugo.</w:t>
      </w:r>
      <w:r>
        <w:rPr>
          <w:rFonts w:eastAsia="Times New Roman"/>
          <w:szCs w:val="24"/>
        </w:rPr>
        <w:t xml:space="preserve">C. (1990). </w:t>
      </w:r>
      <w:r w:rsidRPr="00810661">
        <w:rPr>
          <w:rFonts w:eastAsia="Times New Roman"/>
          <w:szCs w:val="24"/>
        </w:rPr>
        <w:t>Puerto Rico y los Estados Unidos : el proceso de consulta y negociación</w:t>
      </w:r>
      <w:r>
        <w:rPr>
          <w:rFonts w:eastAsia="Times New Roman"/>
          <w:szCs w:val="24"/>
        </w:rPr>
        <w:t xml:space="preserve"> de 1989 y 1990</w:t>
      </w:r>
      <w:r w:rsidRPr="00810661">
        <w:rPr>
          <w:rFonts w:eastAsia="Times New Roman"/>
          <w:szCs w:val="24"/>
        </w:rPr>
        <w:t>.</w:t>
      </w:r>
      <w:r>
        <w:rPr>
          <w:rFonts w:eastAsia="Times New Roman"/>
          <w:szCs w:val="24"/>
        </w:rPr>
        <w:t xml:space="preserve"> Río Piedras: Editorial Universitaria.</w:t>
      </w:r>
    </w:p>
    <w:p w:rsidR="00B015EE" w:rsidRPr="00810661"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rPr>
        <w:t xml:space="preserve">García </w:t>
      </w:r>
      <w:r w:rsidRPr="00971EB4">
        <w:rPr>
          <w:rFonts w:eastAsia="Times New Roman"/>
          <w:szCs w:val="24"/>
        </w:rPr>
        <w:t xml:space="preserve">Pelatti, </w:t>
      </w:r>
      <w:r>
        <w:rPr>
          <w:rFonts w:eastAsia="Times New Roman"/>
          <w:szCs w:val="24"/>
        </w:rPr>
        <w:t xml:space="preserve">L. (2010, 22 de marzo). </w:t>
      </w:r>
      <w:r w:rsidRPr="00971EB4">
        <w:rPr>
          <w:rFonts w:eastAsia="Times New Roman"/>
          <w:szCs w:val="24"/>
        </w:rPr>
        <w:t>“Estadidad sin farmacéuticas”</w:t>
      </w:r>
      <w:r>
        <w:rPr>
          <w:rFonts w:eastAsia="Times New Roman"/>
          <w:szCs w:val="24"/>
        </w:rPr>
        <w:t>.</w:t>
      </w:r>
      <w:r w:rsidRPr="00971EB4">
        <w:rPr>
          <w:rFonts w:eastAsia="Times New Roman"/>
          <w:szCs w:val="24"/>
        </w:rPr>
        <w:t xml:space="preserve"> </w:t>
      </w:r>
      <w:r w:rsidRPr="00B015EE">
        <w:rPr>
          <w:rFonts w:eastAsia="Times New Roman"/>
          <w:szCs w:val="24"/>
          <w:lang w:val="en-US"/>
        </w:rPr>
        <w:t>El Vocero.</w:t>
      </w:r>
    </w:p>
    <w:p w:rsidR="00B015EE" w:rsidRP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26DA1">
        <w:rPr>
          <w:rFonts w:eastAsia="Times New Roman"/>
          <w:szCs w:val="24"/>
          <w:lang w:val="en-US"/>
        </w:rPr>
        <w:t xml:space="preserve">Garrett, S. (2011). </w:t>
      </w:r>
      <w:r w:rsidRPr="005B5FEE">
        <w:rPr>
          <w:rFonts w:eastAsia="Times New Roman"/>
          <w:szCs w:val="24"/>
          <w:lang w:val="en-US"/>
        </w:rPr>
        <w:t>Political Status of Puerto Rico: Options for</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lang w:val="en-US"/>
        </w:rPr>
        <w:tab/>
        <w:t>Congress.(</w:t>
      </w:r>
      <w:r w:rsidRPr="005B5FEE">
        <w:rPr>
          <w:rFonts w:eastAsia="Times New Roman"/>
          <w:szCs w:val="24"/>
          <w:lang w:val="en-US"/>
        </w:rPr>
        <w:t>Congressional Research Service</w:t>
      </w:r>
      <w:r w:rsidRPr="004517BC">
        <w:rPr>
          <w:lang w:val="en-US"/>
        </w:rPr>
        <w:t xml:space="preserve"> </w:t>
      </w:r>
      <w:r w:rsidRPr="004517BC">
        <w:rPr>
          <w:rFonts w:eastAsia="Times New Roman"/>
          <w:szCs w:val="24"/>
          <w:lang w:val="en-US"/>
        </w:rPr>
        <w:t>RL32933</w:t>
      </w:r>
      <w:r>
        <w:rPr>
          <w:rFonts w:eastAsia="Times New Roman"/>
          <w:szCs w:val="24"/>
          <w:lang w:val="en-US"/>
        </w:rPr>
        <w:t xml:space="preserve">). </w:t>
      </w:r>
      <w:r w:rsidRPr="004517BC">
        <w:rPr>
          <w:rFonts w:eastAsia="Times New Roman"/>
          <w:szCs w:val="24"/>
        </w:rPr>
        <w:t xml:space="preserve">Recuperado de </w:t>
      </w:r>
      <w:hyperlink r:id="rId40" w:history="1">
        <w:r w:rsidRPr="004517BC">
          <w:rPr>
            <w:rFonts w:eastAsia="Times New Roman"/>
            <w:szCs w:val="24"/>
          </w:rPr>
          <w:t>http://www.fas.org/sgp/crs/row/RL32933.pdf</w:t>
        </w:r>
      </w:hyperlink>
      <w:r w:rsidRPr="004517BC">
        <w:rPr>
          <w:rFonts w:eastAsia="Times New Roman"/>
          <w:szCs w:val="24"/>
        </w:rPr>
        <w:t>.</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Gautier Mayoral, C. y Pilar Argüelles, M. (1978). </w:t>
      </w:r>
      <w:r w:rsidRPr="007F6B7F">
        <w:rPr>
          <w:rFonts w:eastAsia="Times New Roman"/>
          <w:i/>
          <w:szCs w:val="24"/>
        </w:rPr>
        <w:t>Puerto Rico y la ONU</w:t>
      </w:r>
      <w:r>
        <w:rPr>
          <w:rFonts w:eastAsia="Times New Roman"/>
          <w:szCs w:val="24"/>
        </w:rPr>
        <w:t xml:space="preserve">. </w:t>
      </w:r>
      <w:r w:rsidRPr="0010737F">
        <w:rPr>
          <w:rFonts w:eastAsia="Times New Roman"/>
          <w:szCs w:val="24"/>
          <w:lang w:val="en-US"/>
        </w:rPr>
        <w:t>San Juan: Editorial Edil.</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Gautier Mayoral, C. (1979). Interrelation of United States Poor Relief, Massive Unemployment and Weakening of  "Legitimacy" in Twentieth Century Puerto Rico.</w:t>
      </w:r>
      <w:r w:rsidRPr="007F6B7F">
        <w:rPr>
          <w:rFonts w:eastAsia="Times New Roman"/>
          <w:szCs w:val="24"/>
          <w:lang w:val="en-US"/>
        </w:rPr>
        <w:t xml:space="preserve"> </w:t>
      </w:r>
      <w:r w:rsidRPr="00E846B9">
        <w:rPr>
          <w:rFonts w:eastAsia="Times New Roman"/>
          <w:i/>
          <w:szCs w:val="24"/>
          <w:lang w:val="en-US"/>
        </w:rPr>
        <w:t>Caribbean Studies</w:t>
      </w:r>
      <w:r w:rsidRPr="00E846B9">
        <w:rPr>
          <w:rFonts w:eastAsia="Times New Roman"/>
          <w:szCs w:val="24"/>
          <w:lang w:val="en-US"/>
        </w:rPr>
        <w:t>, 19, (¾).</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26DA1"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 xml:space="preserve">Gelpí, G. (2011). </w:t>
      </w:r>
      <w:r w:rsidRPr="00B26DA1">
        <w:rPr>
          <w:rFonts w:eastAsia="Times New Roman"/>
          <w:szCs w:val="24"/>
          <w:lang w:val="en-US"/>
        </w:rPr>
        <w:t>The Insular Cases: A Comparative Historical Study of</w:t>
      </w:r>
    </w:p>
    <w:p w:rsidR="00B015EE" w:rsidRPr="00B26DA1"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26DA1">
        <w:rPr>
          <w:rFonts w:eastAsia="Times New Roman"/>
          <w:szCs w:val="24"/>
          <w:lang w:val="en-US"/>
        </w:rPr>
        <w:t>Puerto Rico, Hawai‘i, and the PhilippinesThe Federal Lawyer</w:t>
      </w:r>
      <w:r>
        <w:rPr>
          <w:rFonts w:eastAsia="Times New Roman"/>
          <w:szCs w:val="24"/>
          <w:lang w:val="en-US"/>
        </w:rPr>
        <w:t xml:space="preserve">. </w:t>
      </w:r>
      <w:r w:rsidRPr="00B26DA1">
        <w:rPr>
          <w:rFonts w:eastAsia="Times New Roman"/>
          <w:szCs w:val="24"/>
        </w:rPr>
        <w:t>Recuperado de http://noticiasmicrojuris.files.wordpress.com/2014/02/fea-gelpi_0311.pdf</w:t>
      </w:r>
    </w:p>
    <w:p w:rsidR="00B015EE" w:rsidRPr="00B26DA1"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Glendon, M. A. (2002). </w:t>
      </w:r>
      <w:r w:rsidRPr="00725C9A">
        <w:rPr>
          <w:rFonts w:eastAsia="Times New Roman"/>
          <w:i/>
          <w:szCs w:val="24"/>
          <w:lang w:val="en-US"/>
        </w:rPr>
        <w:t>A World Made New: Eleanor Roosevelt and the Universal Declaration of Human Rights</w:t>
      </w:r>
      <w:r w:rsidRPr="005B5FEE">
        <w:rPr>
          <w:rFonts w:eastAsia="Times New Roman"/>
          <w:szCs w:val="24"/>
          <w:lang w:val="en-US"/>
        </w:rPr>
        <w:t xml:space="preserve">. </w:t>
      </w:r>
      <w:r w:rsidRPr="00E846B9">
        <w:rPr>
          <w:rFonts w:eastAsia="Times New Roman"/>
          <w:szCs w:val="24"/>
          <w:lang w:val="en-US"/>
        </w:rPr>
        <w:t>Nueva York: Random House.</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7F6B7F"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10737F">
        <w:rPr>
          <w:rFonts w:eastAsia="Times New Roman"/>
          <w:szCs w:val="24"/>
          <w:lang w:val="en-US"/>
        </w:rPr>
        <w:t xml:space="preserve">Gomez, A. (2013, noviembre 7). “Is Puerto Rico the next Greece? </w:t>
      </w:r>
      <w:r w:rsidRPr="005B5FEE">
        <w:rPr>
          <w:rFonts w:eastAsia="Times New Roman"/>
          <w:szCs w:val="24"/>
          <w:lang w:val="en-US"/>
        </w:rPr>
        <w:t xml:space="preserve">Nest eggs could suffer”.  </w:t>
      </w:r>
      <w:r w:rsidRPr="00A226D8">
        <w:rPr>
          <w:rFonts w:eastAsia="Times New Roman"/>
          <w:i/>
          <w:szCs w:val="24"/>
          <w:lang w:val="en-US"/>
        </w:rPr>
        <w:t>USA TODAY</w:t>
      </w:r>
      <w:r w:rsidRPr="00A226D8">
        <w:rPr>
          <w:rFonts w:eastAsia="Times New Roman"/>
          <w:szCs w:val="24"/>
          <w:lang w:val="en-US"/>
        </w:rPr>
        <w:t xml:space="preserve">. </w:t>
      </w:r>
      <w:r w:rsidRPr="007F6B7F">
        <w:rPr>
          <w:rFonts w:eastAsia="Times New Roman"/>
          <w:szCs w:val="24"/>
        </w:rPr>
        <w:t xml:space="preserve">Recuperado de </w:t>
      </w:r>
      <w:hyperlink r:id="rId41" w:history="1">
        <w:r w:rsidRPr="007F6B7F">
          <w:rPr>
            <w:rFonts w:eastAsia="Times New Roman"/>
            <w:szCs w:val="24"/>
          </w:rPr>
          <w:t>http://www.usatoday.com/story/news/world/2013/11/06/puerto-rico-economic-crisis/3314639/</w:t>
        </w:r>
      </w:hyperlink>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Gould, J. L. (1969). </w:t>
      </w:r>
      <w:r w:rsidRPr="007F6B7F">
        <w:rPr>
          <w:rFonts w:eastAsia="Times New Roman"/>
          <w:i/>
          <w:szCs w:val="24"/>
        </w:rPr>
        <w:t>La Ley Foraker: Raíces de la política colonial de los Estados Unidos.</w:t>
      </w:r>
      <w:r>
        <w:rPr>
          <w:rFonts w:eastAsia="Times New Roman"/>
          <w:szCs w:val="24"/>
        </w:rPr>
        <w:t xml:space="preserve"> San Juan: Editorial U.P.R.</w:t>
      </w:r>
      <w:r w:rsidRPr="00BD682C">
        <w:rPr>
          <w:rFonts w:eastAsia="Times New Roman"/>
          <w:szCs w:val="24"/>
        </w:rPr>
        <w:t xml:space="preserve"> Universidad de Puerto Rico.</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10737F">
        <w:rPr>
          <w:rFonts w:eastAsia="Times New Roman"/>
          <w:szCs w:val="24"/>
          <w:lang w:val="es-ES"/>
        </w:rPr>
        <w:t xml:space="preserve">Govtrack.us (2013, noviembre 13). </w:t>
      </w:r>
      <w:r w:rsidRPr="007F6B7F">
        <w:rPr>
          <w:rFonts w:eastAsia="Times New Roman"/>
          <w:szCs w:val="24"/>
        </w:rPr>
        <w:t xml:space="preserve">H.R. 2000: Puerto Rico Status Resolution Act. Recuperado de </w:t>
      </w:r>
      <w:hyperlink r:id="rId42" w:history="1">
        <w:r w:rsidRPr="00BD682C">
          <w:rPr>
            <w:rFonts w:eastAsia="Times New Roman"/>
            <w:szCs w:val="24"/>
          </w:rPr>
          <w:t>https://www.govtrack.us/congress/bills/113/hr2000</w:t>
        </w:r>
      </w:hyperlink>
      <w:r w:rsidRPr="00BD682C">
        <w:rPr>
          <w:rFonts w:eastAsia="Times New Roman"/>
          <w:szCs w:val="24"/>
        </w:rPr>
        <w:t xml:space="preserve">. </w:t>
      </w:r>
    </w:p>
    <w:p w:rsidR="00B015EE" w:rsidRPr="007F6B7F"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Pr>
          <w:rFonts w:eastAsia="Times New Roman"/>
          <w:szCs w:val="24"/>
          <w:lang w:val="en-US"/>
        </w:rPr>
        <w:t>Greg, Ip. (</w:t>
      </w:r>
      <w:r w:rsidRPr="007F6B7F">
        <w:rPr>
          <w:rFonts w:eastAsia="Times New Roman"/>
          <w:szCs w:val="24"/>
          <w:lang w:val="en-US"/>
        </w:rPr>
        <w:t>2013</w:t>
      </w:r>
      <w:r>
        <w:rPr>
          <w:rFonts w:eastAsia="Times New Roman"/>
          <w:szCs w:val="24"/>
          <w:lang w:val="en-US"/>
        </w:rPr>
        <w:t xml:space="preserve">, octubre 28). </w:t>
      </w:r>
      <w:r w:rsidRPr="005B5FEE">
        <w:rPr>
          <w:rFonts w:eastAsia="Times New Roman"/>
          <w:szCs w:val="24"/>
          <w:lang w:val="en-US"/>
        </w:rPr>
        <w:t>Interview by Zandy Minton-Beddoes. "Will Puerto Rico go bust?." An Island</w:t>
      </w:r>
      <w:r>
        <w:rPr>
          <w:rFonts w:eastAsia="Times New Roman"/>
          <w:szCs w:val="24"/>
          <w:lang w:val="en-US"/>
        </w:rPr>
        <w:t xml:space="preserve"> in dire straits</w:t>
      </w:r>
      <w:r w:rsidRPr="007F6B7F">
        <w:rPr>
          <w:rFonts w:eastAsia="Times New Roman"/>
          <w:szCs w:val="24"/>
          <w:lang w:val="en-US"/>
        </w:rPr>
        <w:t xml:space="preserve">. </w:t>
      </w:r>
      <w:r w:rsidRPr="0010737F">
        <w:rPr>
          <w:rFonts w:eastAsia="Times New Roman"/>
          <w:i/>
          <w:szCs w:val="24"/>
          <w:lang w:val="es-ES"/>
        </w:rPr>
        <w:t>The Economist</w:t>
      </w:r>
      <w:r w:rsidRPr="0010737F">
        <w:rPr>
          <w:rFonts w:eastAsia="Times New Roman"/>
          <w:szCs w:val="24"/>
          <w:lang w:val="es-ES"/>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Grupo de Trabajo Interagencial bajo el Presidente Obama (2011), Informe del Grupo de trabajo del Presidente sobre el status de Puerto Rico.</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 xml:space="preserve">Gutiérrez-Franqui, </w:t>
      </w:r>
      <w:r w:rsidRPr="005B5FEE">
        <w:rPr>
          <w:rFonts w:eastAsia="Times New Roman"/>
          <w:szCs w:val="24"/>
          <w:lang w:val="en-US"/>
        </w:rPr>
        <w:t>V. and Wells,</w:t>
      </w:r>
      <w:r>
        <w:rPr>
          <w:rFonts w:eastAsia="Times New Roman"/>
          <w:szCs w:val="24"/>
          <w:lang w:val="en-US"/>
        </w:rPr>
        <w:t xml:space="preserve"> </w:t>
      </w:r>
      <w:r w:rsidRPr="005B5FEE">
        <w:rPr>
          <w:rFonts w:eastAsia="Times New Roman"/>
          <w:szCs w:val="24"/>
          <w:lang w:val="en-US"/>
        </w:rPr>
        <w:t xml:space="preserve">H. (1953). </w:t>
      </w:r>
      <w:r w:rsidRPr="00725C9A">
        <w:rPr>
          <w:rFonts w:eastAsia="Times New Roman"/>
          <w:i/>
          <w:szCs w:val="24"/>
          <w:lang w:val="en-US"/>
        </w:rPr>
        <w:t>“The Commonwealth Constitution.”</w:t>
      </w:r>
      <w:r w:rsidRPr="005B5FEE">
        <w:rPr>
          <w:rFonts w:eastAsia="Times New Roman"/>
          <w:szCs w:val="24"/>
          <w:lang w:val="en-US"/>
        </w:rPr>
        <w:t xml:space="preserve"> Annals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of the American Academy of Political Science: Puerto Rico a Study in Democratic</w:t>
      </w:r>
    </w:p>
    <w:p w:rsidR="00B015EE" w:rsidRPr="006244A3"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Development. v. 285</w:t>
      </w:r>
      <w:r>
        <w:rPr>
          <w:rFonts w:eastAsia="Times New Roman"/>
          <w:szCs w:val="24"/>
          <w:lang w:val="en-US"/>
        </w:rPr>
        <w:t>.</w:t>
      </w:r>
      <w:r w:rsidRPr="005B5FEE">
        <w:rPr>
          <w:rFonts w:eastAsia="Times New Roman"/>
          <w:szCs w:val="24"/>
          <w:lang w:val="en-US"/>
        </w:rPr>
        <w:t xml:space="preserve"> Philadelphia, Pennsylvania: Sage Publications, Inc: 33-41.</w:t>
      </w:r>
    </w:p>
    <w:p w:rsidR="00B015EE" w:rsidRPr="006244A3"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Harris v Rosario 446 U.S. 651. (1980)</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(2006). "Federal jurisdiction - status of international law - First Circuit holds that customary international law does not obligate the United States to grant the presidential vote to Puerto Rican residents."</w:t>
      </w:r>
      <w:r w:rsidRPr="00725C9A">
        <w:rPr>
          <w:rFonts w:eastAsia="Times New Roman"/>
          <w:szCs w:val="24"/>
          <w:lang w:val="en-US"/>
        </w:rPr>
        <w:t xml:space="preserve"> </w:t>
      </w:r>
      <w:r w:rsidRPr="00725C9A">
        <w:rPr>
          <w:rFonts w:eastAsia="Times New Roman"/>
          <w:i/>
          <w:szCs w:val="24"/>
          <w:lang w:val="en-US"/>
        </w:rPr>
        <w:t>Harvard Law Review</w:t>
      </w:r>
      <w:r>
        <w:rPr>
          <w:rFonts w:eastAsia="Times New Roman"/>
          <w:szCs w:val="24"/>
          <w:lang w:val="en-US"/>
        </w:rPr>
        <w:t>, 119.5 (</w:t>
      </w:r>
      <w:r w:rsidRPr="005B5FEE">
        <w:rPr>
          <w:rFonts w:eastAsia="Times New Roman"/>
          <w:szCs w:val="24"/>
          <w:lang w:val="en-US"/>
        </w:rPr>
        <w:t>1622</w:t>
      </w:r>
      <w:r>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Hannum</w:t>
      </w:r>
      <w:r w:rsidRPr="005B5FEE">
        <w:rPr>
          <w:rFonts w:eastAsia="Times New Roman"/>
          <w:szCs w:val="24"/>
          <w:lang w:val="en-US"/>
        </w:rPr>
        <w:t xml:space="preserve">, H. (1996). </w:t>
      </w:r>
      <w:r w:rsidRPr="00725C9A">
        <w:rPr>
          <w:rFonts w:eastAsia="Times New Roman"/>
          <w:i/>
          <w:szCs w:val="24"/>
          <w:lang w:val="en-US"/>
        </w:rPr>
        <w:t>Autonomy, sovereignty and self-determination: The accommodation of conflicting rights</w:t>
      </w:r>
      <w:r w:rsidRPr="005B5FEE">
        <w:rPr>
          <w:rFonts w:eastAsia="Times New Roman"/>
          <w:szCs w:val="24"/>
          <w:lang w:val="en-US"/>
        </w:rPr>
        <w:t xml:space="preserve">. 27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 xml:space="preserve">Hansen, M, Wells,H. (1953). </w:t>
      </w:r>
      <w:r w:rsidRPr="00444858">
        <w:rPr>
          <w:rFonts w:eastAsia="Times New Roman"/>
          <w:i/>
          <w:szCs w:val="24"/>
          <w:lang w:val="en-US"/>
        </w:rPr>
        <w:t>The ANNALS of the American Academy of Political and Social Science</w:t>
      </w:r>
      <w:r w:rsidRPr="005B5FEE">
        <w:rPr>
          <w:rFonts w:eastAsia="Times New Roman"/>
          <w:szCs w:val="24"/>
          <w:lang w:val="en-US"/>
        </w:rPr>
        <w:t xml:space="preserve">. </w:t>
      </w:r>
      <w:r w:rsidRPr="00E846B9">
        <w:rPr>
          <w:rFonts w:eastAsia="Times New Roman"/>
          <w:szCs w:val="24"/>
          <w:lang w:val="en-US"/>
        </w:rPr>
        <w:t>Enero 1953, 285.</w:t>
      </w:r>
      <w:r w:rsidRPr="00E846B9">
        <w:rPr>
          <w:lang w:val="en-US"/>
        </w:rPr>
        <w:t xml:space="preserve"> </w:t>
      </w:r>
      <w:r w:rsidRPr="00E846B9">
        <w:rPr>
          <w:rFonts w:eastAsia="Times New Roman"/>
          <w:szCs w:val="24"/>
          <w:lang w:val="en-US"/>
        </w:rPr>
        <w:t xml:space="preserve">doi:10.1177/000271625328500101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725C9A"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Hearings before the Committee of Energy and Natural Resources. </w:t>
      </w:r>
      <w:r w:rsidRPr="00E846B9">
        <w:rPr>
          <w:rFonts w:eastAsia="Times New Roman"/>
          <w:szCs w:val="24"/>
          <w:lang w:val="es-ES"/>
        </w:rPr>
        <w:t xml:space="preserve">(2013, agosto 11). </w:t>
      </w:r>
      <w:r>
        <w:rPr>
          <w:rFonts w:eastAsia="Times New Roman"/>
          <w:szCs w:val="24"/>
        </w:rPr>
        <w:t xml:space="preserve">Recuperado de </w:t>
      </w:r>
      <w:r w:rsidRPr="00725C9A">
        <w:rPr>
          <w:rFonts w:eastAsia="Times New Roman"/>
          <w:szCs w:val="24"/>
        </w:rPr>
        <w:t>http://www.gpo.gov/fdsys/pk</w:t>
      </w:r>
      <w:r>
        <w:rPr>
          <w:rFonts w:eastAsia="Times New Roman"/>
          <w:szCs w:val="24"/>
        </w:rPr>
        <w:t>g/CHRG-113shrg82719/pdf/CHRG-</w:t>
      </w:r>
      <w:r w:rsidRPr="00725C9A">
        <w:rPr>
          <w:rFonts w:eastAsia="Times New Roman"/>
          <w:szCs w:val="24"/>
        </w:rPr>
        <w:t>113shrg82719.pdf.</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Heine J. (1980) “A people apart.” </w:t>
      </w:r>
      <w:r w:rsidRPr="00725C9A">
        <w:rPr>
          <w:rFonts w:eastAsia="Times New Roman"/>
          <w:i/>
          <w:szCs w:val="24"/>
          <w:lang w:val="en-US"/>
        </w:rPr>
        <w:t>The Washington Quarterly</w:t>
      </w:r>
      <w:r>
        <w:rPr>
          <w:rFonts w:eastAsia="Times New Roman"/>
          <w:szCs w:val="24"/>
          <w:lang w:val="en-US"/>
        </w:rPr>
        <w:t>. 4(</w:t>
      </w:r>
      <w:r w:rsidRPr="005B5FEE">
        <w:rPr>
          <w:rFonts w:eastAsia="Times New Roman"/>
          <w:szCs w:val="24"/>
          <w:lang w:val="en-US"/>
        </w:rPr>
        <w:t>3</w:t>
      </w:r>
      <w:r>
        <w:rPr>
          <w:rFonts w:eastAsia="Times New Roman"/>
          <w:szCs w:val="24"/>
          <w:lang w:val="en-US"/>
        </w:rPr>
        <w:t xml:space="preserve">), </w:t>
      </w:r>
      <w:r w:rsidRPr="005B5FEE">
        <w:rPr>
          <w:rFonts w:eastAsia="Times New Roman"/>
          <w:szCs w:val="24"/>
          <w:lang w:val="en-US"/>
        </w:rPr>
        <w:t>119-131. Spring Cambridge Massachuset</w:t>
      </w:r>
      <w:r>
        <w:rPr>
          <w:rFonts w:eastAsia="Times New Roman"/>
          <w:szCs w:val="24"/>
          <w:lang w:val="en-US"/>
        </w:rPr>
        <w:t>ts: MIT Press.</w:t>
      </w:r>
      <w:r w:rsidRPr="005B5FEE">
        <w:rPr>
          <w:rFonts w:eastAsia="Times New Roman"/>
          <w:szCs w:val="24"/>
          <w:lang w:val="en-US"/>
        </w:rPr>
        <w:t xml:space="preserve"> </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Heine, J. (Ed.). (1983). </w:t>
      </w:r>
      <w:r w:rsidRPr="0010737F">
        <w:rPr>
          <w:rFonts w:eastAsia="Times New Roman"/>
          <w:i/>
          <w:szCs w:val="24"/>
          <w:lang w:val="en-US"/>
        </w:rPr>
        <w:t>Time for decision: the United States and Puerto Rico</w:t>
      </w:r>
      <w:r w:rsidRPr="005B5FEE">
        <w:rPr>
          <w:rFonts w:eastAsia="Times New Roman"/>
          <w:szCs w:val="24"/>
          <w:lang w:val="en-US"/>
        </w:rPr>
        <w:t>. Lanham, MD: North-South Publishers.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lang w:val="en-US"/>
        </w:rPr>
      </w:pPr>
    </w:p>
    <w:p w:rsidR="00B015EE" w:rsidRPr="00D2158D"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D2158D">
        <w:rPr>
          <w:rFonts w:eastAsia="Times New Roman"/>
          <w:szCs w:val="24"/>
          <w:lang w:val="en-US"/>
        </w:rPr>
        <w:t>Held</w:t>
      </w:r>
      <w:r>
        <w:rPr>
          <w:rFonts w:eastAsia="Times New Roman"/>
          <w:szCs w:val="24"/>
          <w:lang w:val="en-US"/>
        </w:rPr>
        <w:t xml:space="preserve">erman, R. (2012). </w:t>
      </w:r>
      <w:r w:rsidRPr="00D2158D">
        <w:rPr>
          <w:rFonts w:eastAsia="Times New Roman"/>
          <w:szCs w:val="24"/>
          <w:lang w:val="en-US"/>
        </w:rPr>
        <w:t>No statehood, but how about some guns?</w:t>
      </w:r>
      <w:r>
        <w:rPr>
          <w:rFonts w:eastAsia="Times New Roman"/>
          <w:szCs w:val="24"/>
          <w:lang w:val="en-US"/>
        </w:rPr>
        <w:t xml:space="preserve">. </w:t>
      </w:r>
      <w:r w:rsidRPr="00D2158D">
        <w:rPr>
          <w:rFonts w:eastAsia="Times New Roman"/>
          <w:szCs w:val="24"/>
        </w:rPr>
        <w:t>Washington Post. Recuperado de http://www.washingtonpost.com/blogs/post-politics/wp/2012/08/21/no-statehood-but-how-about-some-guns/</w:t>
      </w:r>
    </w:p>
    <w:p w:rsidR="00B015EE" w:rsidRPr="00D2158D"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D2158D"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91703D" w:rsidRDefault="00B015EE" w:rsidP="007538AA">
      <w:pPr>
        <w:widowControl w:val="0"/>
        <w:tabs>
          <w:tab w:val="left" w:pos="630"/>
        </w:tabs>
        <w:autoSpaceDE w:val="0"/>
        <w:autoSpaceDN w:val="0"/>
        <w:spacing w:line="240" w:lineRule="auto"/>
        <w:ind w:left="720" w:hanging="720"/>
        <w:jc w:val="left"/>
        <w:rPr>
          <w:rFonts w:eastAsia="Times New Roman"/>
          <w:i/>
          <w:szCs w:val="24"/>
        </w:rPr>
      </w:pPr>
      <w:r w:rsidRPr="005B5FEE">
        <w:rPr>
          <w:rFonts w:eastAsia="Times New Roman"/>
          <w:szCs w:val="24"/>
          <w:lang w:val="en-US"/>
        </w:rPr>
        <w:t xml:space="preserve">Helfeld, D.M. (1952). Congressional Intent and Attitude Toward Public Law 600 and the Constitution of the Commonwealth of Puerto Rico. </w:t>
      </w:r>
      <w:r w:rsidRPr="0091703D">
        <w:rPr>
          <w:rFonts w:eastAsia="Times New Roman"/>
          <w:i/>
          <w:szCs w:val="24"/>
        </w:rPr>
        <w:t>Revista Jurídica de la Universidad de Puerto Rico.</w:t>
      </w:r>
    </w:p>
    <w:p w:rsidR="00B015EE" w:rsidRPr="0091703D"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A226D8">
        <w:rPr>
          <w:rFonts w:eastAsia="Times New Roman"/>
          <w:szCs w:val="24"/>
        </w:rPr>
        <w:t xml:space="preserve">Helfeld, D.  </w:t>
      </w:r>
      <w:r w:rsidRPr="005B5FEE">
        <w:rPr>
          <w:rFonts w:eastAsia="Times New Roman"/>
          <w:szCs w:val="24"/>
          <w:lang w:val="en-US"/>
        </w:rPr>
        <w:t xml:space="preserve">(2011) “Distribution of constitutional and statutory powers”.  </w:t>
      </w:r>
      <w:r w:rsidRPr="00E846B9">
        <w:rPr>
          <w:rFonts w:eastAsia="Times New Roman"/>
          <w:i/>
          <w:szCs w:val="24"/>
          <w:lang w:val="es-ES"/>
        </w:rPr>
        <w:t>Revista Jurídica de la Universidad de Puerto Rico</w:t>
      </w:r>
      <w:r w:rsidRPr="00E846B9">
        <w:rPr>
          <w:rFonts w:eastAsia="Times New Roman"/>
          <w:szCs w:val="24"/>
          <w:lang w:val="es-ES"/>
        </w:rPr>
        <w:t>, (80).</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D2158D"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226D8">
        <w:rPr>
          <w:rFonts w:eastAsia="Times New Roman"/>
          <w:szCs w:val="24"/>
        </w:rPr>
        <w:t xml:space="preserve">Hermilla, N.D. (1998). </w:t>
      </w:r>
      <w:r w:rsidRPr="00D2158D">
        <w:rPr>
          <w:rFonts w:eastAsia="Times New Roman"/>
          <w:szCs w:val="24"/>
          <w:lang w:val="en-US"/>
        </w:rPr>
        <w:t>Puerto Rico 1898–1998: The Institutionalization of Second Class Citizenship?, 16 DICK. J. INT’L L. 275, 284 (1998).</w:t>
      </w:r>
    </w:p>
    <w:p w:rsidR="00B015EE" w:rsidRPr="00D2158D"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B015EE">
        <w:rPr>
          <w:rFonts w:eastAsia="Times New Roman"/>
          <w:szCs w:val="24"/>
          <w:lang w:val="en-US"/>
        </w:rPr>
        <w:t xml:space="preserve">Hitchcock, D. (2014, febrero 4) “Puerto Rico GO Rating Lowered To 'BB+'”. </w:t>
      </w:r>
      <w:r w:rsidRPr="00EC5C42">
        <w:rPr>
          <w:rFonts w:eastAsia="Times New Roman"/>
          <w:i/>
          <w:szCs w:val="24"/>
          <w:lang w:val="es-ES"/>
        </w:rPr>
        <w:t>Standard &amp; Poors</w:t>
      </w:r>
      <w:r w:rsidRPr="00EC5C42">
        <w:rPr>
          <w:rFonts w:eastAsia="Times New Roman"/>
          <w:szCs w:val="24"/>
          <w:lang w:val="es-ES"/>
        </w:rPr>
        <w:t xml:space="preserve">. </w:t>
      </w:r>
      <w:r w:rsidRPr="0010737F">
        <w:rPr>
          <w:rFonts w:eastAsia="Times New Roman"/>
          <w:szCs w:val="24"/>
          <w:lang w:val="es-ES"/>
        </w:rPr>
        <w:t xml:space="preserve">Recuperado de </w:t>
      </w:r>
      <w:hyperlink r:id="rId43" w:history="1">
        <w:r w:rsidRPr="0010737F">
          <w:rPr>
            <w:rFonts w:eastAsia="Times New Roman"/>
            <w:szCs w:val="24"/>
            <w:lang w:val="es-ES"/>
          </w:rPr>
          <w:t>www.standardandpoors.com/ratingdirect</w:t>
        </w:r>
      </w:hyperlink>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Default="00B015EE" w:rsidP="007538AA">
      <w:pPr>
        <w:widowControl w:val="0"/>
        <w:tabs>
          <w:tab w:val="left" w:pos="630"/>
        </w:tabs>
        <w:autoSpaceDE w:val="0"/>
        <w:autoSpaceDN w:val="0"/>
        <w:spacing w:line="240" w:lineRule="auto"/>
        <w:ind w:left="720" w:hanging="720"/>
        <w:jc w:val="left"/>
      </w:pPr>
      <w:r w:rsidRPr="00A226D8">
        <w:rPr>
          <w:rFonts w:eastAsia="Times New Roman"/>
          <w:szCs w:val="24"/>
        </w:rPr>
        <w:t xml:space="preserve">Hill, D. (2005). </w:t>
      </w:r>
      <w:r w:rsidRPr="00EC5C42">
        <w:rPr>
          <w:rFonts w:eastAsia="Times New Roman"/>
          <w:szCs w:val="24"/>
          <w:lang w:val="en-US"/>
        </w:rPr>
        <w:t xml:space="preserve">“Puerto Rico deserves more attention”. </w:t>
      </w:r>
      <w:r w:rsidRPr="00A226D8">
        <w:rPr>
          <w:rFonts w:eastAsia="Times New Roman"/>
          <w:i/>
          <w:szCs w:val="24"/>
          <w:lang w:val="en-US"/>
        </w:rPr>
        <w:t>The Hill</w:t>
      </w:r>
      <w:r w:rsidRPr="00A226D8">
        <w:rPr>
          <w:rFonts w:eastAsia="Times New Roman"/>
          <w:szCs w:val="24"/>
          <w:lang w:val="en-US"/>
        </w:rPr>
        <w:t xml:space="preserve">. </w:t>
      </w:r>
      <w:r w:rsidRPr="006A281F">
        <w:rPr>
          <w:rFonts w:eastAsia="Times New Roman"/>
          <w:szCs w:val="24"/>
        </w:rPr>
        <w:t xml:space="preserve">Recuperado de </w:t>
      </w:r>
      <w:hyperlink r:id="rId44" w:anchor="ixzz2eyXKV4Nf" w:history="1">
        <w:r w:rsidRPr="00E0419C">
          <w:rPr>
            <w:rFonts w:eastAsia="Times New Roman"/>
            <w:szCs w:val="24"/>
          </w:rPr>
          <w:t>http://thehill.com/opinion/columnists/david-hill/8308-puerto-rico-deserves-more-attention#ixzz2eyXKV4Nf</w:t>
        </w:r>
      </w:hyperlink>
    </w:p>
    <w:p w:rsidR="00B015EE" w:rsidRDefault="00B015EE" w:rsidP="007538AA">
      <w:pPr>
        <w:widowControl w:val="0"/>
        <w:tabs>
          <w:tab w:val="left" w:pos="630"/>
        </w:tabs>
        <w:autoSpaceDE w:val="0"/>
        <w:autoSpaceDN w:val="0"/>
        <w:spacing w:line="240" w:lineRule="auto"/>
        <w:ind w:left="720" w:hanging="720"/>
        <w:jc w:val="left"/>
      </w:pPr>
    </w:p>
    <w:p w:rsidR="00B015EE" w:rsidRPr="0054360D" w:rsidRDefault="00B015EE" w:rsidP="007538AA">
      <w:pPr>
        <w:tabs>
          <w:tab w:val="left" w:pos="630"/>
        </w:tabs>
        <w:ind w:left="720" w:hanging="720"/>
        <w:rPr>
          <w:rFonts w:eastAsia="Times New Roman"/>
          <w:szCs w:val="24"/>
          <w:lang w:val="en-US"/>
        </w:rPr>
      </w:pPr>
      <w:r w:rsidRPr="0054360D">
        <w:rPr>
          <w:rFonts w:eastAsia="Times New Roman"/>
          <w:szCs w:val="24"/>
          <w:lang w:val="en-US"/>
        </w:rPr>
        <w:t xml:space="preserve">H.R. 2000 To set forth the process for Puerto Rico to be admitted as a State of </w:t>
      </w:r>
    </w:p>
    <w:p w:rsidR="00B015EE" w:rsidRDefault="00B015EE" w:rsidP="007538AA">
      <w:pPr>
        <w:tabs>
          <w:tab w:val="left" w:pos="630"/>
        </w:tabs>
        <w:spacing w:line="240" w:lineRule="auto"/>
        <w:ind w:left="720" w:hanging="720"/>
        <w:jc w:val="left"/>
        <w:rPr>
          <w:rFonts w:eastAsia="Times New Roman"/>
          <w:szCs w:val="24"/>
          <w:lang w:val="es-ES"/>
        </w:rPr>
      </w:pPr>
      <w:r w:rsidRPr="0054360D">
        <w:rPr>
          <w:rFonts w:eastAsia="Times New Roman"/>
          <w:szCs w:val="24"/>
          <w:lang w:val="es-ES"/>
        </w:rPr>
        <w:t xml:space="preserve">the Union. </w:t>
      </w:r>
      <w:r>
        <w:rPr>
          <w:rFonts w:eastAsia="Times New Roman"/>
          <w:szCs w:val="24"/>
          <w:lang w:val="es-ES"/>
        </w:rPr>
        <w:t xml:space="preserve">Recuperado de </w:t>
      </w:r>
      <w:hyperlink r:id="rId45" w:history="1">
        <w:r w:rsidRPr="00EC630D">
          <w:rPr>
            <w:rStyle w:val="Hyperlink"/>
            <w:rFonts w:eastAsia="Times New Roman"/>
            <w:szCs w:val="24"/>
            <w:lang w:val="es-ES"/>
          </w:rPr>
          <w:t>http://beta.congress.gov/113/bills/hr2000/BILLS-113hr2000ih.pdf</w:t>
        </w:r>
      </w:hyperlink>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4360D">
        <w:rPr>
          <w:rFonts w:eastAsia="Times New Roman"/>
          <w:szCs w:val="24"/>
          <w:lang w:val="es-ES"/>
        </w:rPr>
        <w:t xml:space="preserve">H.R. 2499, (2009) ‘‘Puerto Rico Democracy Act”. </w:t>
      </w:r>
      <w:r w:rsidRPr="005B5FEE">
        <w:rPr>
          <w:rFonts w:eastAsia="Times New Roman"/>
          <w:szCs w:val="24"/>
          <w:lang w:val="en-US"/>
        </w:rPr>
        <w:t>Legislative hearing before the Committee on</w:t>
      </w:r>
      <w:r>
        <w:rPr>
          <w:rFonts w:eastAsia="Times New Roman"/>
          <w:szCs w:val="24"/>
          <w:lang w:val="en-US"/>
        </w:rPr>
        <w:t xml:space="preserve"> </w:t>
      </w:r>
      <w:r w:rsidRPr="005B5FEE">
        <w:rPr>
          <w:rFonts w:eastAsia="Times New Roman"/>
          <w:szCs w:val="24"/>
          <w:lang w:val="en-US"/>
        </w:rPr>
        <w:t>Natural Resources</w:t>
      </w:r>
      <w:r>
        <w:rPr>
          <w:rFonts w:eastAsia="Times New Roman"/>
          <w:szCs w:val="24"/>
          <w:lang w:val="en-US"/>
        </w:rPr>
        <w:t xml:space="preserve">. </w:t>
      </w:r>
      <w:r w:rsidRPr="0054360D">
        <w:rPr>
          <w:rFonts w:eastAsia="Times New Roman"/>
          <w:szCs w:val="24"/>
          <w:lang w:val="en-US"/>
        </w:rPr>
        <w:t xml:space="preserve">US House of Representatives. </w:t>
      </w:r>
    </w:p>
    <w:p w:rsidR="007538AA" w:rsidRDefault="007538AA" w:rsidP="007538AA">
      <w:pPr>
        <w:tabs>
          <w:tab w:val="left" w:pos="630"/>
        </w:tabs>
        <w:ind w:left="720" w:hanging="720"/>
        <w:rPr>
          <w:lang w:val="en-US"/>
        </w:rPr>
      </w:pPr>
    </w:p>
    <w:p w:rsidR="00B015EE" w:rsidRPr="007538AA" w:rsidRDefault="00B015EE" w:rsidP="007538AA">
      <w:pPr>
        <w:tabs>
          <w:tab w:val="left" w:pos="630"/>
        </w:tabs>
        <w:ind w:left="720" w:hanging="720"/>
        <w:jc w:val="left"/>
        <w:rPr>
          <w:lang w:val="en-US"/>
        </w:rPr>
      </w:pPr>
      <w:r w:rsidRPr="0091703D">
        <w:rPr>
          <w:lang w:val="en-US"/>
        </w:rPr>
        <w:t xml:space="preserve">H.R. 292 (2013). </w:t>
      </w:r>
      <w:r w:rsidRPr="007538AA">
        <w:rPr>
          <w:lang w:val="en-US"/>
        </w:rPr>
        <w:t>New Columbia Admission Act</w:t>
      </w:r>
      <w:r w:rsidRPr="0091703D">
        <w:rPr>
          <w:lang w:val="en-US"/>
        </w:rPr>
        <w:t xml:space="preserve"> </w:t>
      </w:r>
      <w:r w:rsidRPr="007538AA">
        <w:rPr>
          <w:lang w:val="en-US"/>
        </w:rPr>
        <w:t>New Columbia Admission Act</w:t>
      </w:r>
      <w:r w:rsidRPr="0091703D">
        <w:rPr>
          <w:lang w:val="en-US"/>
        </w:rPr>
        <w:t xml:space="preserve">. </w:t>
      </w:r>
      <w:r w:rsidRPr="0091703D">
        <w:rPr>
          <w:lang w:val="es-ES"/>
        </w:rPr>
        <w:t>Recuperado de https://www.govtrack.us/congress/bills/113/hr292/text</w:t>
      </w:r>
      <w:r w:rsidRPr="00B015EE">
        <w:rPr>
          <w:rFonts w:eastAsia="Times New Roman"/>
          <w:szCs w:val="24"/>
        </w:rPr>
        <w:t xml:space="preserve">Huntington, S. (2002). </w:t>
      </w:r>
      <w:r w:rsidRPr="005B5FEE">
        <w:rPr>
          <w:rFonts w:eastAsia="Times New Roman"/>
          <w:szCs w:val="24"/>
          <w:lang w:val="en-US"/>
        </w:rPr>
        <w:t xml:space="preserve">The Hispanic Challenge. Foreign Policy, Recuperado de </w:t>
      </w:r>
      <w:hyperlink r:id="rId46" w:history="1">
        <w:r w:rsidRPr="005B5FEE">
          <w:rPr>
            <w:rFonts w:eastAsia="Times New Roman"/>
            <w:szCs w:val="24"/>
            <w:lang w:val="en-US"/>
          </w:rPr>
          <w:t>http://www.foreignpolicy.com/articles/2004/03/01/the_hispanic_challenge</w:t>
        </w:r>
      </w:hyperlink>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_______, (2004). </w:t>
      </w:r>
      <w:r w:rsidRPr="006A281F">
        <w:rPr>
          <w:rFonts w:eastAsia="Times New Roman"/>
          <w:i/>
          <w:szCs w:val="24"/>
          <w:lang w:val="en-US"/>
        </w:rPr>
        <w:t>Who Are We?.</w:t>
      </w:r>
      <w:r w:rsidRPr="005B5FEE">
        <w:rPr>
          <w:rFonts w:eastAsia="Times New Roman"/>
          <w:szCs w:val="24"/>
          <w:lang w:val="en-US"/>
        </w:rPr>
        <w:t xml:space="preserve"> The Challenges to America’s National</w:t>
      </w:r>
    </w:p>
    <w:p w:rsidR="00B015EE" w:rsidRPr="005140D0"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5B5FEE">
        <w:rPr>
          <w:rFonts w:eastAsia="Times New Roman"/>
          <w:szCs w:val="24"/>
          <w:lang w:val="en-US"/>
        </w:rPr>
        <w:t xml:space="preserve">Identity. </w:t>
      </w:r>
      <w:r w:rsidRPr="005140D0">
        <w:rPr>
          <w:rFonts w:eastAsia="Times New Roman"/>
          <w:szCs w:val="24"/>
          <w:lang w:val="en-US"/>
        </w:rPr>
        <w:t>Nueva York: Simon &amp; Schuster.</w:t>
      </w:r>
    </w:p>
    <w:p w:rsidR="00B015EE" w:rsidRPr="005140D0"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6A281F"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226D8">
        <w:rPr>
          <w:rFonts w:eastAsia="Times New Roman"/>
          <w:szCs w:val="24"/>
          <w:lang w:val="en-US"/>
        </w:rPr>
        <w:t xml:space="preserve">Igartúa–de  la Rosa  v. United  States  (Igartúa III), 417 F.3d 145, 1st Cir. </w:t>
      </w:r>
      <w:r>
        <w:rPr>
          <w:rFonts w:eastAsia="Times New Roman"/>
          <w:szCs w:val="24"/>
          <w:lang w:val="en-US"/>
        </w:rPr>
        <w:t>(</w:t>
      </w:r>
      <w:r w:rsidRPr="006A281F">
        <w:rPr>
          <w:rFonts w:eastAsia="Times New Roman"/>
          <w:szCs w:val="24"/>
          <w:lang w:val="en-US"/>
        </w:rPr>
        <w:t>2005</w:t>
      </w:r>
      <w:r>
        <w:rPr>
          <w:rFonts w:eastAsia="Times New Roman"/>
          <w:szCs w:val="24"/>
          <w:lang w:val="en-US"/>
        </w:rPr>
        <w:t>)</w:t>
      </w:r>
    </w:p>
    <w:p w:rsidR="00B015EE" w:rsidRPr="006A281F"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Ignatieff, M. (2005). American Exceptionalism and Human Rights. Princeton, New Jersey: Princeton University Press.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Ingram, J. (2001). “Puerto Rican independence: Whose choice? The people of Puerto Rico or the United States Government?. </w:t>
      </w:r>
      <w:r w:rsidRPr="00437C6A">
        <w:rPr>
          <w:rFonts w:eastAsia="Times New Roman"/>
          <w:szCs w:val="24"/>
          <w:lang w:val="en-US"/>
        </w:rPr>
        <w:t>2001 L.Rev. M.S.U.-D.C.L. 85.</w:t>
      </w:r>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140D0">
        <w:rPr>
          <w:rFonts w:eastAsia="Times New Roman"/>
          <w:szCs w:val="24"/>
          <w:lang w:val="en-US"/>
        </w:rPr>
        <w:t xml:space="preserve">Kent, A. (2011). </w:t>
      </w:r>
      <w:r w:rsidRPr="005B5FEE">
        <w:rPr>
          <w:rFonts w:eastAsia="Times New Roman"/>
          <w:szCs w:val="24"/>
          <w:lang w:val="en-US"/>
        </w:rPr>
        <w:t>“Boumediene, Munaf, and the Supreme Court’s Misreading of the Insu</w:t>
      </w:r>
      <w:r>
        <w:rPr>
          <w:rFonts w:eastAsia="Times New Roman"/>
          <w:szCs w:val="24"/>
          <w:lang w:val="en-US"/>
        </w:rPr>
        <w:t xml:space="preserve">lar cases”. </w:t>
      </w:r>
      <w:r w:rsidRPr="006A281F">
        <w:rPr>
          <w:rFonts w:eastAsia="Times New Roman"/>
          <w:i/>
          <w:szCs w:val="24"/>
          <w:lang w:val="en-US"/>
        </w:rPr>
        <w:t>Iowa Law Review</w:t>
      </w:r>
      <w:r>
        <w:rPr>
          <w:rFonts w:eastAsia="Times New Roman"/>
          <w:szCs w:val="24"/>
          <w:lang w:val="en-US"/>
        </w:rPr>
        <w:t>, 97(</w:t>
      </w:r>
      <w:r w:rsidRPr="005B5FEE">
        <w:rPr>
          <w:rFonts w:eastAsia="Times New Roman"/>
          <w:szCs w:val="24"/>
          <w:lang w:val="en-US"/>
        </w:rPr>
        <w:t>101</w:t>
      </w:r>
      <w:r>
        <w:rPr>
          <w:rFonts w:eastAsia="Times New Roman"/>
          <w:szCs w:val="24"/>
          <w:lang w:val="en-US"/>
        </w:rPr>
        <w:t>)</w:t>
      </w:r>
      <w:r w:rsidRPr="005B5FEE">
        <w:rPr>
          <w:rFonts w:eastAsia="Times New Roman"/>
          <w:szCs w:val="24"/>
          <w:lang w:val="en-US"/>
        </w:rPr>
        <w:t xml:space="preserve">.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Kepplinger, HM,  and Roth, H. (1979). “Creating a Crisis: German Mass Media and Oil Supply in 1973-74. </w:t>
      </w:r>
      <w:r w:rsidRPr="006A281F">
        <w:rPr>
          <w:rFonts w:eastAsia="Times New Roman"/>
          <w:i/>
          <w:szCs w:val="24"/>
          <w:lang w:val="en-US"/>
        </w:rPr>
        <w:t>The Public Opinion Quarterly</w:t>
      </w:r>
      <w:r>
        <w:rPr>
          <w:rFonts w:eastAsia="Times New Roman"/>
          <w:szCs w:val="24"/>
          <w:lang w:val="en-US"/>
        </w:rPr>
        <w:t>, 43(</w:t>
      </w:r>
      <w:r w:rsidRPr="005B5FEE">
        <w:rPr>
          <w:rFonts w:eastAsia="Times New Roman"/>
          <w:szCs w:val="24"/>
          <w:lang w:val="en-US"/>
        </w:rPr>
        <w:t>3</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E846B9" w:rsidRDefault="00B015EE" w:rsidP="007538AA">
      <w:pPr>
        <w:widowControl w:val="0"/>
        <w:tabs>
          <w:tab w:val="left" w:pos="630"/>
        </w:tabs>
        <w:autoSpaceDE w:val="0"/>
        <w:autoSpaceDN w:val="0"/>
        <w:spacing w:line="240" w:lineRule="auto"/>
        <w:ind w:left="720" w:hanging="720"/>
        <w:jc w:val="left"/>
        <w:rPr>
          <w:lang w:val="en-US"/>
        </w:rPr>
      </w:pPr>
      <w:r w:rsidRPr="005B5FEE">
        <w:rPr>
          <w:rFonts w:eastAsia="Times New Roman"/>
          <w:szCs w:val="24"/>
          <w:lang w:val="en-US"/>
        </w:rPr>
        <w:t>Khazan, O. (2012). Why does Puerto Rico want</w:t>
      </w:r>
      <w:r>
        <w:rPr>
          <w:rFonts w:eastAsia="Times New Roman"/>
          <w:szCs w:val="24"/>
          <w:lang w:val="en-US"/>
        </w:rPr>
        <w:t xml:space="preserve"> statehood, anyway?. </w:t>
      </w:r>
      <w:r w:rsidRPr="006A281F">
        <w:rPr>
          <w:rFonts w:eastAsia="Times New Roman"/>
          <w:i/>
          <w:szCs w:val="24"/>
          <w:lang w:val="en-US"/>
        </w:rPr>
        <w:t>The Washington Post</w:t>
      </w:r>
      <w:r>
        <w:rPr>
          <w:rFonts w:eastAsia="Times New Roman"/>
          <w:szCs w:val="24"/>
          <w:lang w:val="en-US"/>
        </w:rPr>
        <w:t xml:space="preserve">. </w:t>
      </w:r>
      <w:r w:rsidRPr="006A281F">
        <w:rPr>
          <w:rFonts w:eastAsia="Times New Roman"/>
          <w:szCs w:val="24"/>
          <w:lang w:val="en-US"/>
        </w:rPr>
        <w:t xml:space="preserve">Recuperado de  </w:t>
      </w:r>
      <w:hyperlink r:id="rId47" w:history="1">
        <w:r w:rsidRPr="006A281F">
          <w:rPr>
            <w:rFonts w:eastAsia="Times New Roman"/>
            <w:szCs w:val="24"/>
            <w:lang w:val="en-US"/>
          </w:rPr>
          <w:t>http://www.washingtonpost.com/blogs/worldviews/wp/2012/11/07/why-does-puerto-rico-want-statehood-anyway/</w:t>
        </w:r>
      </w:hyperlink>
    </w:p>
    <w:p w:rsidR="00B015EE" w:rsidRPr="00E846B9" w:rsidRDefault="00B015EE" w:rsidP="007538AA">
      <w:pPr>
        <w:widowControl w:val="0"/>
        <w:tabs>
          <w:tab w:val="left" w:pos="630"/>
        </w:tabs>
        <w:autoSpaceDE w:val="0"/>
        <w:autoSpaceDN w:val="0"/>
        <w:spacing w:line="240" w:lineRule="auto"/>
        <w:ind w:left="720" w:hanging="720"/>
        <w:jc w:val="left"/>
        <w:rPr>
          <w:lang w:val="en-US"/>
        </w:rPr>
      </w:pPr>
    </w:p>
    <w:p w:rsidR="00B015EE" w:rsidRPr="004856A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 xml:space="preserve">Laney, G. </w:t>
      </w:r>
      <w:r w:rsidRPr="005B5FEE">
        <w:rPr>
          <w:rFonts w:eastAsia="Times New Roman"/>
          <w:szCs w:val="24"/>
          <w:lang w:val="en-US"/>
        </w:rPr>
        <w:t>(1998). Puerto Rico: A chronology Chronology of p</w:t>
      </w:r>
      <w:r>
        <w:rPr>
          <w:rFonts w:eastAsia="Times New Roman"/>
          <w:szCs w:val="24"/>
          <w:lang w:val="en-US"/>
        </w:rPr>
        <w:t xml:space="preserve">olitical Political Status </w:t>
      </w:r>
      <w:r w:rsidRPr="005B5FEE">
        <w:rPr>
          <w:rFonts w:eastAsia="Times New Roman"/>
          <w:szCs w:val="24"/>
          <w:lang w:val="en-US"/>
        </w:rPr>
        <w:t>History</w:t>
      </w:r>
      <w:r>
        <w:rPr>
          <w:rFonts w:eastAsia="Times New Roman"/>
          <w:szCs w:val="24"/>
          <w:lang w:val="en-US"/>
        </w:rPr>
        <w:t>.</w:t>
      </w:r>
      <w:r w:rsidRPr="005B5FEE">
        <w:rPr>
          <w:rFonts w:eastAsia="Times New Roman"/>
          <w:szCs w:val="24"/>
          <w:lang w:val="en-US"/>
        </w:rPr>
        <w:t xml:space="preserve"> </w:t>
      </w:r>
      <w:r w:rsidRPr="004856A2">
        <w:rPr>
          <w:rFonts w:eastAsia="Times New Roman"/>
          <w:szCs w:val="24"/>
          <w:lang w:val="en-US"/>
        </w:rPr>
        <w:t>(Congressional Research Service 97-526 GOV). Recuperado de http://www.policyarchive.org/handle/10207/bitstreams/403.pdf</w:t>
      </w:r>
    </w:p>
    <w:p w:rsidR="00B015EE" w:rsidRPr="006A281F"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Lawson, G &amp; Sloan, R. (2009). “Associated Statehood: Puerto Rico’s Legal Status Reconsidered”. </w:t>
      </w:r>
      <w:r w:rsidRPr="006A281F">
        <w:rPr>
          <w:rFonts w:eastAsia="Times New Roman"/>
          <w:i/>
          <w:szCs w:val="24"/>
          <w:lang w:val="en-US"/>
        </w:rPr>
        <w:t>Boston College Law Review</w:t>
      </w:r>
      <w:r w:rsidRPr="005B5FEE">
        <w:rPr>
          <w:rFonts w:eastAsia="Times New Roman"/>
          <w:szCs w:val="24"/>
          <w:lang w:val="en-US"/>
        </w:rPr>
        <w:t>, 50(4).</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6A281F"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Lawson, G. (2009</w:t>
      </w:r>
      <w:r>
        <w:rPr>
          <w:rFonts w:eastAsia="Times New Roman"/>
          <w:szCs w:val="24"/>
          <w:lang w:val="en-US"/>
        </w:rPr>
        <w:t xml:space="preserve">) “The Constitution’s Congress”. </w:t>
      </w:r>
      <w:r w:rsidRPr="005B5FEE">
        <w:rPr>
          <w:rFonts w:eastAsia="Times New Roman"/>
          <w:szCs w:val="24"/>
          <w:lang w:val="en-US"/>
        </w:rPr>
        <w:t xml:space="preserve"> </w:t>
      </w:r>
      <w:r w:rsidRPr="006A281F">
        <w:rPr>
          <w:rFonts w:eastAsia="Times New Roman"/>
          <w:i/>
          <w:szCs w:val="24"/>
          <w:lang w:val="en-US"/>
        </w:rPr>
        <w:t>Boston University Law Review</w:t>
      </w:r>
      <w:r>
        <w:rPr>
          <w:rFonts w:eastAsia="Times New Roman"/>
          <w:szCs w:val="24"/>
          <w:lang w:val="en-US"/>
        </w:rPr>
        <w:t xml:space="preserve">, 89, 399. </w:t>
      </w:r>
      <w:r w:rsidRPr="006A281F">
        <w:rPr>
          <w:rFonts w:eastAsia="Times New Roman"/>
          <w:szCs w:val="24"/>
        </w:rPr>
        <w:t xml:space="preserve">Recuperado de </w:t>
      </w:r>
      <w:hyperlink r:id="rId48" w:history="1">
        <w:r w:rsidRPr="006A281F">
          <w:rPr>
            <w:rFonts w:eastAsia="Times New Roman"/>
            <w:szCs w:val="24"/>
          </w:rPr>
          <w:t>http://www.bu.edu/law/central/jd/organizations/journals/bulr/volume89n2/documents/LAWSO.pdf</w:t>
        </w:r>
      </w:hyperlink>
      <w:r w:rsidRPr="006A281F">
        <w:rPr>
          <w:rFonts w:eastAsia="Times New Roman"/>
          <w:szCs w:val="24"/>
        </w:rPr>
        <w:t>.</w:t>
      </w:r>
    </w:p>
    <w:p w:rsidR="00B015EE" w:rsidRPr="006A281F"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Levinson, S. (2009). “Still complacent after all these years: Some ruminations on the contin</w:t>
      </w:r>
      <w:r>
        <w:rPr>
          <w:rFonts w:eastAsia="Times New Roman"/>
          <w:szCs w:val="24"/>
          <w:lang w:val="en-US"/>
        </w:rPr>
        <w:t xml:space="preserve">uining need for a </w:t>
      </w:r>
      <w:r w:rsidRPr="005B5FEE">
        <w:rPr>
          <w:rFonts w:eastAsia="Times New Roman"/>
          <w:szCs w:val="24"/>
          <w:lang w:val="en-US"/>
        </w:rPr>
        <w:t xml:space="preserve">new political science”. </w:t>
      </w:r>
      <w:r w:rsidRPr="006A281F">
        <w:rPr>
          <w:rFonts w:eastAsia="Times New Roman"/>
          <w:i/>
          <w:szCs w:val="24"/>
          <w:lang w:val="en-US"/>
        </w:rPr>
        <w:t>Boston University Law Review</w:t>
      </w:r>
      <w:r>
        <w:rPr>
          <w:rFonts w:eastAsia="Times New Roman"/>
          <w:szCs w:val="24"/>
          <w:lang w:val="en-US"/>
        </w:rPr>
        <w:t>, 89 (</w:t>
      </w:r>
      <w:r w:rsidRPr="005B5FEE">
        <w:rPr>
          <w:rFonts w:eastAsia="Times New Roman"/>
          <w:szCs w:val="24"/>
          <w:lang w:val="en-US"/>
        </w:rPr>
        <w:t>409</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Levinson, S. (2000). “Why the Canon Should be Expand</w:t>
      </w:r>
      <w:r>
        <w:rPr>
          <w:rFonts w:eastAsia="Times New Roman"/>
          <w:szCs w:val="24"/>
          <w:lang w:val="en-US"/>
        </w:rPr>
        <w:t>ed to Include the Insular Cases</w:t>
      </w:r>
      <w:r w:rsidRPr="005B5FEE">
        <w:rPr>
          <w:rFonts w:eastAsia="Times New Roman"/>
          <w:szCs w:val="24"/>
          <w:lang w:val="en-US"/>
        </w:rPr>
        <w:t xml:space="preserve"> and the Saga of American Expansionism”</w:t>
      </w:r>
      <w:r>
        <w:rPr>
          <w:rFonts w:eastAsia="Times New Roman"/>
          <w:szCs w:val="24"/>
          <w:lang w:val="en-US"/>
        </w:rPr>
        <w:t xml:space="preserve">. </w:t>
      </w:r>
      <w:r w:rsidRPr="0010737F">
        <w:rPr>
          <w:rFonts w:eastAsia="Times New Roman"/>
          <w:i/>
          <w:szCs w:val="24"/>
          <w:lang w:val="en-US"/>
        </w:rPr>
        <w:t>University of Minnesota Law School Constitutional Commentary</w:t>
      </w:r>
      <w:r>
        <w:rPr>
          <w:rFonts w:eastAsia="Times New Roman"/>
          <w:szCs w:val="24"/>
          <w:lang w:val="en-US"/>
        </w:rPr>
        <w:t>, 17(</w:t>
      </w:r>
      <w:r w:rsidRPr="005B5FEE">
        <w:rPr>
          <w:rFonts w:eastAsia="Times New Roman"/>
          <w:szCs w:val="24"/>
          <w:lang w:val="en-US"/>
        </w:rPr>
        <w:t>2</w:t>
      </w:r>
      <w:r>
        <w:rPr>
          <w:rFonts w:eastAsia="Times New Roman"/>
          <w:szCs w:val="24"/>
          <w:lang w:val="en-US"/>
        </w:rPr>
        <w:t xml:space="preserve">). Recuperado de </w:t>
      </w:r>
      <w:hyperlink r:id="rId49" w:history="1">
        <w:r w:rsidRPr="005B5FEE">
          <w:rPr>
            <w:rFonts w:eastAsia="Times New Roman"/>
            <w:szCs w:val="24"/>
            <w:lang w:val="en-US"/>
          </w:rPr>
          <w:t>http://www.law.umn.edu/constcom/v17n2.ht</w:t>
        </w:r>
      </w:hyperlink>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Lewis Anthony Dexter, “When the job is chiefly lobbying”, Readings on Congress, .</w:t>
      </w:r>
      <w:r w:rsidRPr="006604FE">
        <w:rPr>
          <w:rStyle w:val="st"/>
          <w:lang w:val="en-US"/>
        </w:rPr>
        <w:t>Englewood Cliffs, N.J: Prentice-Hall, 1971</w:t>
      </w:r>
      <w:r>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Lugo-Lugo, C.R. (2006).</w:t>
      </w:r>
      <w:r w:rsidRPr="005B5FEE">
        <w:rPr>
          <w:rFonts w:eastAsia="Times New Roman"/>
          <w:szCs w:val="24"/>
          <w:lang w:val="en-US"/>
        </w:rPr>
        <w:t xml:space="preserve"> U.S. Congr</w:t>
      </w:r>
      <w:r>
        <w:rPr>
          <w:rFonts w:eastAsia="Times New Roman"/>
          <w:szCs w:val="24"/>
          <w:lang w:val="en-US"/>
        </w:rPr>
        <w:t xml:space="preserve">ess and the invisibility of </w:t>
      </w:r>
      <w:r w:rsidRPr="005B5FEE">
        <w:rPr>
          <w:rFonts w:eastAsia="Times New Roman"/>
          <w:szCs w:val="24"/>
          <w:lang w:val="en-US"/>
        </w:rPr>
        <w:t>coloniality: The case of Puerto Rico’s poli</w:t>
      </w:r>
      <w:r>
        <w:rPr>
          <w:rFonts w:eastAsia="Times New Roman"/>
          <w:szCs w:val="24"/>
          <w:lang w:val="en-US"/>
        </w:rPr>
        <w:t xml:space="preserve">tical status revisited. </w:t>
      </w:r>
      <w:r w:rsidRPr="002D463C">
        <w:rPr>
          <w:rFonts w:eastAsia="Times New Roman"/>
          <w:i/>
          <w:szCs w:val="24"/>
          <w:lang w:val="en-US"/>
        </w:rPr>
        <w:t>Centro Journal</w:t>
      </w:r>
      <w:r>
        <w:rPr>
          <w:rFonts w:eastAsia="Times New Roman"/>
          <w:szCs w:val="24"/>
          <w:lang w:val="en-US"/>
        </w:rPr>
        <w:t>, 43,</w:t>
      </w:r>
      <w:r w:rsidRPr="005B5FEE">
        <w:rPr>
          <w:rFonts w:eastAsia="Times New Roman"/>
          <w:szCs w:val="24"/>
          <w:lang w:val="en-US"/>
        </w:rPr>
        <w:t xml:space="preserve"> </w:t>
      </w:r>
      <w:r>
        <w:rPr>
          <w:rFonts w:eastAsia="Times New Roman"/>
          <w:szCs w:val="24"/>
          <w:lang w:val="en-US"/>
        </w:rPr>
        <w:t>(</w:t>
      </w:r>
      <w:r w:rsidRPr="005B5FEE">
        <w:rPr>
          <w:rFonts w:eastAsia="Times New Roman"/>
          <w:szCs w:val="24"/>
          <w:lang w:val="en-US"/>
        </w:rPr>
        <w:t>1</w:t>
      </w:r>
      <w:r>
        <w:rPr>
          <w:rFonts w:eastAsia="Times New Roman"/>
          <w:szCs w:val="24"/>
          <w:lang w:val="en-US"/>
        </w:rPr>
        <w:t>)</w:t>
      </w:r>
      <w:r w:rsidRPr="005B5FEE">
        <w:rPr>
          <w:rFonts w:eastAsia="Times New Roman"/>
          <w:szCs w:val="24"/>
          <w:lang w:val="en-US"/>
        </w:rPr>
        <w:t>.</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Manning, J. E. Membership of the 113th Congress: A Profile, Congressional Research Service, 5 de agosto de 2013.</w:t>
      </w:r>
      <w:r>
        <w:rPr>
          <w:rFonts w:eastAsia="Times New Roman"/>
          <w:szCs w:val="24"/>
          <w:lang w:val="en-US"/>
        </w:rPr>
        <w:t xml:space="preserve"> </w:t>
      </w:r>
      <w:r w:rsidRPr="0010737F">
        <w:rPr>
          <w:rFonts w:eastAsia="Times New Roman"/>
          <w:szCs w:val="24"/>
          <w:lang w:val="es-ES"/>
        </w:rPr>
        <w:t>R</w:t>
      </w:r>
      <w:r>
        <w:rPr>
          <w:rFonts w:eastAsia="Times New Roman"/>
          <w:szCs w:val="24"/>
          <w:lang w:val="es-ES"/>
        </w:rPr>
        <w:t xml:space="preserve">ecuperado de </w:t>
      </w:r>
      <w:r w:rsidRPr="0010737F">
        <w:rPr>
          <w:rFonts w:eastAsia="Times New Roman"/>
          <w:szCs w:val="24"/>
          <w:lang w:val="es-ES"/>
        </w:rPr>
        <w:t>http://www.senate.gov/CRSReports/crspublish.cfm?pid=%260BL%2BR\C%3F%0A</w:t>
      </w:r>
    </w:p>
    <w:p w:rsidR="00B015EE" w:rsidRPr="001073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Martinez, H. M. (2000).  “Religious Leaders, Religious Groups and Politics in Puerto Rico.”</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E846B9">
        <w:rPr>
          <w:rFonts w:eastAsia="Times New Roman"/>
          <w:szCs w:val="24"/>
          <w:lang w:val="en-US"/>
        </w:rPr>
        <w:tab/>
      </w:r>
      <w:r w:rsidRPr="00BD682C">
        <w:rPr>
          <w:rFonts w:eastAsia="Times New Roman"/>
          <w:szCs w:val="24"/>
        </w:rPr>
        <w:t>Dissertation, University of Michigan.</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Martínez, Proceso plebiscitario 1989-1991, Vol. 1 Correspondencia del liderato y documentos legislativos. </w:t>
      </w:r>
      <w:r>
        <w:rPr>
          <w:rFonts w:eastAsia="Times New Roman"/>
          <w:szCs w:val="24"/>
        </w:rPr>
        <w:t xml:space="preserve">Recuperado de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ab/>
      </w:r>
      <w:r w:rsidRPr="006604FE">
        <w:rPr>
          <w:rFonts w:eastAsia="Times New Roman"/>
          <w:szCs w:val="24"/>
        </w:rPr>
        <w:t>http://rafaelhernandezcolon.org/PDF/ProcesoPeblibiscitarioVol3.pdf</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szCs w:val="24"/>
        </w:rPr>
        <w:t>Mattos Cintrón, W.</w:t>
      </w:r>
      <w:r>
        <w:rPr>
          <w:szCs w:val="24"/>
        </w:rPr>
        <w:t xml:space="preserve"> (1988</w:t>
      </w:r>
      <w:r w:rsidRPr="00BD682C">
        <w:rPr>
          <w:szCs w:val="24"/>
        </w:rPr>
        <w:t xml:space="preserve">). La formación de la hegemonía de Estados Unidos en Puerto Rico y el independentismo : los derechos civiles y la cuestión nacional. </w:t>
      </w:r>
      <w:r w:rsidRPr="00DE057F">
        <w:rPr>
          <w:rFonts w:eastAsia="Times New Roman"/>
          <w:i/>
          <w:szCs w:val="24"/>
          <w:lang w:val="en-US"/>
        </w:rPr>
        <w:t>Homines</w:t>
      </w:r>
      <w:r w:rsidRPr="005B5FEE">
        <w:rPr>
          <w:rFonts w:eastAsia="Times New Roman"/>
          <w:szCs w:val="24"/>
          <w:lang w:val="en-US"/>
        </w:rPr>
        <w:t xml:space="preserve">, 11(1-2). </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Mann, T., Orstein, J. (2008). The Broken Branch: How Congress Is Failing America and How to Get It Back on Track (Institutions of American Democracy). </w:t>
      </w:r>
      <w:r>
        <w:rPr>
          <w:rFonts w:eastAsia="Times New Roman"/>
          <w:szCs w:val="24"/>
          <w:lang w:val="en-US"/>
        </w:rPr>
        <w:t xml:space="preserve">Oxford: </w:t>
      </w:r>
      <w:r w:rsidRPr="005B5FEE">
        <w:rPr>
          <w:rFonts w:eastAsia="Times New Roman"/>
          <w:szCs w:val="24"/>
          <w:lang w:val="en-US"/>
        </w:rPr>
        <w:t xml:space="preserve">Oxford University Press.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Mann, T., Orstein, J. (2012).  </w:t>
      </w:r>
      <w:r w:rsidRPr="00DE057F">
        <w:rPr>
          <w:rFonts w:eastAsia="Times New Roman"/>
          <w:i/>
          <w:szCs w:val="24"/>
          <w:lang w:val="en-US"/>
        </w:rPr>
        <w:t>It’s even worse than it looks</w:t>
      </w:r>
      <w:r w:rsidRPr="005B5FEE">
        <w:rPr>
          <w:rFonts w:eastAsia="Times New Roman"/>
          <w:szCs w:val="24"/>
          <w:lang w:val="en-US"/>
        </w:rPr>
        <w:t>, New York, New York, Basic Books.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Mayhew, D. (1974). Congress: The Electoral Connection by David R. Mayhew. New Haven,. Conn., Yale University Press.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Mayhew, D. (2008)  “Is Congress the Broken Branch?”. </w:t>
      </w:r>
      <w:r w:rsidRPr="00DE057F">
        <w:rPr>
          <w:rFonts w:eastAsia="Times New Roman"/>
          <w:i/>
          <w:szCs w:val="24"/>
          <w:lang w:val="en-US"/>
        </w:rPr>
        <w:t>Boston University Law Review</w:t>
      </w:r>
      <w:r>
        <w:rPr>
          <w:rFonts w:eastAsia="Times New Roman"/>
          <w:szCs w:val="24"/>
          <w:lang w:val="en-US"/>
        </w:rPr>
        <w:t>, 89 (</w:t>
      </w:r>
      <w:r w:rsidRPr="005B5FEE">
        <w:rPr>
          <w:rFonts w:eastAsia="Times New Roman"/>
          <w:szCs w:val="24"/>
          <w:lang w:val="en-US"/>
        </w:rPr>
        <w:t>357</w:t>
      </w:r>
      <w:r>
        <w:rPr>
          <w:rFonts w:eastAsia="Times New Roman"/>
          <w:szCs w:val="24"/>
          <w:lang w:val="en-US"/>
        </w:rPr>
        <w:t>)</w:t>
      </w:r>
      <w:r w:rsidRPr="005B5FEE">
        <w:rPr>
          <w:rFonts w:eastAsia="Times New Roman"/>
          <w:szCs w:val="24"/>
          <w:lang w:val="en-US"/>
        </w:rPr>
        <w:t xml:space="preserve"> </w:t>
      </w:r>
      <w:r>
        <w:rPr>
          <w:rFonts w:eastAsia="Times New Roman"/>
          <w:szCs w:val="24"/>
          <w:lang w:val="en-US"/>
        </w:rPr>
        <w:t xml:space="preserve">Recuperado de </w:t>
      </w:r>
      <w:hyperlink r:id="rId50" w:history="1">
        <w:r w:rsidRPr="00EC630D">
          <w:rPr>
            <w:rStyle w:val="Hyperlink"/>
            <w:rFonts w:eastAsia="Times New Roman"/>
            <w:szCs w:val="24"/>
            <w:lang w:val="en-US"/>
          </w:rPr>
          <w:t>http://www.bu.edu/law/central/jd/organizations/journals/bulr/volume89n2/documents/MAYHEW.pdf</w:t>
        </w:r>
      </w:hyperlink>
      <w:r w:rsidRPr="005B5FEE">
        <w:rPr>
          <w:rFonts w:eastAsia="Times New Roman"/>
          <w:szCs w:val="24"/>
          <w:lang w:val="en-US"/>
        </w:rPr>
        <w:t>.</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F7021"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Pr>
          <w:rFonts w:eastAsia="Times New Roman"/>
          <w:szCs w:val="24"/>
          <w:lang w:val="en-US"/>
        </w:rPr>
        <w:t xml:space="preserve">Mc Alpin (2009). Pushing the statehood issue. </w:t>
      </w:r>
      <w:r w:rsidRPr="00BF7021">
        <w:rPr>
          <w:rFonts w:eastAsia="Times New Roman"/>
          <w:szCs w:val="24"/>
          <w:lang w:val="es-ES"/>
        </w:rPr>
        <w:t xml:space="preserve">Washington Times. Recuperado de </w:t>
      </w:r>
    </w:p>
    <w:p w:rsidR="00B015EE" w:rsidRPr="00BF7021"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BF7021">
        <w:rPr>
          <w:rFonts w:eastAsia="Times New Roman"/>
          <w:szCs w:val="24"/>
          <w:lang w:val="es-ES"/>
        </w:rPr>
        <w:t>https://www.proenglish.org/projects/puerto-rican-statehood.html?id=194:pushing-the-statehood-issue&amp;catid=48</w:t>
      </w:r>
    </w:p>
    <w:p w:rsidR="00B015EE" w:rsidRPr="00BF7021"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E0419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Mc Donald, L. (2014). “Could a Puerto Rico Default Hammer the $3.7 Trillion U.S. Muni Bond Market in 2014?”, </w:t>
      </w:r>
      <w:r w:rsidRPr="002D463C">
        <w:rPr>
          <w:rFonts w:eastAsia="Times New Roman"/>
          <w:i/>
          <w:szCs w:val="24"/>
          <w:lang w:val="en-US"/>
        </w:rPr>
        <w:t>Forbes</w:t>
      </w:r>
      <w:r w:rsidRPr="005B5FEE">
        <w:rPr>
          <w:rFonts w:eastAsia="Times New Roman"/>
          <w:szCs w:val="24"/>
          <w:lang w:val="en-US"/>
        </w:rPr>
        <w:t>.</w:t>
      </w:r>
      <w:r>
        <w:rPr>
          <w:rFonts w:eastAsia="Times New Roman"/>
          <w:szCs w:val="24"/>
          <w:lang w:val="en-US"/>
        </w:rPr>
        <w:t xml:space="preserve"> </w:t>
      </w:r>
      <w:r w:rsidRPr="002D463C">
        <w:rPr>
          <w:rFonts w:eastAsia="Times New Roman"/>
          <w:szCs w:val="24"/>
        </w:rPr>
        <w:t>R</w:t>
      </w:r>
      <w:r>
        <w:rPr>
          <w:rFonts w:eastAsia="Times New Roman"/>
          <w:szCs w:val="24"/>
        </w:rPr>
        <w:t xml:space="preserve">ecuperado de </w:t>
      </w:r>
      <w:hyperlink r:id="rId51" w:history="1">
        <w:r w:rsidRPr="00E0419C">
          <w:rPr>
            <w:rFonts w:eastAsia="Times New Roman"/>
            <w:szCs w:val="24"/>
          </w:rPr>
          <w:t>http://www.forbes.com/sites/larrymcdonald/2014/01/03/puerto-rico-default-to-re-price-the-3-7-trillion-municipal-bond-market-in-2014/6/</w:t>
        </w:r>
      </w:hyperlink>
    </w:p>
    <w:p w:rsidR="00B015EE" w:rsidRPr="006244A3"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Meléndez, E., Meléndez, E.  eds. (1993). </w:t>
      </w:r>
      <w:r w:rsidRPr="00437C6A">
        <w:rPr>
          <w:rFonts w:eastAsia="Times New Roman"/>
          <w:szCs w:val="24"/>
          <w:lang w:val="en-US"/>
        </w:rPr>
        <w:t>Colonial Dilemma: Critical</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437C6A">
        <w:rPr>
          <w:rFonts w:eastAsia="Times New Roman"/>
          <w:szCs w:val="24"/>
          <w:lang w:val="en-US"/>
        </w:rPr>
        <w:tab/>
        <w:t xml:space="preserve">Perspectives on Contemporary Puerto Rico. </w:t>
      </w:r>
      <w:r w:rsidRPr="005B5FEE">
        <w:rPr>
          <w:rFonts w:eastAsia="Times New Roman"/>
          <w:szCs w:val="24"/>
          <w:lang w:val="en-US"/>
        </w:rPr>
        <w:t>Boston, Massachusetts: South End</w:t>
      </w:r>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lang w:val="en-US"/>
        </w:rPr>
        <w:tab/>
      </w:r>
      <w:r w:rsidRPr="00437C6A">
        <w:rPr>
          <w:rFonts w:eastAsia="Times New Roman"/>
          <w:szCs w:val="24"/>
        </w:rPr>
        <w:t xml:space="preserve">Press. </w:t>
      </w:r>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Méndez, J.L. (1997). </w:t>
      </w:r>
      <w:r w:rsidRPr="00DE057F">
        <w:rPr>
          <w:rFonts w:eastAsia="Times New Roman"/>
          <w:i/>
          <w:szCs w:val="24"/>
        </w:rPr>
        <w:t>Entre el limbo y el consenso: El dilema de Puerto Rico para el próximo siglo</w:t>
      </w:r>
      <w:r>
        <w:rPr>
          <w:rFonts w:eastAsia="Times New Roman"/>
          <w:szCs w:val="24"/>
        </w:rPr>
        <w:t xml:space="preserve">. </w:t>
      </w:r>
      <w:r w:rsidRPr="00EC5C42">
        <w:rPr>
          <w:rFonts w:eastAsia="Times New Roman"/>
          <w:szCs w:val="24"/>
          <w:lang w:val="en-US"/>
        </w:rPr>
        <w:t>San Juan: Editorial Milenio.</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 xml:space="preserve">Miller, M. Michel, C, (2013). “Bloody Tide: How Puerto Rico Affects the U.S”. </w:t>
      </w:r>
      <w:r w:rsidRPr="00EC5C42">
        <w:rPr>
          <w:rFonts w:eastAsia="Times New Roman"/>
          <w:szCs w:val="24"/>
          <w:lang w:val="es-ES"/>
        </w:rPr>
        <w:t xml:space="preserve">Houston Press. </w:t>
      </w:r>
      <w:r w:rsidRPr="00BD682C">
        <w:rPr>
          <w:rFonts w:eastAsia="Times New Roman"/>
          <w:szCs w:val="24"/>
        </w:rPr>
        <w:t xml:space="preserve">Recuperado </w:t>
      </w:r>
      <w:r>
        <w:rPr>
          <w:rFonts w:eastAsia="Times New Roman"/>
          <w:szCs w:val="24"/>
        </w:rPr>
        <w:t xml:space="preserve">de </w:t>
      </w:r>
      <w:hyperlink r:id="rId52" w:history="1">
        <w:r w:rsidRPr="00DE057F">
          <w:rPr>
            <w:rFonts w:eastAsia="Times New Roman"/>
            <w:szCs w:val="24"/>
            <w:lang w:val="es-ES"/>
          </w:rPr>
          <w:t>http://www.houstonpress.com/2013-03-21/news/puerto-rico-blowback/</w:t>
        </w:r>
      </w:hyperlink>
      <w:r w:rsidRPr="00DE057F">
        <w:rPr>
          <w:rFonts w:eastAsia="Times New Roman"/>
          <w:szCs w:val="24"/>
          <w:lang w:val="es-ES"/>
        </w:rPr>
        <w:t xml:space="preserve">. </w:t>
      </w:r>
    </w:p>
    <w:p w:rsidR="00B015EE" w:rsidRPr="00DE05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Mires, F. (2007). Derechos humanos: democracia y autodeterminación. </w:t>
      </w:r>
      <w:r w:rsidRPr="00DE057F">
        <w:rPr>
          <w:rFonts w:eastAsia="Times New Roman"/>
          <w:i/>
          <w:szCs w:val="24"/>
        </w:rPr>
        <w:t>Revista del CESLA</w:t>
      </w:r>
      <w:r>
        <w:rPr>
          <w:rFonts w:eastAsia="Times New Roman"/>
          <w:szCs w:val="24"/>
        </w:rPr>
        <w:t>, 10, 11-23. Recuperado de</w:t>
      </w:r>
      <w:r w:rsidRPr="00BD682C">
        <w:rPr>
          <w:rFonts w:eastAsia="Times New Roman"/>
          <w:szCs w:val="24"/>
        </w:rPr>
        <w:t xml:space="preserve"> </w:t>
      </w:r>
      <w:hyperlink r:id="rId53" w:history="1">
        <w:r w:rsidRPr="00BD682C">
          <w:rPr>
            <w:rFonts w:eastAsia="Times New Roman"/>
            <w:szCs w:val="24"/>
          </w:rPr>
          <w:t>http://www.redalyc.org/src/inicio/ArtPdfRed.jsp?iCve=243316417001</w:t>
        </w:r>
      </w:hyperlink>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Montopoli, B. (2012</w:t>
      </w:r>
      <w:r>
        <w:rPr>
          <w:rFonts w:eastAsia="Times New Roman"/>
          <w:szCs w:val="24"/>
          <w:lang w:val="en-US"/>
        </w:rPr>
        <w:t>, diciembre 14</w:t>
      </w:r>
      <w:r w:rsidRPr="005B5FEE">
        <w:rPr>
          <w:rFonts w:eastAsia="Times New Roman"/>
          <w:szCs w:val="24"/>
          <w:lang w:val="en-US"/>
        </w:rPr>
        <w:t xml:space="preserve">). “Tea Party Supporters: Who They Are and What They Believe”. </w:t>
      </w:r>
      <w:r w:rsidRPr="00DE057F">
        <w:rPr>
          <w:rFonts w:eastAsia="Times New Roman"/>
          <w:i/>
          <w:szCs w:val="24"/>
        </w:rPr>
        <w:t>CBS</w:t>
      </w:r>
      <w:r>
        <w:rPr>
          <w:rFonts w:eastAsia="Times New Roman"/>
          <w:szCs w:val="24"/>
        </w:rPr>
        <w:t xml:space="preserve"> </w:t>
      </w:r>
      <w:r w:rsidRPr="00DE057F">
        <w:rPr>
          <w:rFonts w:eastAsia="Times New Roman"/>
          <w:i/>
          <w:szCs w:val="24"/>
        </w:rPr>
        <w:t>News.</w:t>
      </w:r>
      <w:r>
        <w:rPr>
          <w:rFonts w:eastAsia="Times New Roman"/>
          <w:szCs w:val="24"/>
        </w:rPr>
        <w:t xml:space="preserve"> Recuperado de</w:t>
      </w:r>
      <w:r w:rsidRPr="00BD682C">
        <w:rPr>
          <w:rFonts w:eastAsia="Times New Roman"/>
          <w:szCs w:val="24"/>
        </w:rPr>
        <w:t xml:space="preserve"> </w:t>
      </w:r>
      <w:hyperlink r:id="rId54" w:history="1">
        <w:r w:rsidRPr="00BD682C">
          <w:rPr>
            <w:rFonts w:eastAsia="Times New Roman"/>
            <w:szCs w:val="24"/>
          </w:rPr>
          <w:t>http://www.cbsnews.com/news/tea-party-supporters-who-they-are-and-what-they-believe/</w:t>
        </w:r>
      </w:hyperlink>
      <w:r w:rsidRPr="00BD682C">
        <w:rPr>
          <w:rFonts w:eastAsia="Times New Roman"/>
          <w:szCs w:val="24"/>
        </w:rPr>
        <w:t>.</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Moody’s Global Credit Research (2013).  Moody's places Puerto Rico general obligation and related bonds on review for downgrade December 11.</w:t>
      </w:r>
    </w:p>
    <w:p w:rsidR="00B015EE" w:rsidRPr="007F49FA"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Moynihan, D.P. , (1993). Pandaemonium: Ethnicity in International Politics, New York: Oxford Univ. </w:t>
      </w:r>
      <w:r w:rsidRPr="00BD682C">
        <w:rPr>
          <w:rFonts w:eastAsia="Times New Roman"/>
          <w:szCs w:val="24"/>
        </w:rPr>
        <w:t>Press.</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Nieves Falcón, L. (2009). </w:t>
      </w:r>
      <w:r w:rsidRPr="00DE057F">
        <w:rPr>
          <w:rFonts w:eastAsia="Times New Roman"/>
          <w:i/>
          <w:szCs w:val="24"/>
        </w:rPr>
        <w:t>Un siglo de represión política en Puerto Rico: 1898-1998.</w:t>
      </w:r>
      <w:r w:rsidRPr="00BD682C">
        <w:rPr>
          <w:rFonts w:eastAsia="Times New Roman"/>
          <w:szCs w:val="24"/>
        </w:rPr>
        <w:t xml:space="preserve"> </w:t>
      </w:r>
      <w:r w:rsidRPr="005B5FEE">
        <w:rPr>
          <w:rFonts w:eastAsia="Times New Roman"/>
          <w:szCs w:val="24"/>
          <w:lang w:val="en-US"/>
        </w:rPr>
        <w:t>San Juan: Ediciones Puerto.</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DE057F"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Nolan, K. (2013</w:t>
      </w:r>
      <w:r>
        <w:rPr>
          <w:rFonts w:eastAsia="Times New Roman"/>
          <w:szCs w:val="24"/>
          <w:lang w:val="en-US"/>
        </w:rPr>
        <w:t>, septiembre 20</w:t>
      </w:r>
      <w:r w:rsidRPr="005B5FEE">
        <w:rPr>
          <w:rFonts w:eastAsia="Times New Roman"/>
          <w:szCs w:val="24"/>
          <w:lang w:val="en-US"/>
        </w:rPr>
        <w:t xml:space="preserve">). “Brokers Bypass Puerto Rico's Debt, Big Firms in the U.S. Move to Shield Investors From Island's Bonds as Worries Build Over Finances. </w:t>
      </w:r>
      <w:r w:rsidRPr="00DE057F">
        <w:rPr>
          <w:rFonts w:eastAsia="Times New Roman"/>
          <w:i/>
          <w:szCs w:val="24"/>
          <w:lang w:val="en-US"/>
        </w:rPr>
        <w:t>Wall Street Journal</w:t>
      </w:r>
      <w:r w:rsidRPr="00DE057F">
        <w:rPr>
          <w:rFonts w:eastAsia="Times New Roman"/>
          <w:szCs w:val="24"/>
          <w:lang w:val="en-US"/>
        </w:rPr>
        <w:t>. Recuperado de http://online.wsj.com/news/articles/SB1000142412788732480770457908755005464562</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Obama, B. (2009</w:t>
      </w:r>
      <w:r>
        <w:rPr>
          <w:rFonts w:eastAsia="Times New Roman"/>
          <w:szCs w:val="24"/>
        </w:rPr>
        <w:t xml:space="preserve">).  Discurso Obama en Cairo, Recuperado de </w:t>
      </w:r>
      <w:hyperlink r:id="rId55" w:history="1">
        <w:r w:rsidRPr="00BD682C">
          <w:rPr>
            <w:rFonts w:eastAsia="Times New Roman"/>
            <w:szCs w:val="24"/>
          </w:rPr>
          <w:t>http://www.fundculturadepaz.org/spa/DOCUMENTOS/Conferencias/2009/Discurso_Obama_ElCairo_040609.pdf</w:t>
        </w:r>
      </w:hyperlink>
      <w:r w:rsidRPr="00BD682C">
        <w:rPr>
          <w:rFonts w:eastAsia="Times New Roman"/>
          <w:szCs w:val="24"/>
        </w:rPr>
        <w:t xml:space="preserve">.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7F49FA">
        <w:rPr>
          <w:rFonts w:eastAsia="Times New Roman"/>
          <w:szCs w:val="24"/>
          <w:lang w:val="en-US"/>
        </w:rPr>
        <w:t xml:space="preserve">Odishelidze, A. Laffer, A. (2004). </w:t>
      </w:r>
      <w:r w:rsidRPr="005B5FEE">
        <w:rPr>
          <w:rFonts w:eastAsia="Times New Roman"/>
          <w:szCs w:val="24"/>
          <w:lang w:val="en-US"/>
        </w:rPr>
        <w:t xml:space="preserve">Pay to the Order of Puerto Rico: The Cost of Dependence. </w:t>
      </w:r>
      <w:r w:rsidRPr="00E846B9">
        <w:rPr>
          <w:rFonts w:eastAsia="Times New Roman"/>
          <w:szCs w:val="24"/>
          <w:lang w:val="es-ES"/>
        </w:rPr>
        <w:t>Allegiance Press.</w:t>
      </w:r>
    </w:p>
    <w:p w:rsidR="00B015EE" w:rsidRPr="007F49FA"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Organización de Naciones Unidas (1948). Declaración Universal de  Derechos Humanos [Resolución 217 A(3)]</w:t>
      </w:r>
      <w:r>
        <w:rPr>
          <w:rFonts w:eastAsia="Times New Roman"/>
          <w:szCs w:val="24"/>
        </w:rPr>
        <w:t>. Francia, Paris. Recuperado de</w:t>
      </w:r>
      <w:r w:rsidRPr="00BD682C">
        <w:rPr>
          <w:rFonts w:eastAsia="Times New Roman"/>
          <w:szCs w:val="24"/>
        </w:rPr>
        <w:t xml:space="preserve"> http://www.un.org/es/documents/udhr</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Organización de Naciones Unidas (1960). Declaración sobre la concesión de la independencia a los países y pueblos coloniales, Aprobada por la resolución 1514 (XV) de la Asamblea General de las Naciones Unida</w:t>
      </w:r>
      <w:r>
        <w:rPr>
          <w:rFonts w:eastAsia="Times New Roman"/>
          <w:szCs w:val="24"/>
        </w:rPr>
        <w:t>s el 14 de diciembre de 1960. Recuperado de</w:t>
      </w:r>
      <w:r w:rsidRPr="00BD682C">
        <w:rPr>
          <w:rFonts w:eastAsia="Times New Roman"/>
          <w:szCs w:val="24"/>
        </w:rPr>
        <w:t xml:space="preserve"> </w:t>
      </w:r>
      <w:hyperlink r:id="rId56" w:history="1">
        <w:r w:rsidRPr="00BD682C">
          <w:rPr>
            <w:rFonts w:eastAsia="Times New Roman"/>
            <w:szCs w:val="24"/>
          </w:rPr>
          <w:t>http://www.un.org/es/decolonization/declaration.shtml</w:t>
        </w:r>
      </w:hyperlink>
      <w:r w:rsidRPr="00BD682C">
        <w:rPr>
          <w:rFonts w:eastAsia="Times New Roman"/>
          <w:szCs w:val="24"/>
        </w:rPr>
        <w:t xml:space="preserve">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DE05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A226D8">
        <w:rPr>
          <w:rFonts w:eastAsia="Times New Roman"/>
          <w:szCs w:val="24"/>
        </w:rPr>
        <w:t>Organización de Naciones Unidas.</w:t>
      </w:r>
      <w:r w:rsidRPr="00A226D8">
        <w:rPr>
          <w:rFonts w:eastAsia="Times New Roman"/>
          <w:i/>
          <w:szCs w:val="24"/>
        </w:rPr>
        <w:t>“Special Committee on decolonization Decolonization calls Calls on United States to expedite Expedite Puerto Rico’s self-determination process”.</w:t>
      </w:r>
      <w:r w:rsidRPr="00A226D8">
        <w:rPr>
          <w:rFonts w:eastAsia="Times New Roman"/>
          <w:szCs w:val="24"/>
        </w:rPr>
        <w:t xml:space="preserve"> </w:t>
      </w:r>
      <w:r w:rsidRPr="00DE057F">
        <w:rPr>
          <w:rFonts w:eastAsia="Times New Roman"/>
          <w:szCs w:val="24"/>
          <w:lang w:val="es-ES"/>
        </w:rPr>
        <w:t xml:space="preserve">Recuperado de http://www.un.org/News/Press/docs/2007/gacol3160.doc.htm. </w:t>
      </w:r>
    </w:p>
    <w:p w:rsidR="00B015EE" w:rsidRPr="00DE057F"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Organización de Naciones </w:t>
      </w:r>
      <w:r>
        <w:rPr>
          <w:rFonts w:eastAsia="Times New Roman"/>
          <w:szCs w:val="24"/>
        </w:rPr>
        <w:t xml:space="preserve">Unidas. </w:t>
      </w:r>
      <w:r w:rsidRPr="00DE057F">
        <w:rPr>
          <w:rFonts w:eastAsia="Times New Roman"/>
          <w:i/>
          <w:szCs w:val="24"/>
        </w:rPr>
        <w:t>“Resolución 748 de 1953”.</w:t>
      </w:r>
      <w:r>
        <w:rPr>
          <w:rFonts w:eastAsia="Times New Roman"/>
          <w:szCs w:val="24"/>
        </w:rPr>
        <w:t xml:space="preserve"> Recuperado de</w:t>
      </w:r>
      <w:r w:rsidRPr="00BD682C">
        <w:rPr>
          <w:rFonts w:eastAsia="Times New Roman"/>
          <w:szCs w:val="24"/>
        </w:rPr>
        <w:t xml:space="preserve"> </w:t>
      </w:r>
      <w:hyperlink r:id="rId57" w:history="1">
        <w:r w:rsidRPr="00BD682C">
          <w:rPr>
            <w:rFonts w:eastAsia="Times New Roman"/>
            <w:szCs w:val="24"/>
          </w:rPr>
          <w:t>http://daccess-ods.un.org/TMP/4771684.40818787.html</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 xml:space="preserve">Orstein, N. (2006) “The Broken Branch: How Congress Is Failing America and How to Get It </w:t>
      </w:r>
      <w:r>
        <w:rPr>
          <w:rFonts w:eastAsia="Times New Roman"/>
          <w:szCs w:val="24"/>
          <w:lang w:val="en-US"/>
        </w:rPr>
        <w:t xml:space="preserve">Back on Track”. </w:t>
      </w:r>
      <w:r w:rsidRPr="00EC5C42">
        <w:rPr>
          <w:rFonts w:eastAsia="Times New Roman"/>
          <w:szCs w:val="24"/>
          <w:lang w:val="es-ES"/>
        </w:rPr>
        <w:t>Recuperado de  http://www.brookings.edu/articles/2006/0627governance_mann.aspx</w:t>
      </w: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226D8">
        <w:rPr>
          <w:rFonts w:eastAsia="Times New Roman"/>
          <w:szCs w:val="24"/>
        </w:rPr>
        <w:t xml:space="preserve">Ortiz Santini, F. (2007).  </w:t>
      </w:r>
      <w:r w:rsidRPr="005B5FEE">
        <w:rPr>
          <w:rFonts w:eastAsia="Times New Roman"/>
          <w:szCs w:val="24"/>
          <w:lang w:val="en-US"/>
        </w:rPr>
        <w:t>“The national security council during the Carter administration and the liberation o</w:t>
      </w:r>
      <w:r>
        <w:rPr>
          <w:rFonts w:eastAsia="Times New Roman"/>
          <w:szCs w:val="24"/>
          <w:lang w:val="en-US"/>
        </w:rPr>
        <w:t xml:space="preserve">f the Puerto Rican nationalists”. </w:t>
      </w:r>
      <w:r w:rsidRPr="00E846B9">
        <w:rPr>
          <w:rFonts w:eastAsia="Times New Roman"/>
          <w:szCs w:val="24"/>
          <w:lang w:val="en-US"/>
        </w:rPr>
        <w:t xml:space="preserve">Recuperado de </w:t>
      </w:r>
      <w:hyperlink r:id="rId58" w:history="1">
        <w:r w:rsidRPr="00E846B9">
          <w:rPr>
            <w:rFonts w:eastAsia="Times New Roman"/>
            <w:szCs w:val="24"/>
            <w:lang w:val="en-US"/>
          </w:rPr>
          <w:t>http://redalyc.uaemex.mx/pdf/377/37719209.pdf</w:t>
        </w:r>
      </w:hyperlink>
      <w:r w:rsidRPr="00E846B9">
        <w:rPr>
          <w:rFonts w:eastAsia="Times New Roman"/>
          <w:szCs w:val="24"/>
          <w:lang w:val="en-US"/>
        </w:rPr>
        <w:t>.</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Otaño, J.A.</w:t>
      </w:r>
      <w:r w:rsidRPr="00C02259">
        <w:rPr>
          <w:rFonts w:eastAsia="Times New Roman"/>
          <w:szCs w:val="24"/>
          <w:lang w:val="en-US"/>
        </w:rPr>
        <w:t xml:space="preserve"> </w:t>
      </w:r>
      <w:r w:rsidRPr="005B5FEE">
        <w:rPr>
          <w:rFonts w:eastAsia="Times New Roman"/>
          <w:szCs w:val="24"/>
          <w:lang w:val="en-US"/>
        </w:rPr>
        <w:t>(2004) Note, Puerto Rico Pandemonium: The Commonwealth Constitution and the Compact-Colony Conundrum, 27 FORDHAM INT’L L.J. 1806, 1811 (contending that Puerto Rico is still a U.S. colony)</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P. del S. 719 (2013).</w:t>
      </w:r>
      <w:r>
        <w:rPr>
          <w:rFonts w:eastAsia="Times New Roman"/>
          <w:szCs w:val="24"/>
        </w:rPr>
        <w:t xml:space="preserve"> Recuperado de</w:t>
      </w:r>
      <w:r w:rsidRPr="00BD682C">
        <w:rPr>
          <w:rFonts w:eastAsia="Times New Roman"/>
          <w:szCs w:val="24"/>
        </w:rPr>
        <w:t xml:space="preserve"> </w:t>
      </w:r>
      <w:hyperlink r:id="rId59" w:history="1">
        <w:r w:rsidRPr="00BD682C">
          <w:rPr>
            <w:rFonts w:eastAsia="Times New Roman"/>
            <w:szCs w:val="24"/>
          </w:rPr>
          <w:t>http://www.oslpr.org</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Pacto Internacional de Derechos Civiles y </w:t>
      </w:r>
      <w:r>
        <w:rPr>
          <w:rFonts w:eastAsia="Times New Roman"/>
          <w:szCs w:val="24"/>
        </w:rPr>
        <w:t>Políticos. 1976. Recuperado de</w:t>
      </w:r>
      <w:r w:rsidRPr="00BD682C">
        <w:rPr>
          <w:rFonts w:eastAsia="Times New Roman"/>
          <w:szCs w:val="24"/>
        </w:rPr>
        <w:t xml:space="preserve"> </w:t>
      </w:r>
      <w:hyperlink r:id="rId60" w:history="1">
        <w:r w:rsidRPr="00BD682C">
          <w:rPr>
            <w:rFonts w:eastAsia="Times New Roman"/>
            <w:szCs w:val="24"/>
          </w:rPr>
          <w:t>http://www2.ohchr.org/spanish/law/ccpr.htm</w:t>
        </w:r>
      </w:hyperlink>
      <w:r w:rsidRPr="00BD682C">
        <w:rPr>
          <w:rFonts w:eastAsia="Times New Roman"/>
          <w:szCs w:val="24"/>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Pastor, R. (1984). “The international debate on Puerto Rico: the costs of being an agenda-taker”. International Organization, 38(3), 575-595.</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Pastor, R. A. (2009). The Status of Puerto Rico: Have We Reached a Turning Point?. </w:t>
      </w:r>
      <w:r w:rsidRPr="00C02259">
        <w:rPr>
          <w:rFonts w:eastAsia="Times New Roman"/>
          <w:i/>
          <w:szCs w:val="24"/>
          <w:lang w:val="es-ES"/>
        </w:rPr>
        <w:t>Livestream</w:t>
      </w:r>
      <w:r w:rsidRPr="00C02259">
        <w:rPr>
          <w:rFonts w:eastAsia="Times New Roman"/>
          <w:szCs w:val="24"/>
          <w:lang w:val="es-ES"/>
        </w:rPr>
        <w:t>.</w:t>
      </w:r>
      <w:r w:rsidRPr="00BD682C">
        <w:rPr>
          <w:rFonts w:eastAsia="Times New Roman"/>
          <w:szCs w:val="24"/>
        </w:rPr>
        <w:t>Recuperado de</w:t>
      </w:r>
      <w:r>
        <w:rPr>
          <w:rFonts w:eastAsia="Times New Roman"/>
          <w:szCs w:val="24"/>
        </w:rPr>
        <w:t xml:space="preserve"> </w:t>
      </w:r>
      <w:r w:rsidRPr="00BD682C">
        <w:rPr>
          <w:rFonts w:eastAsia="Times New Roman"/>
          <w:szCs w:val="24"/>
        </w:rPr>
        <w:t>http://www.livestream.com/unetv/video?clipId=pla_24f3e778-</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ab/>
      </w:r>
      <w:r w:rsidRPr="00BD682C">
        <w:rPr>
          <w:rFonts w:eastAsia="Times New Roman"/>
          <w:szCs w:val="24"/>
        </w:rPr>
        <w:t>60f2-480c-9274-a59854b37e52.</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226D8">
        <w:rPr>
          <w:rFonts w:eastAsia="Times New Roman"/>
          <w:szCs w:val="24"/>
        </w:rPr>
        <w:t xml:space="preserve">Pantojas García, E. (2013). </w:t>
      </w:r>
      <w:r w:rsidRPr="005B5FEE">
        <w:rPr>
          <w:rFonts w:eastAsia="Times New Roman"/>
          <w:szCs w:val="24"/>
          <w:lang w:val="en-US"/>
        </w:rPr>
        <w:t>The Puerto Rico Status Question: Can the Stalemate be Broken?</w:t>
      </w:r>
      <w:r>
        <w:rPr>
          <w:rFonts w:eastAsia="Times New Roman"/>
          <w:szCs w:val="24"/>
          <w:lang w:val="en-US"/>
        </w:rPr>
        <w:t>.</w:t>
      </w: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Pr>
          <w:rFonts w:eastAsia="Times New Roman"/>
          <w:szCs w:val="24"/>
          <w:lang w:val="en-US"/>
        </w:rPr>
        <w:tab/>
      </w:r>
      <w:r w:rsidRPr="00C02259">
        <w:rPr>
          <w:rFonts w:eastAsia="Times New Roman"/>
          <w:i/>
          <w:szCs w:val="24"/>
          <w:lang w:val="en-US"/>
        </w:rPr>
        <w:t xml:space="preserve"> Caribbean Journal of International Relations &amp; Diplomacy</w:t>
      </w:r>
      <w:r w:rsidRPr="005B5FEE">
        <w:rPr>
          <w:rFonts w:eastAsia="Times New Roman"/>
          <w:szCs w:val="24"/>
          <w:lang w:val="en-US"/>
        </w:rPr>
        <w:t xml:space="preserve">. </w:t>
      </w:r>
      <w:r w:rsidRPr="00EC5C42">
        <w:rPr>
          <w:rFonts w:eastAsia="Times New Roman"/>
          <w:szCs w:val="24"/>
          <w:lang w:val="es-ES"/>
        </w:rPr>
        <w:t>1 (2), 41-52.</w:t>
      </w: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Pérez Viera, E. &amp; García Passalacqua, J. M. (2000). </w:t>
      </w:r>
      <w:r w:rsidRPr="00C02259">
        <w:rPr>
          <w:rFonts w:eastAsia="Times New Roman"/>
          <w:i/>
          <w:szCs w:val="24"/>
        </w:rPr>
        <w:t>El juicio de la Historia: Contrainsurgencia y asesinato político en Puerto Rico</w:t>
      </w:r>
      <w:r w:rsidRPr="00BD682C">
        <w:rPr>
          <w:rFonts w:eastAsia="Times New Roman"/>
          <w:szCs w:val="24"/>
        </w:rPr>
        <w:t xml:space="preserve">. </w:t>
      </w:r>
      <w:r w:rsidRPr="005B5FEE">
        <w:rPr>
          <w:rFonts w:eastAsia="Times New Roman"/>
          <w:szCs w:val="24"/>
          <w:lang w:val="en-US"/>
        </w:rPr>
        <w:t>San Juan: First Book Publishing.</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Pew (2013</w:t>
      </w:r>
      <w:r>
        <w:rPr>
          <w:rFonts w:eastAsia="Times New Roman"/>
          <w:szCs w:val="24"/>
          <w:lang w:val="en-US"/>
        </w:rPr>
        <w:t>, septiembre 12</w:t>
      </w:r>
      <w:r w:rsidRPr="005B5FEE">
        <w:rPr>
          <w:rFonts w:eastAsia="Times New Roman"/>
          <w:szCs w:val="24"/>
          <w:lang w:val="en-US"/>
        </w:rPr>
        <w:t>). “Do</w:t>
      </w:r>
      <w:r>
        <w:rPr>
          <w:rFonts w:eastAsia="Times New Roman"/>
          <w:szCs w:val="24"/>
          <w:lang w:val="en-US"/>
        </w:rPr>
        <w:t>ubts About US Economy Persist”</w:t>
      </w:r>
      <w:r w:rsidRPr="00C02259">
        <w:rPr>
          <w:rFonts w:eastAsia="Times New Roman"/>
          <w:szCs w:val="24"/>
          <w:lang w:val="en-US"/>
        </w:rPr>
        <w:t>.</w:t>
      </w:r>
      <w:r>
        <w:rPr>
          <w:rFonts w:eastAsia="Times New Roman"/>
          <w:szCs w:val="24"/>
          <w:lang w:val="en-US"/>
        </w:rPr>
        <w:t xml:space="preserve"> </w:t>
      </w:r>
      <w:r w:rsidRPr="00C02259">
        <w:rPr>
          <w:rFonts w:eastAsia="Times New Roman"/>
          <w:i/>
          <w:szCs w:val="24"/>
          <w:lang w:val="es-ES"/>
        </w:rPr>
        <w:t>The Pew Charitable Trust</w:t>
      </w:r>
      <w:r w:rsidRPr="00C02259">
        <w:rPr>
          <w:rFonts w:eastAsia="Times New Roman"/>
          <w:szCs w:val="24"/>
          <w:lang w:val="es-ES"/>
        </w:rPr>
        <w:t>.</w:t>
      </w:r>
      <w:r>
        <w:rPr>
          <w:rFonts w:eastAsia="Times New Roman"/>
          <w:szCs w:val="24"/>
          <w:lang w:val="es-ES"/>
        </w:rPr>
        <w:t xml:space="preserve"> Recuperado de </w:t>
      </w:r>
      <w:hyperlink r:id="rId61" w:history="1">
        <w:r w:rsidRPr="00BD682C">
          <w:rPr>
            <w:rFonts w:eastAsia="Times New Roman"/>
            <w:szCs w:val="24"/>
          </w:rPr>
          <w:t>http://www.pewtrusts.org/our_work_report_detail.aspx?id=85899504616&amp;category=296</w:t>
        </w:r>
      </w:hyperlink>
      <w:r w:rsidRPr="00BD682C">
        <w:rPr>
          <w:rFonts w:eastAsia="Times New Roman"/>
          <w:szCs w:val="24"/>
        </w:rPr>
        <w:t xml:space="preserve">.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Ponencia ante el Comité de Descolonización de la ONU</w:t>
      </w:r>
      <w:r>
        <w:rPr>
          <w:rFonts w:eastAsia="Times New Roman"/>
          <w:szCs w:val="24"/>
        </w:rPr>
        <w:t xml:space="preserve">. Recuperado de </w:t>
      </w:r>
      <w:hyperlink r:id="rId62" w:history="1">
        <w:r w:rsidRPr="00BD682C">
          <w:rPr>
            <w:rFonts w:eastAsia="Times New Roman"/>
            <w:szCs w:val="24"/>
          </w:rPr>
          <w:t>http://copronu.blogspot.com/2009/06/ponencia-ante-el-comite-especial-de.html</w:t>
        </w:r>
      </w:hyperlink>
      <w:r w:rsidRPr="00BD682C">
        <w:rPr>
          <w:rFonts w:eastAsia="Times New Roman"/>
          <w:szCs w:val="24"/>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Proyecto del Se</w:t>
      </w:r>
      <w:r>
        <w:rPr>
          <w:rFonts w:eastAsia="Times New Roman"/>
          <w:szCs w:val="24"/>
        </w:rPr>
        <w:t>nado de Estados Unidos. Recuperado de</w:t>
      </w:r>
      <w:r w:rsidRPr="00BD682C">
        <w:rPr>
          <w:rFonts w:eastAsia="Times New Roman"/>
          <w:szCs w:val="24"/>
        </w:rPr>
        <w:t xml:space="preserve"> http://thomas.loc.gov/cgi-bin/bdquery/D?d109:2:./temp/~bssuegV::</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C0225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BD682C">
        <w:rPr>
          <w:rFonts w:eastAsia="Times New Roman"/>
          <w:szCs w:val="24"/>
        </w:rPr>
        <w:t>Pozzi, S. (2014</w:t>
      </w:r>
      <w:r>
        <w:rPr>
          <w:rFonts w:eastAsia="Times New Roman"/>
          <w:szCs w:val="24"/>
        </w:rPr>
        <w:t>, febrero 4</w:t>
      </w:r>
      <w:r w:rsidRPr="00BD682C">
        <w:rPr>
          <w:rFonts w:eastAsia="Times New Roman"/>
          <w:szCs w:val="24"/>
        </w:rPr>
        <w:t xml:space="preserve">). “Standard &amp; Poor’s recorta la deuda de Puerto Rico a bono basura”. </w:t>
      </w:r>
      <w:r w:rsidRPr="00C02259">
        <w:rPr>
          <w:rFonts w:eastAsia="Times New Roman"/>
          <w:i/>
          <w:szCs w:val="24"/>
          <w:lang w:val="es-ES"/>
        </w:rPr>
        <w:t>El País</w:t>
      </w:r>
      <w:r>
        <w:rPr>
          <w:rFonts w:eastAsia="Times New Roman"/>
          <w:szCs w:val="24"/>
          <w:lang w:val="es-ES"/>
        </w:rPr>
        <w:t xml:space="preserve">. Recuperado de </w:t>
      </w:r>
      <w:r w:rsidRPr="00C02259">
        <w:rPr>
          <w:rFonts w:eastAsia="Times New Roman"/>
          <w:szCs w:val="24"/>
          <w:lang w:val="es-ES"/>
        </w:rPr>
        <w:t>http://internacional.elpais.com/internacional/2014/02/04/actualidad/1391552012_480632.htm</w:t>
      </w:r>
    </w:p>
    <w:p w:rsidR="00B015EE" w:rsidRPr="00C0225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C02259"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President’s Task Force On Puerto Rico’s Status (2007). Report by The President’s Tas</w:t>
      </w:r>
      <w:r>
        <w:rPr>
          <w:rFonts w:eastAsia="Times New Roman"/>
          <w:szCs w:val="24"/>
          <w:lang w:val="en-US"/>
        </w:rPr>
        <w:t xml:space="preserve">k Force On Puerto Rico’s Status. </w:t>
      </w:r>
      <w:r w:rsidRPr="00C02259">
        <w:rPr>
          <w:rFonts w:eastAsia="Times New Roman"/>
          <w:szCs w:val="24"/>
          <w:lang w:val="es-ES"/>
        </w:rPr>
        <w:t xml:space="preserve">Recuperado de  </w:t>
      </w:r>
      <w:hyperlink r:id="rId63" w:history="1">
        <w:r w:rsidRPr="00C02259">
          <w:rPr>
            <w:rFonts w:eastAsia="Times New Roman"/>
            <w:szCs w:val="24"/>
          </w:rPr>
          <w:t>http://www.justice.gov/opa/documents/2007-report-by-the-president-task-force-on-puerto-rico-status.pdf</w:t>
        </w:r>
      </w:hyperlink>
    </w:p>
    <w:p w:rsidR="00B015EE" w:rsidRPr="00C02259"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President’s Tas</w:t>
      </w:r>
      <w:r>
        <w:rPr>
          <w:rFonts w:eastAsia="Times New Roman"/>
          <w:szCs w:val="24"/>
          <w:lang w:val="en-US"/>
        </w:rPr>
        <w:t>k Force On Puerto Rico’s Status</w:t>
      </w:r>
      <w:r w:rsidRPr="005B5FEE">
        <w:rPr>
          <w:rFonts w:eastAsia="Times New Roman"/>
          <w:szCs w:val="24"/>
          <w:lang w:val="en-US"/>
        </w:rPr>
        <w:t xml:space="preserve"> (2011), </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140D0"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140D0">
        <w:rPr>
          <w:rFonts w:eastAsia="Times New Roman"/>
          <w:szCs w:val="24"/>
        </w:rPr>
        <w:t>Puerto Rico Federal Affairs Administration (1992). Proceso plebiscitario: 1989-1991 Political</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E846B9">
        <w:rPr>
          <w:rFonts w:eastAsia="Times New Roman"/>
          <w:szCs w:val="24"/>
          <w:lang w:val="en-US"/>
        </w:rPr>
        <w:t xml:space="preserve">status referendum, 1989-1991. v. 1-3. Washington: Puerto Rico Federal Affairs Administration; Hato Rey, P.R.: Ramallo Bros. 3 v. </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Puerto Rico Self-Determination Act of 2006 (Introduced in Senate - IS)</w:t>
      </w:r>
      <w:r>
        <w:rPr>
          <w:rFonts w:eastAsia="Times New Roman"/>
          <w:szCs w:val="24"/>
          <w:lang w:val="en-US"/>
        </w:rPr>
        <w:t>.</w:t>
      </w:r>
      <w:r w:rsidRPr="005B5FEE">
        <w:rPr>
          <w:rFonts w:eastAsia="Times New Roman"/>
          <w:szCs w:val="24"/>
          <w:lang w:val="en-US"/>
        </w:rPr>
        <w:t xml:space="preserve"> </w:t>
      </w:r>
      <w:r w:rsidRPr="00444858">
        <w:rPr>
          <w:rFonts w:eastAsia="Times New Roman"/>
          <w:szCs w:val="24"/>
          <w:lang w:val="es-ES"/>
        </w:rPr>
        <w:t xml:space="preserve">Recuperado de </w:t>
      </w:r>
      <w:hyperlink r:id="rId64" w:history="1">
        <w:r w:rsidRPr="00444858">
          <w:rPr>
            <w:rFonts w:eastAsia="Times New Roman"/>
            <w:szCs w:val="24"/>
            <w:lang w:val="es-ES"/>
          </w:rPr>
          <w:t>http://thomas.loc.gov/cgi-bin/query/z?c109:S.2304.IS</w:t>
        </w:r>
      </w:hyperlink>
      <w:r w:rsidRPr="00444858">
        <w:rPr>
          <w:rFonts w:eastAsia="Times New Roman"/>
          <w:szCs w:val="24"/>
          <w:lang w:val="es-ES"/>
        </w:rPr>
        <w:t>:</w:t>
      </w:r>
    </w:p>
    <w:p w:rsidR="00B015EE" w:rsidRPr="007F49FA"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Ramírez de Ferre</w:t>
      </w:r>
      <w:r>
        <w:rPr>
          <w:rFonts w:eastAsia="Times New Roman"/>
          <w:szCs w:val="24"/>
        </w:rPr>
        <w:t>r v. Mari Bras, CT-96-14 (19</w:t>
      </w:r>
      <w:r w:rsidRPr="00BD682C">
        <w:rPr>
          <w:rFonts w:eastAsia="Times New Roman"/>
          <w:szCs w:val="24"/>
        </w:rPr>
        <w:t>97</w:t>
      </w:r>
      <w:r>
        <w:rPr>
          <w:rFonts w:eastAsia="Times New Roman"/>
          <w:szCs w:val="24"/>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Ramos, C. (2010). “La inviolabilidad de la dignidad humana: lo indigno de la búsqueda de expectativas razonables de intimidad en el derecho</w:t>
      </w:r>
      <w:r>
        <w:rPr>
          <w:rFonts w:eastAsia="Times New Roman"/>
          <w:szCs w:val="24"/>
        </w:rPr>
        <w:t xml:space="preserve"> constitucional puertorriqueño”.</w:t>
      </w:r>
      <w:r w:rsidRPr="00BD682C">
        <w:rPr>
          <w:rFonts w:eastAsia="Times New Roman"/>
          <w:szCs w:val="24"/>
        </w:rPr>
        <w:t xml:space="preserve"> </w:t>
      </w:r>
      <w:r w:rsidRPr="00C02259">
        <w:rPr>
          <w:rFonts w:eastAsia="Times New Roman"/>
          <w:i/>
          <w:szCs w:val="24"/>
        </w:rPr>
        <w:t>Revista Jurídica de la Universidad Interamericana</w:t>
      </w:r>
      <w:r>
        <w:rPr>
          <w:rFonts w:eastAsia="Times New Roman"/>
          <w:szCs w:val="24"/>
        </w:rPr>
        <w:t>,  XLV (2) 2010-2011</w:t>
      </w:r>
      <w:r w:rsidRPr="00BD682C">
        <w:rPr>
          <w:rFonts w:eastAsia="Times New Roman"/>
          <w:szCs w:val="24"/>
        </w:rPr>
        <w:t>.</w:t>
      </w:r>
    </w:p>
    <w:p w:rsidR="00B015EE" w:rsidRPr="007F49FA"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ab/>
      </w:r>
    </w:p>
    <w:p w:rsidR="00B015EE" w:rsidRPr="00E846B9" w:rsidRDefault="00B015EE" w:rsidP="007538AA">
      <w:pPr>
        <w:widowControl w:val="0"/>
        <w:tabs>
          <w:tab w:val="left" w:pos="630"/>
        </w:tabs>
        <w:autoSpaceDE w:val="0"/>
        <w:autoSpaceDN w:val="0"/>
        <w:spacing w:line="240" w:lineRule="auto"/>
        <w:ind w:left="720" w:hanging="720"/>
        <w:jc w:val="left"/>
        <w:rPr>
          <w:lang w:val="en-US"/>
        </w:rPr>
      </w:pPr>
      <w:r w:rsidRPr="00A226D8">
        <w:rPr>
          <w:rFonts w:eastAsia="Times New Roman"/>
          <w:szCs w:val="24"/>
        </w:rPr>
        <w:t xml:space="preserve">Reilly, M. (2013, octubre 9). </w:t>
      </w:r>
      <w:r w:rsidRPr="005B5FEE">
        <w:rPr>
          <w:rFonts w:eastAsia="Times New Roman"/>
          <w:szCs w:val="24"/>
          <w:lang w:val="en-US"/>
        </w:rPr>
        <w:t xml:space="preserve">“Congress Approval Rating Drops To Dismal 5 Percent In Poll”.  </w:t>
      </w:r>
      <w:r w:rsidRPr="00C02259">
        <w:rPr>
          <w:rFonts w:eastAsia="Times New Roman"/>
          <w:i/>
          <w:szCs w:val="24"/>
          <w:lang w:val="en-US"/>
        </w:rPr>
        <w:t>The Huffington Post</w:t>
      </w:r>
      <w:r>
        <w:rPr>
          <w:rFonts w:eastAsia="Times New Roman"/>
          <w:szCs w:val="24"/>
          <w:lang w:val="en-US"/>
        </w:rPr>
        <w:t xml:space="preserve">. Recuperado de </w:t>
      </w:r>
      <w:r w:rsidRPr="005B5FEE">
        <w:rPr>
          <w:rFonts w:eastAsia="Times New Roman"/>
          <w:szCs w:val="24"/>
          <w:lang w:val="en-US"/>
        </w:rPr>
        <w:t xml:space="preserve"> </w:t>
      </w:r>
      <w:hyperlink r:id="rId65" w:history="1">
        <w:r w:rsidRPr="005B5FEE">
          <w:rPr>
            <w:rFonts w:eastAsia="Times New Roman"/>
            <w:szCs w:val="24"/>
            <w:lang w:val="en-US"/>
          </w:rPr>
          <w:t>http://www.huffingtonpost.com/2013/10/09/congress-approval-rating_n_4069899.html</w:t>
        </w:r>
      </w:hyperlink>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C0225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7F49FA">
        <w:rPr>
          <w:rFonts w:eastAsia="Times New Roman"/>
          <w:szCs w:val="24"/>
          <w:lang w:val="en-US"/>
        </w:rPr>
        <w:t xml:space="preserve">Reverón Collazo, W. (2009).Report by the President’s Task Force on Puerto Rico’s status. </w:t>
      </w:r>
      <w:r w:rsidRPr="00C02259">
        <w:rPr>
          <w:rFonts w:eastAsia="Times New Roman"/>
          <w:szCs w:val="24"/>
          <w:lang w:val="es-ES"/>
        </w:rPr>
        <w:t>Recuperado de</w:t>
      </w:r>
      <w:r>
        <w:rPr>
          <w:rFonts w:eastAsia="Times New Roman"/>
          <w:szCs w:val="24"/>
          <w:lang w:val="es-ES"/>
        </w:rPr>
        <w:t xml:space="preserve"> </w:t>
      </w:r>
      <w:r w:rsidRPr="00C02259">
        <w:rPr>
          <w:rFonts w:eastAsia="Times New Roman"/>
          <w:szCs w:val="24"/>
          <w:lang w:val="es-ES"/>
        </w:rPr>
        <w:t>http://www.whitehouse.gov/sites/default/files/uploads/Puerto_Rico_Task_Force_Report.pdf .</w:t>
      </w:r>
    </w:p>
    <w:p w:rsidR="00B015EE" w:rsidRPr="00C0225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C02259">
        <w:rPr>
          <w:rFonts w:eastAsia="Times New Roman"/>
          <w:szCs w:val="24"/>
          <w:lang w:val="en-US"/>
        </w:rPr>
        <w:t xml:space="preserve">Rezvani, D.A. (2007). </w:t>
      </w:r>
      <w:r w:rsidRPr="005B5FEE">
        <w:rPr>
          <w:rFonts w:eastAsia="Times New Roman"/>
          <w:szCs w:val="24"/>
          <w:lang w:val="en-US"/>
        </w:rPr>
        <w:t>“The basis of Puerto Rico</w:t>
      </w:r>
      <w:r>
        <w:rPr>
          <w:rFonts w:eastAsia="Times New Roman"/>
          <w:szCs w:val="24"/>
          <w:lang w:val="en-US"/>
        </w:rPr>
        <w:t>’s constitutional status. Colony, compact or “federacy”.</w:t>
      </w:r>
      <w:r w:rsidRPr="005B5FEE">
        <w:rPr>
          <w:rFonts w:eastAsia="Times New Roman"/>
          <w:szCs w:val="24"/>
          <w:lang w:val="en-US"/>
        </w:rPr>
        <w:t xml:space="preserve"> </w:t>
      </w:r>
      <w:r w:rsidRPr="00C02259">
        <w:rPr>
          <w:rFonts w:eastAsia="Times New Roman"/>
          <w:i/>
          <w:szCs w:val="24"/>
          <w:lang w:val="en-US"/>
        </w:rPr>
        <w:t>Political Science Quarterly</w:t>
      </w:r>
      <w:r>
        <w:rPr>
          <w:rFonts w:eastAsia="Times New Roman"/>
          <w:szCs w:val="24"/>
          <w:lang w:val="en-US"/>
        </w:rPr>
        <w:t>,122 (</w:t>
      </w:r>
      <w:r w:rsidRPr="005B5FEE">
        <w:rPr>
          <w:rFonts w:eastAsia="Times New Roman"/>
          <w:szCs w:val="24"/>
          <w:lang w:val="en-US"/>
        </w:rPr>
        <w:t>1</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 xml:space="preserve">Ritchie, D.  (2010), The US Congress, A very short introduction, Oxford University Press, 2010. </w:t>
      </w: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Pr>
          <w:rFonts w:eastAsia="Times New Roman"/>
          <w:szCs w:val="24"/>
          <w:lang w:val="en-US"/>
        </w:rPr>
        <w:tab/>
      </w:r>
      <w:r w:rsidRPr="00EC5C42">
        <w:rPr>
          <w:rFonts w:eastAsia="Times New Roman"/>
          <w:szCs w:val="24"/>
          <w:lang w:val="en-US"/>
        </w:rPr>
        <w:t>Woll, P.(1985) Congress, Little Brown.</w:t>
      </w:r>
    </w:p>
    <w:p w:rsidR="00B015EE" w:rsidRPr="00E846B9" w:rsidRDefault="00B015EE" w:rsidP="007538AA">
      <w:pPr>
        <w:widowControl w:val="0"/>
        <w:tabs>
          <w:tab w:val="left" w:pos="630"/>
          <w:tab w:val="left" w:pos="1215"/>
        </w:tabs>
        <w:autoSpaceDE w:val="0"/>
        <w:autoSpaceDN w:val="0"/>
        <w:spacing w:line="240" w:lineRule="auto"/>
        <w:ind w:left="720" w:hanging="720"/>
        <w:jc w:val="left"/>
        <w:rPr>
          <w:rFonts w:eastAsia="Times New Roman"/>
          <w:szCs w:val="24"/>
          <w:lang w:val="en-US"/>
        </w:rPr>
      </w:pPr>
      <w:r>
        <w:rPr>
          <w:rFonts w:eastAsia="Times New Roman"/>
          <w:szCs w:val="24"/>
          <w:lang w:val="en-US"/>
        </w:rPr>
        <w:tab/>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140D0">
        <w:rPr>
          <w:rFonts w:eastAsia="Times New Roman"/>
          <w:szCs w:val="24"/>
        </w:rPr>
        <w:t>Rivera Ortiz, A.I. (2007). Puerto Rico ante los retos del siglo XXI: cambio económico, cultural y político en los inicios del nuevo siglo. Rio Pedras: Ediciones nueva Aurora.</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Rivera Ortiz, A.I. (1996) </w:t>
      </w:r>
      <w:r w:rsidRPr="00DF7CAC">
        <w:rPr>
          <w:rFonts w:eastAsia="Times New Roman"/>
          <w:i/>
          <w:szCs w:val="24"/>
        </w:rPr>
        <w:t>Puerto Rico: Ficción y mitología en sus alternativa de status político</w:t>
      </w:r>
      <w:r>
        <w:rPr>
          <w:rFonts w:eastAsia="Times New Roman"/>
          <w:szCs w:val="24"/>
        </w:rPr>
        <w:t>. San Juan: Editorial Nueva Aurora</w:t>
      </w:r>
      <w:r w:rsidRPr="00BD682C">
        <w:rPr>
          <w:rFonts w:eastAsia="Times New Roman"/>
          <w:szCs w:val="24"/>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Rivera Pagán, L.</w:t>
      </w:r>
      <w:r w:rsidRPr="00DF7CAC">
        <w:rPr>
          <w:rFonts w:eastAsia="Times New Roman"/>
          <w:szCs w:val="24"/>
        </w:rPr>
        <w:t xml:space="preserve"> </w:t>
      </w:r>
      <w:r w:rsidRPr="00BD682C">
        <w:rPr>
          <w:rFonts w:eastAsia="Times New Roman"/>
          <w:szCs w:val="24"/>
        </w:rPr>
        <w:t>(2012). “Fundamentalismo religi</w:t>
      </w:r>
      <w:r>
        <w:rPr>
          <w:rFonts w:eastAsia="Times New Roman"/>
          <w:szCs w:val="24"/>
        </w:rPr>
        <w:t>oso, intolerancia y homofobia.</w:t>
      </w:r>
      <w:r w:rsidRPr="00BD682C">
        <w:rPr>
          <w:rFonts w:eastAsia="Times New Roman"/>
          <w:szCs w:val="24"/>
        </w:rPr>
        <w:t xml:space="preserve"> Puerto Rico y los derechos humanos: una intersección plural</w:t>
      </w:r>
      <w:r>
        <w:rPr>
          <w:rFonts w:eastAsia="Times New Roman"/>
          <w:szCs w:val="24"/>
        </w:rPr>
        <w:t>”.</w:t>
      </w:r>
      <w:r w:rsidRPr="00BD682C">
        <w:rPr>
          <w:rFonts w:eastAsia="Times New Roman"/>
          <w:szCs w:val="24"/>
        </w:rPr>
        <w:t xml:space="preserve"> San Juan: Callejón.</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EC5C42">
        <w:rPr>
          <w:rFonts w:eastAsia="Times New Roman"/>
          <w:szCs w:val="24"/>
          <w:lang w:val="en-US"/>
        </w:rPr>
        <w:t>Rivera Ramos, E. (2007). American Colonialism in Puerto Rico: The judicial and social legacy. Princeton, New Jersey: Markus We</w:t>
      </w:r>
      <w:r w:rsidRPr="005B5FEE">
        <w:rPr>
          <w:rFonts w:eastAsia="Times New Roman"/>
          <w:szCs w:val="24"/>
          <w:lang w:val="en-US"/>
        </w:rPr>
        <w:t>iner Publishers.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341EC2" w:rsidRDefault="00B015EE" w:rsidP="007538AA">
      <w:pPr>
        <w:widowControl w:val="0"/>
        <w:tabs>
          <w:tab w:val="left" w:pos="630"/>
        </w:tabs>
        <w:autoSpaceDE w:val="0"/>
        <w:autoSpaceDN w:val="0"/>
        <w:spacing w:line="240" w:lineRule="auto"/>
        <w:ind w:left="720" w:hanging="720"/>
        <w:jc w:val="left"/>
        <w:rPr>
          <w:rFonts w:eastAsia="Times New Roman"/>
          <w:i/>
          <w:szCs w:val="24"/>
        </w:rPr>
      </w:pPr>
      <w:r>
        <w:rPr>
          <w:rFonts w:eastAsia="Times New Roman"/>
          <w:szCs w:val="24"/>
        </w:rPr>
        <w:t>Rodrí</w:t>
      </w:r>
      <w:r w:rsidRPr="00BD682C">
        <w:rPr>
          <w:rFonts w:eastAsia="Times New Roman"/>
          <w:szCs w:val="24"/>
        </w:rPr>
        <w:t xml:space="preserve">guez Beruff, J., Bolívar Fresneda, J. (2012). </w:t>
      </w:r>
      <w:r w:rsidRPr="00DF7CAC">
        <w:rPr>
          <w:rFonts w:eastAsia="Times New Roman"/>
          <w:i/>
          <w:szCs w:val="24"/>
        </w:rPr>
        <w:t>Puerto Rico en la Segunda Guerra Mundial:</w:t>
      </w:r>
      <w:r>
        <w:rPr>
          <w:rFonts w:eastAsia="Times New Roman"/>
          <w:i/>
          <w:szCs w:val="24"/>
        </w:rPr>
        <w:t xml:space="preserve"> </w:t>
      </w:r>
      <w:r w:rsidRPr="00DF7CAC">
        <w:rPr>
          <w:rFonts w:eastAsia="Times New Roman"/>
          <w:i/>
          <w:szCs w:val="24"/>
        </w:rPr>
        <w:t>Baluarte del Caribe</w:t>
      </w:r>
      <w:r>
        <w:rPr>
          <w:rFonts w:eastAsia="Times New Roman"/>
          <w:szCs w:val="24"/>
        </w:rPr>
        <w:t>. San Juan:</w:t>
      </w:r>
      <w:r w:rsidRPr="00BD682C">
        <w:rPr>
          <w:rFonts w:eastAsia="Times New Roman"/>
          <w:szCs w:val="24"/>
        </w:rPr>
        <w:t xml:space="preserve"> Ediciones Callejón.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Rodríguez Beruff, J. (2012) </w:t>
      </w:r>
      <w:r w:rsidRPr="00DF7CAC">
        <w:rPr>
          <w:rFonts w:eastAsia="Times New Roman"/>
          <w:i/>
          <w:szCs w:val="24"/>
        </w:rPr>
        <w:t>“De</w:t>
      </w:r>
      <w:r>
        <w:rPr>
          <w:rFonts w:eastAsia="Times New Roman"/>
          <w:i/>
          <w:szCs w:val="24"/>
        </w:rPr>
        <w:t xml:space="preserve"> </w:t>
      </w:r>
      <w:r w:rsidRPr="00DF7CAC">
        <w:rPr>
          <w:rFonts w:eastAsia="Times New Roman"/>
          <w:i/>
          <w:szCs w:val="24"/>
        </w:rPr>
        <w:t>Winship a Leahy: crisis, guerra y transición en Puerto Rico”, Puerto Rico en la Segunda Guerra Mundial”.</w:t>
      </w:r>
      <w:r>
        <w:rPr>
          <w:rFonts w:eastAsia="Times New Roman"/>
          <w:szCs w:val="24"/>
        </w:rPr>
        <w:t xml:space="preserve"> San Juan:</w:t>
      </w:r>
      <w:r w:rsidRPr="00BD682C">
        <w:rPr>
          <w:rFonts w:eastAsia="Times New Roman"/>
          <w:szCs w:val="24"/>
        </w:rPr>
        <w:t xml:space="preserve"> Ediciones Callejón.</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Rodríguez Beruff, J. (2012). </w:t>
      </w:r>
      <w:r w:rsidRPr="00DF7CAC">
        <w:rPr>
          <w:rFonts w:eastAsia="Times New Roman"/>
          <w:i/>
          <w:szCs w:val="24"/>
        </w:rPr>
        <w:t xml:space="preserve">“La Pugna entre dos grandes sistemas: la guerra en el discurso político de Luis Muñoz Marín hasta Pearl Harbor”,  Puerto Rico en la Segunda Guerra Mundial”. </w:t>
      </w:r>
      <w:r>
        <w:rPr>
          <w:rFonts w:eastAsia="Times New Roman"/>
          <w:szCs w:val="24"/>
        </w:rPr>
        <w:t>San Juan:</w:t>
      </w:r>
      <w:r w:rsidRPr="00BD682C">
        <w:rPr>
          <w:rFonts w:eastAsia="Times New Roman"/>
          <w:szCs w:val="24"/>
        </w:rPr>
        <w:t xml:space="preserve"> Ediciones Callejón.</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Rodríguez-Burns, F. (2011, marzo 17). El juez federal Gustavo Gelpí ofrece conferencia sobre los territorios de Estados Unid</w:t>
      </w:r>
      <w:r>
        <w:rPr>
          <w:rFonts w:eastAsia="Times New Roman"/>
          <w:szCs w:val="24"/>
        </w:rPr>
        <w:t xml:space="preserve">os. </w:t>
      </w:r>
      <w:r w:rsidRPr="00DF7CAC">
        <w:rPr>
          <w:rFonts w:eastAsia="Times New Roman"/>
          <w:i/>
          <w:szCs w:val="24"/>
        </w:rPr>
        <w:t>Primera Hora</w:t>
      </w:r>
      <w:r>
        <w:rPr>
          <w:rFonts w:eastAsia="Times New Roman"/>
          <w:szCs w:val="24"/>
        </w:rPr>
        <w:t>. Recuperado de</w:t>
      </w:r>
      <w:r w:rsidRPr="00BD682C">
        <w:rPr>
          <w:rFonts w:eastAsia="Times New Roman"/>
          <w:szCs w:val="24"/>
        </w:rPr>
        <w:t xml:space="preserve"> </w:t>
      </w:r>
      <w:hyperlink r:id="rId66" w:history="1">
        <w:r w:rsidRPr="00BD682C">
          <w:rPr>
            <w:rFonts w:eastAsia="Times New Roman"/>
            <w:szCs w:val="24"/>
          </w:rPr>
          <w:t>http://www.primerahora.com/juezfederalgustavogelpiofrececonferenciasobrelosterritoriosdeestadosunidos-484265.html</w:t>
        </w:r>
      </w:hyperlink>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Rodríguez Cancel,</w:t>
      </w:r>
      <w:r w:rsidRPr="00BD682C">
        <w:rPr>
          <w:rFonts w:eastAsia="Times New Roman"/>
          <w:szCs w:val="24"/>
        </w:rPr>
        <w:t xml:space="preserve"> García Passalacqua (2008).  Futuros Alternos: La política pública estadounidense sobre Puerto Rico bajo la administración del Presidente James Earl Carter (1976-1980). </w:t>
      </w:r>
      <w:r>
        <w:rPr>
          <w:rFonts w:eastAsia="Times New Roman"/>
          <w:szCs w:val="24"/>
        </w:rPr>
        <w:t>San Juan: Ediciones UNE</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140D0"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140D0">
        <w:rPr>
          <w:rFonts w:eastAsia="Times New Roman"/>
          <w:szCs w:val="24"/>
        </w:rPr>
        <w:t xml:space="preserve">Rodríguez-Orellana, M. (1993) “A Chance to Decolonize.” </w:t>
      </w:r>
      <w:r w:rsidRPr="005140D0">
        <w:rPr>
          <w:rFonts w:eastAsia="Times New Roman"/>
          <w:i/>
          <w:szCs w:val="24"/>
        </w:rPr>
        <w:t>Hemisphere</w:t>
      </w:r>
      <w:r w:rsidRPr="005140D0">
        <w:rPr>
          <w:rFonts w:eastAsia="Times New Roman"/>
          <w:szCs w:val="24"/>
        </w:rPr>
        <w:t>. 5(3) 42-43.</w:t>
      </w:r>
    </w:p>
    <w:p w:rsidR="00B015EE" w:rsidRPr="005140D0"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140D0">
        <w:rPr>
          <w:rFonts w:eastAsia="Times New Roman"/>
          <w:szCs w:val="24"/>
        </w:rPr>
        <w:t xml:space="preserve">Romany Siaca, C. (2001). </w:t>
      </w:r>
      <w:r w:rsidRPr="00BD682C">
        <w:rPr>
          <w:rFonts w:eastAsia="Times New Roman"/>
          <w:szCs w:val="24"/>
        </w:rPr>
        <w:t>De frente a la impunidad: La erradicación de la discriminación racial en el camino hacia las democracias plur</w:t>
      </w:r>
      <w:r>
        <w:rPr>
          <w:rFonts w:eastAsia="Times New Roman"/>
          <w:szCs w:val="24"/>
        </w:rPr>
        <w:t xml:space="preserve">iculturales y multiétnicas. </w:t>
      </w:r>
      <w:r w:rsidRPr="00EC5C42">
        <w:rPr>
          <w:rFonts w:eastAsia="Times New Roman"/>
          <w:i/>
          <w:szCs w:val="24"/>
          <w:lang w:val="es-ES"/>
        </w:rPr>
        <w:t>ECLAC</w:t>
      </w:r>
      <w:r w:rsidRPr="00EC5C42">
        <w:rPr>
          <w:rFonts w:eastAsia="Times New Roman"/>
          <w:szCs w:val="24"/>
          <w:lang w:val="es-ES"/>
        </w:rPr>
        <w:t xml:space="preserve">. Recuperado de </w:t>
      </w:r>
      <w:hyperlink r:id="rId67" w:history="1">
        <w:r w:rsidRPr="00EC5C42">
          <w:rPr>
            <w:rFonts w:eastAsia="Times New Roman"/>
            <w:szCs w:val="24"/>
            <w:lang w:val="es-ES"/>
          </w:rPr>
          <w:t>http://www.eclac.org/mujer/publicaciones/sinsigla/xml/3/6823/romany.pdf</w:t>
        </w:r>
      </w:hyperlink>
      <w:r w:rsidRPr="00EC5C42">
        <w:rPr>
          <w:rFonts w:eastAsia="Times New Roman"/>
          <w:szCs w:val="24"/>
          <w:lang w:val="es-ES"/>
        </w:rPr>
        <w:t>.</w:t>
      </w: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Romany Siaca, C. (2007). </w:t>
      </w:r>
      <w:r>
        <w:rPr>
          <w:rFonts w:eastAsia="Times New Roman"/>
          <w:szCs w:val="24"/>
        </w:rPr>
        <w:t>“</w:t>
      </w:r>
      <w:r w:rsidRPr="00BD682C">
        <w:rPr>
          <w:rFonts w:eastAsia="Times New Roman"/>
          <w:szCs w:val="24"/>
        </w:rPr>
        <w:t xml:space="preserve">Comparecencia de Celina Romany-Siaca ante Comité de Descolonización de la </w:t>
      </w:r>
      <w:r>
        <w:rPr>
          <w:rFonts w:eastAsia="Times New Roman"/>
          <w:szCs w:val="24"/>
        </w:rPr>
        <w:t xml:space="preserve">Organización de Naciones Unidas”. </w:t>
      </w:r>
      <w:r w:rsidRPr="00DF7CAC">
        <w:rPr>
          <w:rFonts w:eastAsia="Times New Roman"/>
          <w:i/>
          <w:szCs w:val="24"/>
        </w:rPr>
        <w:t>Primera Hora.</w:t>
      </w:r>
      <w:r w:rsidRPr="00BD682C">
        <w:rPr>
          <w:rFonts w:eastAsia="Times New Roman"/>
          <w:szCs w:val="24"/>
        </w:rPr>
        <w:t xml:space="preserve"> </w:t>
      </w:r>
      <w:r>
        <w:rPr>
          <w:rFonts w:eastAsia="Times New Roman"/>
          <w:szCs w:val="24"/>
        </w:rPr>
        <w:t>Recuperado de</w:t>
      </w:r>
      <w:r w:rsidRPr="00BD682C">
        <w:rPr>
          <w:rFonts w:eastAsia="Times New Roman"/>
          <w:szCs w:val="24"/>
        </w:rPr>
        <w:t xml:space="preserve"> </w:t>
      </w:r>
      <w:hyperlink r:id="rId68" w:history="1">
        <w:r w:rsidRPr="00BD682C">
          <w:rPr>
            <w:rFonts w:eastAsia="Times New Roman"/>
            <w:szCs w:val="24"/>
          </w:rPr>
          <w:t>www.primerahora.com/XStatic/primerahora/docs/.../onuabogados.doc</w:t>
        </w:r>
      </w:hyperlink>
    </w:p>
    <w:p w:rsidR="00B015EE" w:rsidRPr="00873F5E" w:rsidRDefault="00B015EE" w:rsidP="007538AA">
      <w:pPr>
        <w:pStyle w:val="Heading1"/>
        <w:tabs>
          <w:tab w:val="left" w:pos="630"/>
        </w:tabs>
        <w:ind w:left="720" w:hanging="720"/>
        <w:rPr>
          <w:b w:val="0"/>
          <w:color w:val="auto"/>
          <w:sz w:val="24"/>
          <w:szCs w:val="24"/>
          <w:lang w:val="en-US"/>
        </w:rPr>
      </w:pPr>
      <w:bookmarkStart w:id="24" w:name="_Toc384769726"/>
      <w:r w:rsidRPr="00186217">
        <w:rPr>
          <w:b w:val="0"/>
          <w:color w:val="auto"/>
          <w:sz w:val="24"/>
          <w:szCs w:val="24"/>
          <w:lang w:val="en-US"/>
        </w:rPr>
        <w:t xml:space="preserve">Romero Barceló. (1980). </w:t>
      </w:r>
      <w:r w:rsidRPr="00873F5E">
        <w:rPr>
          <w:b w:val="0"/>
          <w:color w:val="auto"/>
          <w:sz w:val="24"/>
          <w:szCs w:val="24"/>
          <w:lang w:val="en-US"/>
        </w:rPr>
        <w:t>Puerto Rico, U.S.A: The Case for Statehood</w:t>
      </w:r>
      <w:r w:rsidRPr="00186217">
        <w:rPr>
          <w:b w:val="0"/>
          <w:color w:val="auto"/>
          <w:sz w:val="24"/>
          <w:szCs w:val="24"/>
          <w:lang w:val="en-US"/>
        </w:rPr>
        <w:t xml:space="preserve">. </w:t>
      </w:r>
      <w:r w:rsidRPr="005140D0">
        <w:rPr>
          <w:b w:val="0"/>
          <w:i/>
          <w:color w:val="auto"/>
          <w:sz w:val="24"/>
          <w:szCs w:val="24"/>
          <w:lang w:val="en-US"/>
        </w:rPr>
        <w:t>Foreign Affairs</w:t>
      </w:r>
      <w:r w:rsidRPr="005140D0">
        <w:rPr>
          <w:b w:val="0"/>
          <w:color w:val="auto"/>
          <w:sz w:val="24"/>
          <w:szCs w:val="24"/>
          <w:lang w:val="en-US"/>
        </w:rPr>
        <w:t>.</w:t>
      </w:r>
      <w:bookmarkEnd w:id="24"/>
    </w:p>
    <w:p w:rsidR="00B015EE" w:rsidRPr="00A226D8"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140D0">
        <w:rPr>
          <w:rFonts w:eastAsia="Times New Roman"/>
          <w:szCs w:val="24"/>
          <w:lang w:val="en-US"/>
        </w:rPr>
        <w:t xml:space="preserve">Romero Barceló, C. (2013, noviembre 14). “A letter to the President”. </w:t>
      </w:r>
      <w:r w:rsidRPr="005140D0">
        <w:rPr>
          <w:rFonts w:eastAsia="Times New Roman"/>
          <w:i/>
          <w:szCs w:val="24"/>
          <w:lang w:val="en-US"/>
        </w:rPr>
        <w:t>Caribbean Business</w:t>
      </w:r>
      <w:r w:rsidRPr="005140D0">
        <w:rPr>
          <w:rFonts w:eastAsia="Times New Roman"/>
          <w:szCs w:val="24"/>
          <w:lang w:val="en-US"/>
        </w:rPr>
        <w:t xml:space="preserve">,(41, 44). </w:t>
      </w:r>
      <w:r w:rsidRPr="00A226D8">
        <w:rPr>
          <w:rFonts w:eastAsia="Times New Roman"/>
          <w:szCs w:val="24"/>
        </w:rPr>
        <w:t>Recuperado de</w:t>
      </w:r>
      <w:r w:rsidRPr="00A226D8">
        <w:t xml:space="preserve"> http://www.</w:t>
      </w:r>
      <w:hyperlink r:id="rId69" w:history="1">
        <w:r w:rsidRPr="00A226D8">
          <w:rPr>
            <w:rFonts w:eastAsia="Times New Roman"/>
            <w:szCs w:val="24"/>
          </w:rPr>
          <w:t>caribbeanbusinesspr.com</w:t>
        </w:r>
      </w:hyperlink>
    </w:p>
    <w:p w:rsidR="00B015EE" w:rsidRPr="00A226D8"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226D8">
        <w:rPr>
          <w:rFonts w:eastAsia="Times New Roman"/>
          <w:szCs w:val="24"/>
        </w:rPr>
        <w:t xml:space="preserve">Roosevelt, T. (1934) "Puerto Rico: Our Link with Latin America." </w:t>
      </w:r>
      <w:r w:rsidRPr="00DF7CAC">
        <w:rPr>
          <w:rFonts w:eastAsia="Times New Roman"/>
          <w:i/>
          <w:szCs w:val="24"/>
          <w:lang w:val="en-US"/>
        </w:rPr>
        <w:t>Foreign Affairs</w:t>
      </w:r>
      <w:r>
        <w:rPr>
          <w:rFonts w:eastAsia="Times New Roman"/>
          <w:i/>
          <w:szCs w:val="24"/>
          <w:lang w:val="en-US"/>
        </w:rPr>
        <w:t>,</w:t>
      </w:r>
      <w:r>
        <w:rPr>
          <w:rFonts w:eastAsia="Times New Roman"/>
          <w:szCs w:val="24"/>
          <w:lang w:val="en-US"/>
        </w:rPr>
        <w:t xml:space="preserve"> 12</w:t>
      </w:r>
      <w:r w:rsidRPr="005B5FEE">
        <w:rPr>
          <w:rFonts w:eastAsia="Times New Roman"/>
          <w:szCs w:val="24"/>
          <w:lang w:val="en-US"/>
        </w:rPr>
        <w:t xml:space="preserve"> </w:t>
      </w:r>
      <w:r>
        <w:rPr>
          <w:rFonts w:eastAsia="Times New Roman"/>
          <w:szCs w:val="24"/>
          <w:lang w:val="en-US"/>
        </w:rPr>
        <w:t>(</w:t>
      </w:r>
      <w:r w:rsidRPr="005B5FEE">
        <w:rPr>
          <w:rFonts w:eastAsia="Times New Roman"/>
          <w:szCs w:val="24"/>
          <w:lang w:val="en-US"/>
        </w:rPr>
        <w:t>2</w:t>
      </w:r>
      <w:r>
        <w:rPr>
          <w:rFonts w:eastAsia="Times New Roman"/>
          <w:szCs w:val="24"/>
          <w:lang w:val="en-US"/>
        </w:rPr>
        <w:t>),</w:t>
      </w:r>
      <w:r w:rsidRPr="005B5FEE">
        <w:rPr>
          <w:rFonts w:eastAsia="Times New Roman"/>
          <w:szCs w:val="24"/>
          <w:lang w:val="en-US"/>
        </w:rPr>
        <w:t xml:space="preserve"> 271-280.</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Rosenblum, N. (2009). “Responsible C</w:t>
      </w:r>
      <w:r>
        <w:rPr>
          <w:rFonts w:eastAsia="Times New Roman"/>
          <w:szCs w:val="24"/>
          <w:lang w:val="en-US"/>
        </w:rPr>
        <w:t>ongress and the political time”.</w:t>
      </w:r>
      <w:r w:rsidRPr="005B5FEE">
        <w:rPr>
          <w:rFonts w:eastAsia="Times New Roman"/>
          <w:szCs w:val="24"/>
          <w:lang w:val="en-US"/>
        </w:rPr>
        <w:t xml:space="preserve"> </w:t>
      </w:r>
      <w:r w:rsidRPr="00444858">
        <w:rPr>
          <w:rFonts w:eastAsia="Times New Roman"/>
          <w:i/>
          <w:szCs w:val="24"/>
          <w:lang w:val="en-US"/>
        </w:rPr>
        <w:t>Boston University Law Review</w:t>
      </w:r>
      <w:r>
        <w:rPr>
          <w:rFonts w:eastAsia="Times New Roman"/>
          <w:szCs w:val="24"/>
          <w:lang w:val="en-US"/>
        </w:rPr>
        <w:t>. 89 (</w:t>
      </w:r>
      <w:r w:rsidRPr="005B5FEE">
        <w:rPr>
          <w:rFonts w:eastAsia="Times New Roman"/>
          <w:szCs w:val="24"/>
          <w:lang w:val="en-US"/>
        </w:rPr>
        <w:t>715</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Rosselló vs OEA, (2006). Organization of American States, Inter-American Commission on Human Rights.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Rubinstein, A. (2001), “The Case against Puerto Rican Statehood”.</w:t>
      </w:r>
      <w:r>
        <w:rPr>
          <w:rFonts w:eastAsia="Times New Roman"/>
          <w:szCs w:val="24"/>
          <w:lang w:val="en-US"/>
        </w:rPr>
        <w:t xml:space="preserve"> Orbis, 45 (</w:t>
      </w:r>
      <w:r w:rsidRPr="005B5FEE">
        <w:rPr>
          <w:rFonts w:eastAsia="Times New Roman"/>
          <w:szCs w:val="24"/>
          <w:lang w:val="en-US"/>
        </w:rPr>
        <w:t>3</w:t>
      </w:r>
      <w:r>
        <w:rPr>
          <w:rFonts w:eastAsia="Times New Roman"/>
          <w:szCs w:val="24"/>
          <w:lang w:val="en-US"/>
        </w:rPr>
        <w:t>)</w:t>
      </w:r>
      <w:r w:rsidRPr="005B5FEE">
        <w:rPr>
          <w:rFonts w:eastAsia="Times New Roman"/>
          <w:szCs w:val="24"/>
          <w:lang w:val="en-US"/>
        </w:rPr>
        <w:t xml:space="preserve">. </w:t>
      </w:r>
    </w:p>
    <w:p w:rsidR="00B015EE" w:rsidRPr="004A681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4A6812">
        <w:rPr>
          <w:rFonts w:eastAsia="Times New Roman"/>
          <w:szCs w:val="24"/>
          <w:lang w:val="en-US"/>
        </w:rPr>
        <w:t>Sábato</w:t>
      </w:r>
      <w:r w:rsidRPr="005B5FEE">
        <w:rPr>
          <w:rFonts w:eastAsia="Times New Roman"/>
          <w:szCs w:val="24"/>
          <w:lang w:val="en-US"/>
        </w:rPr>
        <w:t>, L. J. (2007). A more perfect Constitution</w:t>
      </w:r>
      <w:r>
        <w:rPr>
          <w:rFonts w:eastAsia="Times New Roman"/>
          <w:szCs w:val="24"/>
          <w:lang w:val="en-US"/>
        </w:rPr>
        <w:t xml:space="preserve">. New York: </w:t>
      </w:r>
      <w:r w:rsidRPr="005B5FEE">
        <w:rPr>
          <w:rFonts w:eastAsia="Times New Roman"/>
          <w:szCs w:val="24"/>
          <w:lang w:val="en-US"/>
        </w:rPr>
        <w:t>Walker Publishing Co.</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Santiago-Valles, K. A, (1992). “Dancing with colonialism: the current plebiscite debate in</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140D0">
        <w:rPr>
          <w:rFonts w:eastAsia="Times New Roman"/>
          <w:szCs w:val="24"/>
        </w:rPr>
        <w:t xml:space="preserve">Puerto Rico as crisis management.” </w:t>
      </w:r>
      <w:r w:rsidRPr="00444858">
        <w:rPr>
          <w:rFonts w:eastAsia="Times New Roman"/>
          <w:i/>
          <w:szCs w:val="24"/>
        </w:rPr>
        <w:t>Centro de Estudios Puertorriqueños Bulletin</w:t>
      </w:r>
      <w:r>
        <w:rPr>
          <w:rFonts w:eastAsia="Times New Roman"/>
          <w:szCs w:val="24"/>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444858">
        <w:rPr>
          <w:rFonts w:eastAsia="Times New Roman"/>
          <w:szCs w:val="24"/>
          <w:lang w:val="es-ES"/>
        </w:rPr>
        <w:t>4(2)</w:t>
      </w:r>
      <w:r>
        <w:rPr>
          <w:rFonts w:eastAsia="Times New Roman"/>
          <w:szCs w:val="24"/>
          <w:lang w:val="es-ES"/>
        </w:rPr>
        <w:t xml:space="preserve">, </w:t>
      </w:r>
      <w:r w:rsidRPr="00BD682C">
        <w:rPr>
          <w:rFonts w:eastAsia="Times New Roman"/>
          <w:szCs w:val="24"/>
        </w:rPr>
        <w:t xml:space="preserve">12-26.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Sierra, I. (2013). “El HR 2000 y los endosos en el Congreso”. Investigación en curso no publicada.</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Sin</w:t>
      </w:r>
      <w:r>
        <w:rPr>
          <w:rFonts w:eastAsia="Times New Roman"/>
          <w:szCs w:val="24"/>
          <w:lang w:val="en-US"/>
        </w:rPr>
        <w:t xml:space="preserve">clair, B. Unorthodox Lawmaking. Washington DC: </w:t>
      </w:r>
      <w:r w:rsidRPr="005B5FEE">
        <w:rPr>
          <w:rFonts w:eastAsia="Times New Roman"/>
          <w:szCs w:val="24"/>
          <w:lang w:val="en-US"/>
        </w:rPr>
        <w:t>SAGE, CQ Press.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Sinclair, B. (1996). “An effective Congress and effective members: what does it take?”</w:t>
      </w:r>
      <w:r>
        <w:rPr>
          <w:rFonts w:eastAsia="Times New Roman"/>
          <w:szCs w:val="24"/>
          <w:lang w:val="en-US"/>
        </w:rPr>
        <w:t xml:space="preserve">. </w:t>
      </w:r>
      <w:r w:rsidRPr="00444858">
        <w:rPr>
          <w:rFonts w:eastAsia="Times New Roman"/>
          <w:i/>
          <w:szCs w:val="24"/>
          <w:lang w:val="en-US"/>
        </w:rPr>
        <w:t>PS: Political Science &amp; Politics</w:t>
      </w:r>
      <w:r>
        <w:rPr>
          <w:rFonts w:eastAsia="Times New Roman"/>
          <w:szCs w:val="24"/>
          <w:lang w:val="en-US"/>
        </w:rPr>
        <w:t>, 29(</w:t>
      </w:r>
      <w:r w:rsidRPr="005B5FEE">
        <w:rPr>
          <w:rFonts w:eastAsia="Times New Roman"/>
          <w:szCs w:val="24"/>
          <w:lang w:val="en-US"/>
        </w:rPr>
        <w:t>3</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Sinclair, B. (2009). “Question: What’s wrong with Congress? Answer:</w:t>
      </w:r>
      <w:r>
        <w:rPr>
          <w:rFonts w:eastAsia="Times New Roman"/>
          <w:szCs w:val="24"/>
          <w:lang w:val="en-US"/>
        </w:rPr>
        <w:t xml:space="preserve"> It’s a democratic legislature”.</w:t>
      </w:r>
      <w:r w:rsidRPr="005B5FEE">
        <w:rPr>
          <w:rFonts w:eastAsia="Times New Roman"/>
          <w:szCs w:val="24"/>
          <w:lang w:val="en-US"/>
        </w:rPr>
        <w:t xml:space="preserve"> </w:t>
      </w:r>
      <w:r w:rsidRPr="00444858">
        <w:rPr>
          <w:rFonts w:eastAsia="Times New Roman"/>
          <w:i/>
          <w:szCs w:val="24"/>
          <w:lang w:val="en-US"/>
        </w:rPr>
        <w:t>Boston University Law Review</w:t>
      </w:r>
      <w:r>
        <w:rPr>
          <w:rFonts w:eastAsia="Times New Roman"/>
          <w:szCs w:val="24"/>
          <w:lang w:val="en-US"/>
        </w:rPr>
        <w:t xml:space="preserve">, 89, 387. </w:t>
      </w:r>
      <w:r w:rsidRPr="00EC5C42">
        <w:rPr>
          <w:rFonts w:eastAsia="Times New Roman"/>
          <w:szCs w:val="24"/>
          <w:lang w:val="en-US"/>
        </w:rPr>
        <w:t>Recuperado de http://www.bu.edu/law/central/jd/organizations/journals/bulr/volume89n2/documents/SINCLAIR.pdf.</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437C6A">
        <w:rPr>
          <w:rFonts w:eastAsia="Times New Roman"/>
          <w:szCs w:val="24"/>
          <w:lang w:val="en-US"/>
        </w:rPr>
        <w:t xml:space="preserve">Schlafly, P. (1997) “Puerto Rico: Our Modern Trojan Horse,” 22 de octubre. </w:t>
      </w:r>
      <w:r w:rsidRPr="00444858">
        <w:rPr>
          <w:rFonts w:eastAsia="Times New Roman"/>
          <w:i/>
          <w:szCs w:val="24"/>
          <w:lang w:val="en-US"/>
        </w:rPr>
        <w:t>Stewart,</w:t>
      </w:r>
      <w:r>
        <w:rPr>
          <w:rFonts w:eastAsia="Times New Roman"/>
          <w:szCs w:val="24"/>
          <w:lang w:val="en-US"/>
        </w:rPr>
        <w:t xml:space="preserve"> </w:t>
      </w:r>
      <w:r w:rsidRPr="00444858">
        <w:rPr>
          <w:rFonts w:eastAsia="Times New Roman"/>
          <w:i/>
          <w:szCs w:val="24"/>
          <w:lang w:val="en-US"/>
        </w:rPr>
        <w:t>J. Daily show.</w:t>
      </w:r>
      <w:r>
        <w:rPr>
          <w:rFonts w:eastAsia="Times New Roman"/>
          <w:szCs w:val="24"/>
          <w:lang w:val="en-US"/>
        </w:rPr>
        <w:t xml:space="preserve"> </w:t>
      </w:r>
      <w:r w:rsidRPr="00437C6A">
        <w:rPr>
          <w:rFonts w:eastAsia="Times New Roman"/>
          <w:szCs w:val="24"/>
        </w:rPr>
        <w:t xml:space="preserve">Recuperado de </w:t>
      </w:r>
      <w:hyperlink r:id="rId70" w:history="1">
        <w:r w:rsidRPr="00437C6A">
          <w:rPr>
            <w:rFonts w:eastAsia="Times New Roman"/>
            <w:szCs w:val="24"/>
          </w:rPr>
          <w:t>http://www.thedailyshow.com/watch/wed-march-6-2013/the-51st-state</w:t>
        </w:r>
      </w:hyperlink>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Susler, J.</w:t>
      </w:r>
      <w:r w:rsidRPr="00444858">
        <w:rPr>
          <w:rFonts w:eastAsia="Times New Roman"/>
          <w:szCs w:val="24"/>
          <w:lang w:val="en-US"/>
        </w:rPr>
        <w:t xml:space="preserve"> </w:t>
      </w:r>
      <w:r>
        <w:rPr>
          <w:rFonts w:eastAsia="Times New Roman"/>
          <w:szCs w:val="24"/>
          <w:lang w:val="en-US"/>
        </w:rPr>
        <w:t>(</w:t>
      </w:r>
      <w:r w:rsidRPr="005B5FEE">
        <w:rPr>
          <w:rFonts w:eastAsia="Times New Roman"/>
          <w:szCs w:val="24"/>
          <w:lang w:val="en-US"/>
        </w:rPr>
        <w:t>2009</w:t>
      </w:r>
      <w:r>
        <w:rPr>
          <w:rFonts w:eastAsia="Times New Roman"/>
          <w:szCs w:val="24"/>
          <w:lang w:val="en-US"/>
        </w:rPr>
        <w:t>)</w:t>
      </w:r>
      <w:r w:rsidRPr="005B5FEE">
        <w:rPr>
          <w:rFonts w:eastAsia="Times New Roman"/>
          <w:szCs w:val="24"/>
          <w:lang w:val="en-US"/>
        </w:rPr>
        <w:t>. National Lawyers</w:t>
      </w:r>
      <w:r>
        <w:rPr>
          <w:rFonts w:eastAsia="Times New Roman"/>
          <w:szCs w:val="24"/>
          <w:lang w:val="en-US"/>
        </w:rPr>
        <w:t xml:space="preserve"> Guild International Committee,</w:t>
      </w:r>
      <w:r w:rsidRPr="005B5FEE">
        <w:rPr>
          <w:rFonts w:eastAsia="Times New Roman"/>
          <w:szCs w:val="24"/>
          <w:lang w:val="en-US"/>
        </w:rPr>
        <w:t xml:space="preserve">Testimony of Nick J. Rahall, II, Committee on Natural Resources Legislative Hearing. US House of Representatives, One Hundred Eleventh Congress, First Session. </w:t>
      </w:r>
      <w:r w:rsidRPr="00E846B9">
        <w:rPr>
          <w:rFonts w:eastAsia="Times New Roman"/>
          <w:szCs w:val="24"/>
          <w:lang w:val="es-ES"/>
        </w:rPr>
        <w:t>24 de junio.</w:t>
      </w: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FE2EE4"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EC5C42">
        <w:rPr>
          <w:rFonts w:eastAsia="Times New Roman"/>
          <w:i/>
          <w:szCs w:val="24"/>
          <w:lang w:val="es-ES"/>
        </w:rPr>
        <w:t>The Economist</w:t>
      </w:r>
      <w:r w:rsidRPr="00EC5C42">
        <w:rPr>
          <w:rFonts w:eastAsia="Times New Roman"/>
          <w:szCs w:val="24"/>
          <w:lang w:val="es-ES"/>
        </w:rPr>
        <w:t xml:space="preserve">. (2013, octubre 26). “Puerto Rico Greece in the Caribbean”. </w:t>
      </w:r>
      <w:r w:rsidRPr="00FE2EE4">
        <w:rPr>
          <w:rFonts w:eastAsia="Times New Roman"/>
          <w:szCs w:val="24"/>
          <w:lang w:val="es-ES"/>
        </w:rPr>
        <w:t>Recuperado de   http://www.economist.com/news/leaders/21588374-stuck-real-debt-crisis-its-back-yard-america-can-learn-europes-aegean.</w:t>
      </w:r>
    </w:p>
    <w:p w:rsidR="00B015EE" w:rsidRPr="00FE2EE4"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FE2EE4"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FE2EE4">
        <w:rPr>
          <w:rFonts w:eastAsia="Times New Roman"/>
          <w:i/>
          <w:szCs w:val="24"/>
          <w:lang w:val="en-US"/>
        </w:rPr>
        <w:t>The Economist</w:t>
      </w:r>
      <w:r>
        <w:rPr>
          <w:rFonts w:eastAsia="Times New Roman"/>
          <w:i/>
          <w:szCs w:val="24"/>
          <w:lang w:val="en-US"/>
        </w:rPr>
        <w:t xml:space="preserve">. </w:t>
      </w:r>
      <w:r>
        <w:rPr>
          <w:rFonts w:eastAsia="Times New Roman"/>
          <w:szCs w:val="24"/>
          <w:lang w:val="en-US"/>
        </w:rPr>
        <w:t xml:space="preserve">(2013). </w:t>
      </w:r>
      <w:r w:rsidRPr="005B5FEE">
        <w:rPr>
          <w:rFonts w:eastAsia="Times New Roman"/>
          <w:szCs w:val="24"/>
          <w:lang w:val="en-US"/>
        </w:rPr>
        <w:t>“Could Puerto Rico become America's 51st state?</w:t>
      </w:r>
      <w:r>
        <w:rPr>
          <w:rFonts w:eastAsia="Times New Roman"/>
          <w:szCs w:val="24"/>
          <w:lang w:val="en-US"/>
        </w:rPr>
        <w:t xml:space="preserve">. </w:t>
      </w:r>
      <w:r>
        <w:rPr>
          <w:rFonts w:eastAsia="Times New Roman"/>
          <w:szCs w:val="24"/>
          <w:lang w:val="es-ES"/>
        </w:rPr>
        <w:t>Recuperado</w:t>
      </w:r>
      <w:r w:rsidRPr="00FE2EE4">
        <w:rPr>
          <w:rFonts w:eastAsia="Times New Roman"/>
          <w:szCs w:val="24"/>
          <w:lang w:val="es-ES"/>
        </w:rPr>
        <w:t xml:space="preserve"> de </w:t>
      </w:r>
      <w:hyperlink r:id="rId71" w:history="1">
        <w:r w:rsidRPr="00FE2EE4">
          <w:rPr>
            <w:rFonts w:eastAsia="Times New Roman"/>
            <w:szCs w:val="24"/>
            <w:lang w:val="es-ES"/>
          </w:rPr>
          <w:t>http://www.economist.com/blogs/economist-explains/2013/10/economist-explains-15</w:t>
        </w:r>
      </w:hyperlink>
    </w:p>
    <w:p w:rsidR="00B015EE" w:rsidRPr="00FE2EE4"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Thornburg, D, (2007).</w:t>
      </w:r>
      <w:r w:rsidRPr="00FE2EE4">
        <w:rPr>
          <w:rFonts w:eastAsia="Times New Roman"/>
          <w:i/>
          <w:szCs w:val="24"/>
          <w:lang w:val="en-US"/>
        </w:rPr>
        <w:t xml:space="preserve"> A Time to decide</w:t>
      </w:r>
      <w:r w:rsidRPr="005B5FEE">
        <w:rPr>
          <w:rFonts w:eastAsia="Times New Roman"/>
          <w:szCs w:val="24"/>
          <w:lang w:val="en-US"/>
        </w:rPr>
        <w:t>. Washington DC: Center for Strategic and International Studies.</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Tordman, J. (2013</w:t>
      </w:r>
      <w:r>
        <w:rPr>
          <w:rFonts w:eastAsia="Times New Roman"/>
          <w:szCs w:val="24"/>
        </w:rPr>
        <w:t>, diciembre 4</w:t>
      </w:r>
      <w:r w:rsidRPr="00BD682C">
        <w:rPr>
          <w:rFonts w:eastAsia="Times New Roman"/>
          <w:szCs w:val="24"/>
        </w:rPr>
        <w:t xml:space="preserve">).  “De mal en peor la economía de Puerto Rico”.  </w:t>
      </w:r>
      <w:r w:rsidRPr="00FE2EE4">
        <w:rPr>
          <w:rFonts w:eastAsia="Times New Roman"/>
          <w:i/>
          <w:szCs w:val="24"/>
        </w:rPr>
        <w:t>El Nuevo Herald</w:t>
      </w:r>
      <w:r>
        <w:rPr>
          <w:rFonts w:eastAsia="Times New Roman"/>
          <w:szCs w:val="24"/>
        </w:rPr>
        <w:t xml:space="preserve">. Recuperado de </w:t>
      </w:r>
      <w:hyperlink r:id="rId72" w:history="1">
        <w:r w:rsidRPr="00BD682C">
          <w:rPr>
            <w:rFonts w:eastAsia="Times New Roman"/>
            <w:szCs w:val="24"/>
          </w:rPr>
          <w:t>http://www.elnuevoherald.com/2013/12/04/v-print/1629975/de-mal-en-peor-la-economia-de.html</w:t>
        </w:r>
      </w:hyperlink>
      <w:r w:rsidRPr="00BD682C">
        <w:rPr>
          <w:rFonts w:eastAsia="Times New Roman"/>
          <w:szCs w:val="24"/>
        </w:rPr>
        <w:t xml:space="preserve">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 xml:space="preserve">Torres, F. (2013). "The Island of Disenchantment: Puerto Rico's Worsening Financial Crisis." </w:t>
      </w:r>
      <w:r w:rsidRPr="00FE2EE4">
        <w:rPr>
          <w:rFonts w:eastAsia="Times New Roman"/>
          <w:i/>
          <w:szCs w:val="24"/>
        </w:rPr>
        <w:t>Brown Political Review</w:t>
      </w:r>
      <w:r>
        <w:rPr>
          <w:rFonts w:eastAsia="Times New Roman"/>
          <w:szCs w:val="24"/>
        </w:rPr>
        <w:t>.</w:t>
      </w:r>
    </w:p>
    <w:p w:rsidR="007538AA" w:rsidRDefault="007538AA" w:rsidP="007538AA">
      <w:pPr>
        <w:tabs>
          <w:tab w:val="left" w:pos="630"/>
        </w:tabs>
        <w:ind w:left="720" w:hanging="720"/>
      </w:pPr>
    </w:p>
    <w:p w:rsidR="00B015EE" w:rsidRPr="00186217" w:rsidRDefault="00B015EE" w:rsidP="007538AA">
      <w:pPr>
        <w:tabs>
          <w:tab w:val="left" w:pos="630"/>
        </w:tabs>
        <w:ind w:left="720" w:hanging="720"/>
        <w:rPr>
          <w:lang w:val="es-ES"/>
        </w:rPr>
      </w:pPr>
      <w:r w:rsidRPr="00186217">
        <w:t>Torres</w:t>
      </w:r>
      <w:r w:rsidRPr="00D2158D">
        <w:t>-</w:t>
      </w:r>
      <w:r w:rsidRPr="00186217">
        <w:t xml:space="preserve">González, </w:t>
      </w:r>
      <w:r w:rsidRPr="00186217">
        <w:rPr>
          <w:lang w:val="es-ES"/>
        </w:rPr>
        <w:t xml:space="preserve">R. (2002). </w:t>
      </w:r>
      <w:r w:rsidRPr="007538AA">
        <w:rPr>
          <w:rStyle w:val="fn"/>
          <w:szCs w:val="24"/>
        </w:rPr>
        <w:t>Idioma, bilingüismo y nacionalidad</w:t>
      </w:r>
      <w:r w:rsidRPr="007538AA">
        <w:t xml:space="preserve">: </w:t>
      </w:r>
      <w:r w:rsidRPr="007538AA">
        <w:rPr>
          <w:rStyle w:val="Subtitle1"/>
          <w:szCs w:val="24"/>
        </w:rPr>
        <w:t>la presencia del inglés en Puerto Rico</w:t>
      </w:r>
      <w:r w:rsidRPr="007538AA">
        <w:rPr>
          <w:rStyle w:val="Subtitle1"/>
          <w:szCs w:val="24"/>
          <w:lang w:val="es-ES"/>
        </w:rPr>
        <w:t>. Rio Piedras: Editorial de la Universidad de Puerto Ric</w:t>
      </w:r>
      <w:r w:rsidRPr="00186217">
        <w:rPr>
          <w:rStyle w:val="Subtitle1"/>
          <w:b/>
          <w:szCs w:val="24"/>
          <w:lang w:val="es-ES"/>
        </w:rPr>
        <w:t>o.</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 xml:space="preserve">Torres, J.A. (2000). </w:t>
      </w:r>
      <w:r w:rsidRPr="00FE2EE4">
        <w:rPr>
          <w:rFonts w:eastAsia="Times New Roman"/>
          <w:i/>
          <w:szCs w:val="24"/>
        </w:rPr>
        <w:t>Memoria pública</w:t>
      </w:r>
      <w:r>
        <w:rPr>
          <w:rFonts w:eastAsia="Times New Roman"/>
          <w:szCs w:val="24"/>
        </w:rPr>
        <w:t>. Río Piedras</w:t>
      </w:r>
      <w:r w:rsidRPr="00BD682C">
        <w:rPr>
          <w:rFonts w:eastAsia="Times New Roman"/>
          <w:szCs w:val="24"/>
        </w:rPr>
        <w:t>: Editorial de la Universidad de Puerto Rico.</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EC5C42">
        <w:rPr>
          <w:rFonts w:eastAsia="Times New Roman"/>
          <w:szCs w:val="24"/>
          <w:lang w:val="en-US"/>
        </w:rPr>
        <w:t xml:space="preserve">Torruella, J. B. (1988). </w:t>
      </w:r>
      <w:r w:rsidRPr="00EC5C42">
        <w:rPr>
          <w:rFonts w:eastAsia="Times New Roman"/>
          <w:i/>
          <w:szCs w:val="24"/>
          <w:lang w:val="en-US"/>
        </w:rPr>
        <w:t>The Supreme Court and Puerto Rico: The Doctrine of Separate and Unequal</w:t>
      </w:r>
      <w:r w:rsidRPr="00EC5C42">
        <w:rPr>
          <w:rFonts w:eastAsia="Times New Roman"/>
          <w:szCs w:val="24"/>
          <w:lang w:val="en-US"/>
        </w:rPr>
        <w:t xml:space="preserve">. </w:t>
      </w:r>
      <w:r>
        <w:rPr>
          <w:rFonts w:eastAsia="Times New Roman"/>
          <w:szCs w:val="24"/>
        </w:rPr>
        <w:t>San Juan</w:t>
      </w:r>
      <w:r w:rsidRPr="00BD682C">
        <w:rPr>
          <w:rFonts w:eastAsia="Times New Roman"/>
          <w:szCs w:val="24"/>
        </w:rPr>
        <w:t>: Editorial de la Universidad de Puerto Rico.</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EC5C42">
        <w:rPr>
          <w:rFonts w:eastAsia="Times New Roman"/>
          <w:szCs w:val="24"/>
          <w:lang w:val="es-ES"/>
        </w:rPr>
        <w:t xml:space="preserve">Torruella, J. B. (1998). </w:t>
      </w:r>
      <w:r w:rsidRPr="005B5FEE">
        <w:rPr>
          <w:rFonts w:eastAsia="Times New Roman"/>
          <w:szCs w:val="24"/>
          <w:lang w:val="en-US"/>
        </w:rPr>
        <w:t xml:space="preserve">Puerto Rico: The Trials of the Oldest Colony in the World. </w:t>
      </w:r>
      <w:r w:rsidRPr="00FE2EE4">
        <w:rPr>
          <w:rFonts w:eastAsia="Times New Roman"/>
          <w:i/>
          <w:szCs w:val="24"/>
        </w:rPr>
        <w:t>Yale Law Journal</w:t>
      </w:r>
      <w:r w:rsidRPr="00BD682C">
        <w:rPr>
          <w:rFonts w:eastAsia="Times New Roman"/>
          <w:szCs w:val="24"/>
        </w:rPr>
        <w:t>, 107(5), 1503-1522.</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BD682C">
        <w:rPr>
          <w:rFonts w:eastAsia="Times New Roman"/>
          <w:szCs w:val="24"/>
        </w:rPr>
        <w:t xml:space="preserve">Trías Monge, J. </w:t>
      </w:r>
      <w:r>
        <w:rPr>
          <w:rFonts w:eastAsia="Times New Roman"/>
          <w:szCs w:val="24"/>
        </w:rPr>
        <w:t>(1981-1998)</w:t>
      </w:r>
      <w:r w:rsidRPr="00BD682C">
        <w:rPr>
          <w:rFonts w:eastAsia="Times New Roman"/>
          <w:szCs w:val="24"/>
        </w:rPr>
        <w:t xml:space="preserve"> </w:t>
      </w:r>
      <w:r w:rsidRPr="00FE2EE4">
        <w:rPr>
          <w:rFonts w:eastAsia="Times New Roman"/>
          <w:i/>
          <w:szCs w:val="24"/>
        </w:rPr>
        <w:t>Historia Constitucional de Puerto Rico</w:t>
      </w:r>
      <w:r>
        <w:rPr>
          <w:rFonts w:eastAsia="Times New Roman"/>
          <w:szCs w:val="24"/>
        </w:rPr>
        <w:t>. 5 vols.</w:t>
      </w:r>
      <w:r w:rsidRPr="00BD682C">
        <w:rPr>
          <w:rFonts w:eastAsia="Times New Roman"/>
          <w:szCs w:val="24"/>
        </w:rPr>
        <w:t>: IV, capítulo 39, esp. p. 53</w:t>
      </w:r>
      <w:r>
        <w:rPr>
          <w:rFonts w:eastAsia="Times New Roman"/>
          <w:szCs w:val="24"/>
        </w:rPr>
        <w:t xml:space="preserve">. </w:t>
      </w:r>
      <w:r w:rsidRPr="00E846B9">
        <w:rPr>
          <w:rFonts w:eastAsia="Times New Roman"/>
          <w:szCs w:val="24"/>
          <w:lang w:val="es-ES"/>
        </w:rPr>
        <w:t>Río Piedras: Editorial Universitaria.</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rPr>
        <w:t>Trías Monge, J. (1999).</w:t>
      </w:r>
      <w:r w:rsidRPr="00BD682C">
        <w:rPr>
          <w:rFonts w:eastAsia="Times New Roman"/>
          <w:szCs w:val="24"/>
        </w:rPr>
        <w:t xml:space="preserve"> </w:t>
      </w:r>
      <w:r w:rsidRPr="00FE2EE4">
        <w:rPr>
          <w:rFonts w:eastAsia="Times New Roman"/>
          <w:i/>
          <w:szCs w:val="24"/>
        </w:rPr>
        <w:t>Puerto Rico: Las penas de la colonia más antigua del mundo</w:t>
      </w:r>
      <w:r w:rsidRPr="00BD682C">
        <w:rPr>
          <w:rFonts w:eastAsia="Times New Roman"/>
          <w:szCs w:val="24"/>
        </w:rPr>
        <w:t>. San Juan, Puerto Rico: Editorial de  la Universidad de Puerto Rico.</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EC5C42">
        <w:rPr>
          <w:rFonts w:eastAsia="Times New Roman"/>
          <w:szCs w:val="24"/>
          <w:lang w:val="en-US"/>
        </w:rPr>
        <w:t>Truman, D. (1951). The Governmental Process: Political Interests and Public Opinion. Alfred A. Knopf, 1951</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AE55A3" w:rsidRDefault="00B015EE" w:rsidP="007538AA">
      <w:pPr>
        <w:widowControl w:val="0"/>
        <w:tabs>
          <w:tab w:val="left" w:pos="630"/>
        </w:tabs>
        <w:autoSpaceDE w:val="0"/>
        <w:autoSpaceDN w:val="0"/>
        <w:spacing w:line="240" w:lineRule="auto"/>
        <w:ind w:left="720" w:hanging="720"/>
        <w:jc w:val="left"/>
        <w:rPr>
          <w:rFonts w:eastAsia="Times New Roman"/>
          <w:i/>
          <w:szCs w:val="24"/>
          <w:lang w:val="en-US"/>
        </w:rPr>
      </w:pPr>
      <w:r w:rsidRPr="005B5FEE">
        <w:rPr>
          <w:rFonts w:eastAsia="Times New Roman"/>
          <w:szCs w:val="24"/>
          <w:lang w:val="en-US"/>
        </w:rPr>
        <w:t xml:space="preserve">United States Congress House Committee on Resources. </w:t>
      </w:r>
      <w:r w:rsidRPr="00AE55A3">
        <w:rPr>
          <w:rFonts w:eastAsia="Times New Roman"/>
          <w:i/>
          <w:szCs w:val="24"/>
          <w:lang w:val="en-US"/>
        </w:rPr>
        <w:t>Puerto Rico status: hearing</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E55A3">
        <w:rPr>
          <w:rFonts w:eastAsia="Times New Roman"/>
          <w:i/>
          <w:szCs w:val="24"/>
          <w:lang w:val="en-US"/>
        </w:rPr>
        <w:t>before the Committee on Resources, House of Representatives</w:t>
      </w:r>
      <w:r>
        <w:rPr>
          <w:rFonts w:eastAsia="Times New Roman"/>
          <w:szCs w:val="24"/>
          <w:lang w:val="en-US"/>
        </w:rPr>
        <w:t>.</w:t>
      </w:r>
      <w:r w:rsidRPr="005B5FEE">
        <w:rPr>
          <w:rFonts w:eastAsia="Times New Roman"/>
          <w:szCs w:val="24"/>
          <w:lang w:val="en-US"/>
        </w:rPr>
        <w:t xml:space="preserve"> One Hundred</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Fifth Congress, first session, on H.R. 856, a bill to provide a process leading</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to full self-gover</w:t>
      </w:r>
      <w:r>
        <w:rPr>
          <w:rFonts w:eastAsia="Times New Roman"/>
          <w:szCs w:val="24"/>
          <w:lang w:val="en-US"/>
        </w:rPr>
        <w:t>nment for Puerto Rico. (</w:t>
      </w:r>
      <w:r w:rsidRPr="005B5FEE">
        <w:rPr>
          <w:rFonts w:eastAsia="Times New Roman"/>
          <w:szCs w:val="24"/>
          <w:lang w:val="en-US"/>
        </w:rPr>
        <w:t>1997</w:t>
      </w:r>
      <w:r>
        <w:rPr>
          <w:rFonts w:eastAsia="Times New Roman"/>
          <w:szCs w:val="24"/>
          <w:lang w:val="en-US"/>
        </w:rPr>
        <w:t>).</w:t>
      </w:r>
      <w:r w:rsidRPr="005B5FEE">
        <w:rPr>
          <w:rFonts w:eastAsia="Times New Roman"/>
          <w:szCs w:val="24"/>
          <w:lang w:val="en-US"/>
        </w:rPr>
        <w:t xml:space="preserve"> Washington, DC. 105th</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Cong., Washington: G.P.O., 1997.</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lang w:val="en-US"/>
        </w:rPr>
        <w:t xml:space="preserve">U.S. Senate (2013). Full Committee Hearing </w:t>
      </w:r>
      <w:r w:rsidRPr="0055255B">
        <w:rPr>
          <w:rFonts w:eastAsia="Times New Roman"/>
          <w:szCs w:val="24"/>
          <w:lang w:val="en-US"/>
        </w:rPr>
        <w:t>on the political status of Puerto Rico</w:t>
      </w:r>
      <w:r>
        <w:rPr>
          <w:rFonts w:eastAsia="Times New Roman"/>
          <w:szCs w:val="24"/>
          <w:lang w:val="en-US"/>
        </w:rPr>
        <w:t xml:space="preserve">. </w:t>
      </w:r>
      <w:r w:rsidRPr="0055255B">
        <w:rPr>
          <w:rFonts w:eastAsia="Times New Roman"/>
          <w:szCs w:val="24"/>
        </w:rPr>
        <w:t xml:space="preserve">Recuperado de </w:t>
      </w:r>
      <w:r w:rsidRPr="0055255B">
        <w:t xml:space="preserve"> </w:t>
      </w:r>
      <w:hyperlink r:id="rId73" w:history="1">
        <w:r w:rsidRPr="006035BA">
          <w:rPr>
            <w:rStyle w:val="Hyperlink"/>
            <w:rFonts w:eastAsia="Times New Roman"/>
            <w:szCs w:val="24"/>
          </w:rPr>
          <w:t>http://www.energy.senate.gov/public/index.cfm/hearings-and-business-meetings?ID=c65e3706-46e4-40e0-b50e-51e52ac1f2d</w:t>
        </w:r>
      </w:hyperlink>
    </w:p>
    <w:p w:rsidR="00B015EE" w:rsidRPr="0055255B"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AE55A3"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AE55A3">
        <w:rPr>
          <w:rFonts w:eastAsia="Times New Roman"/>
          <w:szCs w:val="24"/>
          <w:lang w:val="en-US"/>
        </w:rPr>
        <w:t xml:space="preserve">U.S. Department of </w:t>
      </w:r>
      <w:r>
        <w:rPr>
          <w:rFonts w:eastAsia="Times New Roman"/>
          <w:szCs w:val="24"/>
          <w:lang w:val="en-US"/>
        </w:rPr>
        <w:t>Justice (2013).</w:t>
      </w:r>
      <w:r w:rsidRPr="005B5FEE">
        <w:rPr>
          <w:rFonts w:eastAsia="Times New Roman"/>
          <w:szCs w:val="24"/>
          <w:lang w:val="en-US"/>
        </w:rPr>
        <w:t xml:space="preserve"> </w:t>
      </w:r>
      <w:r w:rsidRPr="00AE55A3">
        <w:rPr>
          <w:rFonts w:eastAsia="Times New Roman"/>
          <w:i/>
          <w:szCs w:val="24"/>
          <w:lang w:val="en-US"/>
        </w:rPr>
        <w:t>FY 2014 Performance Budget Office Of Justice Programs</w:t>
      </w:r>
      <w:r>
        <w:rPr>
          <w:rFonts w:eastAsia="Times New Roman"/>
          <w:szCs w:val="24"/>
          <w:lang w:val="en-US"/>
        </w:rPr>
        <w:t xml:space="preserve">. </w:t>
      </w:r>
      <w:r w:rsidRPr="00AE55A3">
        <w:rPr>
          <w:rFonts w:eastAsia="Times New Roman"/>
          <w:szCs w:val="24"/>
          <w:lang w:val="es-ES"/>
        </w:rPr>
        <w:t xml:space="preserve">Recuperado de  </w:t>
      </w:r>
      <w:hyperlink r:id="rId74" w:history="1">
        <w:r w:rsidRPr="00AE55A3">
          <w:rPr>
            <w:rFonts w:eastAsia="Times New Roman"/>
            <w:szCs w:val="24"/>
            <w:lang w:val="es-ES"/>
          </w:rPr>
          <w:t>http://www.justice.gov/jmd/2014justification/pdf/ojp-justification.pdf</w:t>
        </w:r>
      </w:hyperlink>
    </w:p>
    <w:p w:rsidR="00B015EE" w:rsidRPr="007F49FA"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lang w:val="en-US"/>
        </w:rPr>
        <w:t xml:space="preserve">US English Inc. </w:t>
      </w:r>
      <w:r w:rsidRPr="00AE55A3">
        <w:rPr>
          <w:rFonts w:eastAsia="Times New Roman"/>
          <w:i/>
          <w:szCs w:val="24"/>
          <w:lang w:val="en-US"/>
        </w:rPr>
        <w:t xml:space="preserve">A Spanish First 51st State? </w:t>
      </w:r>
      <w:r w:rsidRPr="00AE55A3">
        <w:rPr>
          <w:rFonts w:eastAsia="Times New Roman"/>
          <w:i/>
          <w:szCs w:val="24"/>
        </w:rPr>
        <w:t>Puerto Rico Draws Closer</w:t>
      </w:r>
      <w:r>
        <w:rPr>
          <w:rFonts w:eastAsia="Times New Roman"/>
          <w:szCs w:val="24"/>
        </w:rPr>
        <w:t>.</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0419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A226D8">
        <w:rPr>
          <w:rFonts w:eastAsia="Times New Roman"/>
          <w:szCs w:val="24"/>
        </w:rPr>
        <w:t xml:space="preserve">Velázquez, N. (2006, marzo 28). </w:t>
      </w:r>
      <w:r w:rsidRPr="005B5FEE">
        <w:rPr>
          <w:rFonts w:eastAsia="Times New Roman"/>
          <w:szCs w:val="24"/>
          <w:lang w:val="en-US"/>
        </w:rPr>
        <w:t>Statement of Nydia M. Velázquez at the Briefing on FBI Activity in Puerto Rico</w:t>
      </w:r>
      <w:r>
        <w:rPr>
          <w:rFonts w:eastAsia="Times New Roman"/>
          <w:szCs w:val="24"/>
          <w:lang w:val="en-US"/>
        </w:rPr>
        <w:t xml:space="preserve">. </w:t>
      </w:r>
      <w:r w:rsidRPr="00AE55A3">
        <w:rPr>
          <w:rFonts w:eastAsia="Times New Roman"/>
          <w:szCs w:val="24"/>
          <w:lang w:val="es-ES"/>
        </w:rPr>
        <w:t xml:space="preserve">Recuperado de </w:t>
      </w:r>
      <w:hyperlink r:id="rId75" w:history="1">
        <w:r w:rsidRPr="00E0419C">
          <w:rPr>
            <w:rFonts w:eastAsia="Times New Roman"/>
            <w:szCs w:val="24"/>
          </w:rPr>
          <w:t>http://velazquez.house.gov/newsroom/floor-statements/2006-floor-statements/statement-03-28-06-fbi-pr.html</w:t>
        </w:r>
      </w:hyperlink>
    </w:p>
    <w:p w:rsidR="00B015EE" w:rsidRPr="00E0419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BD682C">
        <w:rPr>
          <w:rFonts w:eastAsia="Times New Roman"/>
          <w:szCs w:val="24"/>
        </w:rPr>
        <w:t>Vélez-Hagan, J. (2013</w:t>
      </w:r>
      <w:r>
        <w:rPr>
          <w:rFonts w:eastAsia="Times New Roman"/>
          <w:szCs w:val="24"/>
        </w:rPr>
        <w:t>, diciembre 1</w:t>
      </w:r>
      <w:r w:rsidRPr="00BD682C">
        <w:rPr>
          <w:rFonts w:eastAsia="Times New Roman"/>
          <w:szCs w:val="24"/>
        </w:rPr>
        <w:t xml:space="preserve">). "Default:Puerto Rico's Inevitable Option". </w:t>
      </w:r>
      <w:r w:rsidRPr="00AE55A3">
        <w:rPr>
          <w:rFonts w:eastAsia="Times New Roman"/>
          <w:i/>
          <w:szCs w:val="24"/>
        </w:rPr>
        <w:t>Forbes</w:t>
      </w:r>
      <w:r w:rsidRPr="00BD682C">
        <w:rPr>
          <w:rFonts w:eastAsia="Times New Roman"/>
          <w:szCs w:val="24"/>
        </w:rPr>
        <w:t xml:space="preserve">. </w:t>
      </w:r>
      <w:r>
        <w:rPr>
          <w:rFonts w:eastAsia="Times New Roman"/>
          <w:szCs w:val="24"/>
        </w:rPr>
        <w:t xml:space="preserve">Recuperado de </w:t>
      </w:r>
      <w:r w:rsidRPr="00BD682C">
        <w:rPr>
          <w:rFonts w:eastAsia="Times New Roman"/>
          <w:szCs w:val="24"/>
        </w:rPr>
        <w:t>http://www.forbes.com/fdc/welcome_mjx</w:t>
      </w:r>
      <w:r>
        <w:rPr>
          <w:rFonts w:eastAsia="Times New Roman"/>
          <w:szCs w:val="24"/>
        </w:rPr>
        <w:t>.shtml.</w:t>
      </w:r>
      <w:r w:rsidRPr="00BD682C">
        <w:rPr>
          <w:rFonts w:eastAsia="Times New Roman"/>
          <w:szCs w:val="24"/>
        </w:rPr>
        <w:t xml:space="preserve"> </w:t>
      </w: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Vélez Rodríguez, E. (2002)</w:t>
      </w:r>
      <w:r>
        <w:rPr>
          <w:rFonts w:eastAsia="Times New Roman"/>
          <w:szCs w:val="24"/>
        </w:rPr>
        <w:t>.</w:t>
      </w:r>
      <w:r w:rsidRPr="00BD682C">
        <w:rPr>
          <w:rFonts w:eastAsia="Times New Roman"/>
          <w:szCs w:val="24"/>
        </w:rPr>
        <w:t xml:space="preserve"> </w:t>
      </w:r>
      <w:r w:rsidRPr="00AE55A3">
        <w:rPr>
          <w:rFonts w:eastAsia="Times New Roman"/>
          <w:i/>
          <w:szCs w:val="24"/>
        </w:rPr>
        <w:t>Plan Drácula: Negociaciones Secretas entre Luis Muñoz Marín y La Marina</w:t>
      </w:r>
      <w:r w:rsidRPr="00BD682C">
        <w:rPr>
          <w:rFonts w:eastAsia="Times New Roman"/>
          <w:szCs w:val="24"/>
        </w:rPr>
        <w:t xml:space="preserve">. </w:t>
      </w:r>
      <w:r w:rsidRPr="00E846B9">
        <w:rPr>
          <w:rFonts w:eastAsia="Times New Roman"/>
          <w:szCs w:val="24"/>
          <w:lang w:val="en-US"/>
        </w:rPr>
        <w:t xml:space="preserve">Rio Piedras: Editorial Edil. </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7F49FA">
        <w:rPr>
          <w:rFonts w:eastAsia="Times New Roman"/>
          <w:szCs w:val="24"/>
          <w:lang w:val="en-US"/>
        </w:rPr>
        <w:t xml:space="preserve">Venator-Santiago, C.R. (2010) United States Citizenship in Puerto Rico, A Short History. </w:t>
      </w:r>
      <w:r w:rsidRPr="005B5FEE">
        <w:rPr>
          <w:rFonts w:eastAsia="Times New Roman"/>
          <w:szCs w:val="24"/>
          <w:lang w:val="en-US"/>
        </w:rPr>
        <w:t>University of Connecticut: PRLS.</w:t>
      </w:r>
      <w:r>
        <w:rPr>
          <w:rFonts w:eastAsia="Times New Roman"/>
          <w:szCs w:val="24"/>
          <w:lang w:val="en-US"/>
        </w:rPr>
        <w:t xml:space="preserve"> Recuperado de</w:t>
      </w:r>
      <w:r w:rsidRPr="005B5FEE">
        <w:rPr>
          <w:rFonts w:eastAsia="Times New Roman"/>
          <w:szCs w:val="24"/>
          <w:lang w:val="en-US"/>
        </w:rPr>
        <w:t xml:space="preserve"> </w:t>
      </w:r>
      <w:r w:rsidRPr="00AD6192">
        <w:rPr>
          <w:rFonts w:eastAsia="Times New Roman"/>
          <w:szCs w:val="24"/>
          <w:lang w:val="en-US"/>
        </w:rPr>
        <w:t>http://www.cga.ct.gov/lprac/pages/LPRAC_IPRLS_PRCit_FinalReport_2010_R4.pdf</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BD682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E846B9">
        <w:rPr>
          <w:rFonts w:eastAsia="Times New Roman"/>
          <w:szCs w:val="24"/>
          <w:lang w:val="en-US"/>
        </w:rPr>
        <w:t xml:space="preserve">Venator-Santiago, C.R. (2013) citado en Carrión, Á. “Intense Debate Over Changes in Puerto Rico's Political Status. </w:t>
      </w:r>
      <w:r w:rsidRPr="005140D0">
        <w:rPr>
          <w:rFonts w:eastAsia="Times New Roman"/>
          <w:i/>
          <w:szCs w:val="24"/>
          <w:lang w:val="en-US"/>
        </w:rPr>
        <w:t>Global Voices</w:t>
      </w:r>
      <w:r w:rsidRPr="005140D0">
        <w:rPr>
          <w:rFonts w:eastAsia="Times New Roman"/>
          <w:szCs w:val="24"/>
          <w:lang w:val="en-US"/>
        </w:rPr>
        <w:t xml:space="preserve">. Recuperado de </w:t>
      </w:r>
      <w:hyperlink r:id="rId76" w:history="1">
        <w:r w:rsidRPr="005140D0">
          <w:rPr>
            <w:rFonts w:eastAsia="Times New Roman"/>
            <w:szCs w:val="24"/>
            <w:lang w:val="en-US"/>
          </w:rPr>
          <w:t>http://globalvoicesonline.org/2013/08/12/intense-debate-over-changes-in-puerto-ricos-political-status/</w:t>
        </w:r>
      </w:hyperlink>
      <w:r w:rsidRPr="005140D0">
        <w:rPr>
          <w:rFonts w:eastAsia="Times New Roman"/>
          <w:szCs w:val="24"/>
          <w:lang w:val="en-US"/>
        </w:rPr>
        <w:t xml:space="preserve">. </w:t>
      </w:r>
      <w:r w:rsidRPr="00BD682C">
        <w:rPr>
          <w:rFonts w:eastAsia="Times New Roman"/>
          <w:szCs w:val="24"/>
        </w:rPr>
        <w:t>12 de agosto. Recuperado el 10 de enero de 2013.</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7538AA">
        <w:rPr>
          <w:rFonts w:eastAsia="Times New Roman"/>
          <w:szCs w:val="24"/>
        </w:rPr>
        <w:t xml:space="preserve">Vesey, J. (2013).  “Poll Shows Surprising Consensus on Immigration Reform”. </w:t>
      </w:r>
      <w:r w:rsidRPr="00AE55A3">
        <w:rPr>
          <w:rFonts w:eastAsia="Times New Roman"/>
          <w:i/>
          <w:szCs w:val="24"/>
          <w:lang w:val="es-ES"/>
        </w:rPr>
        <w:t>PolicyMic</w:t>
      </w:r>
      <w:r w:rsidRPr="00AE55A3">
        <w:rPr>
          <w:rFonts w:eastAsia="Times New Roman"/>
          <w:szCs w:val="24"/>
          <w:lang w:val="es-ES"/>
        </w:rPr>
        <w:t xml:space="preserve">. Recuperado de  </w:t>
      </w:r>
      <w:hyperlink r:id="rId77" w:history="1">
        <w:r w:rsidRPr="00E0419C">
          <w:rPr>
            <w:rFonts w:eastAsia="Times New Roman"/>
            <w:szCs w:val="24"/>
          </w:rPr>
          <w:t>http://www.policymic.com/articles/25257/immigration-reform-2013-poll-shows-surprising-consenus</w:t>
        </w:r>
      </w:hyperlink>
      <w:r w:rsidRPr="00E0419C">
        <w:rPr>
          <w:rFonts w:eastAsia="Times New Roman"/>
          <w:szCs w:val="24"/>
        </w:rPr>
        <w:t>.</w:t>
      </w: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91703D"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91703D">
        <w:rPr>
          <w:rFonts w:eastAsia="Times New Roman"/>
          <w:szCs w:val="24"/>
          <w:lang w:val="en-US"/>
        </w:rPr>
        <w:t xml:space="preserve">Villamil, </w:t>
      </w:r>
      <w:r>
        <w:rPr>
          <w:rFonts w:eastAsia="Times New Roman"/>
          <w:szCs w:val="24"/>
          <w:lang w:val="en-US"/>
        </w:rPr>
        <w:t xml:space="preserve">J. (2014). </w:t>
      </w:r>
      <w:r w:rsidRPr="0091703D">
        <w:rPr>
          <w:rFonts w:eastAsia="Times New Roman"/>
          <w:szCs w:val="24"/>
          <w:lang w:val="en-US"/>
        </w:rPr>
        <w:t>Why Puerto Rico’</w:t>
      </w:r>
      <w:r>
        <w:rPr>
          <w:rFonts w:eastAsia="Times New Roman"/>
          <w:szCs w:val="24"/>
          <w:lang w:val="en-US"/>
        </w:rPr>
        <w:t>s E</w:t>
      </w:r>
      <w:r w:rsidRPr="0091703D">
        <w:rPr>
          <w:rFonts w:eastAsia="Times New Roman"/>
          <w:szCs w:val="24"/>
          <w:lang w:val="en-US"/>
        </w:rPr>
        <w:t xml:space="preserve">conomy </w:t>
      </w:r>
      <w:r>
        <w:rPr>
          <w:rFonts w:eastAsia="Times New Roman"/>
          <w:szCs w:val="24"/>
          <w:lang w:val="en-US"/>
        </w:rPr>
        <w:t>M</w:t>
      </w:r>
      <w:r w:rsidRPr="0091703D">
        <w:rPr>
          <w:rFonts w:eastAsia="Times New Roman"/>
          <w:szCs w:val="24"/>
          <w:lang w:val="en-US"/>
        </w:rPr>
        <w:t xml:space="preserve">atters for </w:t>
      </w:r>
      <w:r>
        <w:rPr>
          <w:rFonts w:eastAsia="Times New Roman"/>
          <w:szCs w:val="24"/>
          <w:lang w:val="en-US"/>
        </w:rPr>
        <w:t xml:space="preserve">U.S. Security. </w:t>
      </w:r>
      <w:r w:rsidRPr="00D2158D">
        <w:rPr>
          <w:rFonts w:eastAsia="Times New Roman"/>
          <w:szCs w:val="24"/>
        </w:rPr>
        <w:t>CSIS American Program.</w:t>
      </w:r>
      <w:r>
        <w:rPr>
          <w:rFonts w:eastAsia="Times New Roman"/>
          <w:szCs w:val="24"/>
        </w:rPr>
        <w:t xml:space="preserve"> </w:t>
      </w:r>
      <w:r w:rsidRPr="0091703D">
        <w:rPr>
          <w:rFonts w:eastAsia="Times New Roman"/>
          <w:szCs w:val="24"/>
        </w:rPr>
        <w:t>Recuperado de: https://csis.org/files/publication/140124_Villamil_PuertoRicosEconomy_Web.pdf</w:t>
      </w:r>
    </w:p>
    <w:p w:rsidR="00B015EE" w:rsidRPr="0091703D"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AE55A3"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BD682C">
        <w:rPr>
          <w:rFonts w:eastAsia="Times New Roman"/>
          <w:szCs w:val="24"/>
        </w:rPr>
        <w:t xml:space="preserve">Villán Duran, C. (2002) </w:t>
      </w:r>
      <w:r w:rsidRPr="00AE55A3">
        <w:rPr>
          <w:rFonts w:eastAsia="Times New Roman"/>
          <w:i/>
          <w:szCs w:val="24"/>
        </w:rPr>
        <w:t>Curso de Derecho Internacional de Derechos Humanos</w:t>
      </w:r>
      <w:r w:rsidRPr="00BD682C">
        <w:rPr>
          <w:rFonts w:eastAsia="Times New Roman"/>
          <w:szCs w:val="24"/>
        </w:rPr>
        <w:t xml:space="preserve">. </w:t>
      </w:r>
      <w:r w:rsidRPr="00AE55A3">
        <w:rPr>
          <w:rFonts w:eastAsia="Times New Roman"/>
          <w:szCs w:val="24"/>
          <w:lang w:val="en-US"/>
        </w:rPr>
        <w:t>Madrid: Editorial Trotta.</w:t>
      </w:r>
    </w:p>
    <w:p w:rsidR="00B015EE" w:rsidRPr="00AE55A3"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AE55A3">
        <w:rPr>
          <w:rFonts w:eastAsia="Times New Roman"/>
          <w:szCs w:val="24"/>
          <w:lang w:val="en-US"/>
        </w:rPr>
        <w:t>Visser, Melénde</w:t>
      </w:r>
      <w:r>
        <w:rPr>
          <w:rFonts w:eastAsia="Times New Roman"/>
          <w:szCs w:val="24"/>
          <w:lang w:val="en-US"/>
        </w:rPr>
        <w:t xml:space="preserve">z. </w:t>
      </w:r>
      <w:r w:rsidRPr="005B5FEE">
        <w:rPr>
          <w:rFonts w:eastAsia="Times New Roman"/>
          <w:szCs w:val="24"/>
          <w:lang w:val="en-US"/>
        </w:rPr>
        <w:t xml:space="preserve">(2011). Puerto Ricans in the U.S. Low-wage Labor Market. </w:t>
      </w:r>
      <w:r w:rsidRPr="00AE55A3">
        <w:rPr>
          <w:rFonts w:eastAsia="Times New Roman"/>
          <w:i/>
          <w:szCs w:val="24"/>
          <w:lang w:val="en-US"/>
        </w:rPr>
        <w:t>Centro Journal</w:t>
      </w:r>
      <w:r>
        <w:rPr>
          <w:rFonts w:eastAsia="Times New Roman"/>
          <w:szCs w:val="24"/>
          <w:lang w:val="en-US"/>
        </w:rPr>
        <w:t>, XXIII (</w:t>
      </w:r>
      <w:r w:rsidRPr="005B5FEE">
        <w:rPr>
          <w:rFonts w:eastAsia="Times New Roman"/>
          <w:szCs w:val="24"/>
          <w:lang w:val="en-US"/>
        </w:rPr>
        <w:t>2</w:t>
      </w:r>
      <w:r>
        <w:rPr>
          <w:rFonts w:eastAsia="Times New Roman"/>
          <w:szCs w:val="24"/>
          <w:lang w:val="en-US"/>
        </w:rPr>
        <w:t>)</w:t>
      </w:r>
      <w:r w:rsidRPr="005B5FEE">
        <w:rPr>
          <w:rFonts w:eastAsia="Times New Roman"/>
          <w:szCs w:val="24"/>
          <w:lang w:val="en-US"/>
        </w:rPr>
        <w:t>.</w:t>
      </w:r>
    </w:p>
    <w:p w:rsidR="00B015EE" w:rsidRPr="005B5F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rPr>
      </w:pPr>
      <w:r>
        <w:rPr>
          <w:rFonts w:eastAsia="Times New Roman"/>
          <w:szCs w:val="24"/>
          <w:lang w:val="en-US"/>
        </w:rPr>
        <w:t xml:space="preserve">Waldman, P. (2013). </w:t>
      </w:r>
      <w:r w:rsidRPr="003D1A30">
        <w:rPr>
          <w:rFonts w:eastAsia="Times New Roman"/>
          <w:szCs w:val="24"/>
          <w:lang w:val="en-US"/>
        </w:rPr>
        <w:t xml:space="preserve">Why "Make Them Learn English" </w:t>
      </w:r>
      <w:r>
        <w:rPr>
          <w:rFonts w:eastAsia="Times New Roman"/>
          <w:szCs w:val="24"/>
          <w:lang w:val="en-US"/>
        </w:rPr>
        <w:t xml:space="preserve">Is the Key to Immigration Reform. </w:t>
      </w:r>
      <w:r w:rsidRPr="003D1A30">
        <w:rPr>
          <w:rFonts w:eastAsia="Times New Roman"/>
          <w:szCs w:val="24"/>
        </w:rPr>
        <w:t xml:space="preserve">Recuperado de  </w:t>
      </w:r>
      <w:hyperlink r:id="rId78" w:history="1">
        <w:r w:rsidRPr="006035BA">
          <w:rPr>
            <w:rStyle w:val="Hyperlink"/>
            <w:rFonts w:eastAsia="Times New Roman"/>
            <w:szCs w:val="24"/>
          </w:rPr>
          <w:t>http://prospect.org/article/why-make-them-learn-english-key-immigration-reform</w:t>
        </w:r>
      </w:hyperlink>
    </w:p>
    <w:p w:rsidR="00B015EE" w:rsidRPr="003D1A30"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5140D0"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Washington Post Editorial (2013</w:t>
      </w:r>
      <w:r>
        <w:rPr>
          <w:rFonts w:eastAsia="Times New Roman"/>
          <w:szCs w:val="24"/>
          <w:lang w:val="en-US"/>
        </w:rPr>
        <w:t xml:space="preserve">, noviembre 6). </w:t>
      </w:r>
      <w:r w:rsidRPr="005B5FEE">
        <w:rPr>
          <w:rFonts w:eastAsia="Times New Roman"/>
          <w:szCs w:val="24"/>
          <w:lang w:val="en-US"/>
        </w:rPr>
        <w:t>“</w:t>
      </w:r>
      <w:r>
        <w:rPr>
          <w:rFonts w:eastAsia="Times New Roman"/>
          <w:szCs w:val="24"/>
          <w:lang w:val="en-US"/>
        </w:rPr>
        <w:t>Puerto Rico’s sinking economy”.</w:t>
      </w:r>
      <w:r w:rsidRPr="00AE55A3">
        <w:rPr>
          <w:rFonts w:eastAsia="Times New Roman"/>
          <w:szCs w:val="24"/>
          <w:lang w:val="en-US"/>
        </w:rPr>
        <w:t xml:space="preserve"> </w:t>
      </w:r>
      <w:r w:rsidRPr="00AE55A3">
        <w:rPr>
          <w:rFonts w:eastAsia="Times New Roman"/>
          <w:i/>
          <w:szCs w:val="24"/>
          <w:lang w:val="en-US"/>
        </w:rPr>
        <w:t>The Washington Post</w:t>
      </w:r>
      <w:r>
        <w:rPr>
          <w:rFonts w:eastAsia="Times New Roman"/>
          <w:szCs w:val="24"/>
          <w:lang w:val="en-US"/>
        </w:rPr>
        <w:t xml:space="preserve">. </w:t>
      </w:r>
      <w:r w:rsidRPr="005140D0">
        <w:rPr>
          <w:rFonts w:eastAsia="Times New Roman"/>
          <w:szCs w:val="24"/>
        </w:rPr>
        <w:t xml:space="preserve">Recuperado de </w:t>
      </w:r>
      <w:hyperlink r:id="rId79" w:history="1">
        <w:r w:rsidRPr="005140D0">
          <w:rPr>
            <w:rFonts w:eastAsia="Times New Roman"/>
            <w:szCs w:val="24"/>
          </w:rPr>
          <w:t>http://www.washingtonpost.com/opinions/puerto-ricos-sinking-economy-needs-help/2013</w:t>
        </w:r>
      </w:hyperlink>
    </w:p>
    <w:p w:rsidR="00B015EE" w:rsidRPr="005140D0"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Pr="00E0419C" w:rsidRDefault="00B015EE" w:rsidP="007538AA">
      <w:pPr>
        <w:widowControl w:val="0"/>
        <w:tabs>
          <w:tab w:val="left" w:pos="630"/>
        </w:tabs>
        <w:autoSpaceDE w:val="0"/>
        <w:autoSpaceDN w:val="0"/>
        <w:spacing w:line="240" w:lineRule="auto"/>
        <w:ind w:left="720" w:hanging="720"/>
        <w:jc w:val="left"/>
        <w:rPr>
          <w:rFonts w:eastAsia="Times New Roman"/>
          <w:szCs w:val="24"/>
        </w:rPr>
      </w:pPr>
      <w:r w:rsidRPr="005B5FEE">
        <w:rPr>
          <w:rFonts w:eastAsia="Times New Roman"/>
          <w:szCs w:val="24"/>
          <w:lang w:val="en-US"/>
        </w:rPr>
        <w:t>Weise, K. (2013</w:t>
      </w:r>
      <w:r>
        <w:rPr>
          <w:rFonts w:eastAsia="Times New Roman"/>
          <w:szCs w:val="24"/>
          <w:lang w:val="en-US"/>
        </w:rPr>
        <w:t xml:space="preserve">, octubre 14). </w:t>
      </w:r>
      <w:r w:rsidRPr="005B5FEE">
        <w:rPr>
          <w:rFonts w:eastAsia="Times New Roman"/>
          <w:szCs w:val="24"/>
          <w:lang w:val="en-US"/>
        </w:rPr>
        <w:t xml:space="preserve">“Tea Party's House Seats Might Not Be All That Safe”, </w:t>
      </w:r>
      <w:r w:rsidRPr="00AE55A3">
        <w:rPr>
          <w:rFonts w:eastAsia="Times New Roman"/>
          <w:i/>
          <w:szCs w:val="24"/>
          <w:lang w:val="en-US"/>
        </w:rPr>
        <w:t>Bloomberg BusinessWeek.</w:t>
      </w:r>
      <w:r>
        <w:rPr>
          <w:rFonts w:eastAsia="Times New Roman"/>
          <w:szCs w:val="24"/>
          <w:lang w:val="en-US"/>
        </w:rPr>
        <w:t xml:space="preserve"> </w:t>
      </w:r>
      <w:r w:rsidRPr="00AE55A3">
        <w:rPr>
          <w:rFonts w:eastAsia="Times New Roman"/>
          <w:szCs w:val="24"/>
          <w:lang w:val="es-ES"/>
        </w:rPr>
        <w:t xml:space="preserve">Recuperado de </w:t>
      </w:r>
      <w:hyperlink r:id="rId80" w:history="1">
        <w:r w:rsidRPr="00E0419C">
          <w:rPr>
            <w:rFonts w:eastAsia="Times New Roman"/>
            <w:szCs w:val="24"/>
          </w:rPr>
          <w:t>http://www.businessweek.com/articles/2013-10-14/tea-partys-house-seats-might-not-be-all-that-safe</w:t>
        </w:r>
      </w:hyperlink>
    </w:p>
    <w:p w:rsidR="00B015EE" w:rsidRPr="00E0419C" w:rsidRDefault="00B015EE" w:rsidP="007538AA">
      <w:pPr>
        <w:widowControl w:val="0"/>
        <w:tabs>
          <w:tab w:val="left" w:pos="630"/>
        </w:tabs>
        <w:autoSpaceDE w:val="0"/>
        <w:autoSpaceDN w:val="0"/>
        <w:spacing w:line="240" w:lineRule="auto"/>
        <w:ind w:left="720" w:hanging="720"/>
        <w:jc w:val="left"/>
        <w:rPr>
          <w:rFonts w:eastAsia="Times New Roman"/>
          <w:szCs w:val="24"/>
        </w:rPr>
      </w:pPr>
    </w:p>
    <w:p w:rsidR="00B015EE"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Williams Wash M. (2013</w:t>
      </w:r>
      <w:r>
        <w:rPr>
          <w:rFonts w:eastAsia="Times New Roman"/>
          <w:szCs w:val="24"/>
          <w:lang w:val="en-US"/>
        </w:rPr>
        <w:t>, octubre 7</w:t>
      </w:r>
      <w:r w:rsidRPr="005B5FEE">
        <w:rPr>
          <w:rFonts w:eastAsia="Times New Roman"/>
          <w:szCs w:val="24"/>
          <w:lang w:val="en-US"/>
        </w:rPr>
        <w:t xml:space="preserve">). “Worsening Debt Crisis Threatens Puerto Rico”. </w:t>
      </w:r>
      <w:r w:rsidRPr="00AE55A3">
        <w:rPr>
          <w:rFonts w:eastAsia="Times New Roman"/>
          <w:i/>
          <w:szCs w:val="24"/>
          <w:lang w:val="en-US"/>
        </w:rPr>
        <w:t>The New York Times</w:t>
      </w:r>
      <w:r w:rsidRPr="005B5FEE">
        <w:rPr>
          <w:rFonts w:eastAsia="Times New Roman"/>
          <w:szCs w:val="24"/>
          <w:lang w:val="en-US"/>
        </w:rPr>
        <w:t>.</w:t>
      </w:r>
      <w:r>
        <w:rPr>
          <w:rFonts w:eastAsia="Times New Roman"/>
          <w:szCs w:val="24"/>
          <w:lang w:val="en-US"/>
        </w:rPr>
        <w:t xml:space="preserve"> </w:t>
      </w:r>
      <w:r w:rsidRPr="00E846B9">
        <w:rPr>
          <w:rFonts w:eastAsia="Times New Roman"/>
          <w:szCs w:val="24"/>
          <w:lang w:val="en-US"/>
        </w:rPr>
        <w:t>Recuperado de http://dealbook.nytimes.com/2013/10/07/worsening-debt-crisis-threatens-puerto-rico/?_r=0&amp;pagewanted=print.</w:t>
      </w: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5B5FEE">
        <w:rPr>
          <w:rFonts w:eastAsia="Times New Roman"/>
          <w:szCs w:val="24"/>
          <w:lang w:val="en-US"/>
        </w:rPr>
        <w:t>Yoon, A., Wirz M., Cherney, M. (2014</w:t>
      </w:r>
      <w:r>
        <w:rPr>
          <w:rFonts w:eastAsia="Times New Roman"/>
          <w:szCs w:val="24"/>
          <w:lang w:val="en-US"/>
        </w:rPr>
        <w:t>, febrero 4</w:t>
      </w:r>
      <w:r w:rsidRPr="005B5FEE">
        <w:rPr>
          <w:rFonts w:eastAsia="Times New Roman"/>
          <w:szCs w:val="24"/>
          <w:lang w:val="en-US"/>
        </w:rPr>
        <w:t>). “S&amp;P Pushes Puerto Rico Rating Into Junk Territory</w:t>
      </w:r>
      <w:r>
        <w:rPr>
          <w:rFonts w:eastAsia="Times New Roman"/>
          <w:szCs w:val="24"/>
          <w:lang w:val="en-US"/>
        </w:rPr>
        <w:t xml:space="preserve"> </w:t>
      </w:r>
      <w:r w:rsidRPr="005B5FEE">
        <w:rPr>
          <w:rFonts w:eastAsia="Times New Roman"/>
          <w:szCs w:val="24"/>
          <w:lang w:val="en-US"/>
        </w:rPr>
        <w:t xml:space="preserve">Move Could Make It More Expensive for Island to Borrow”. </w:t>
      </w:r>
      <w:r w:rsidRPr="002A159D">
        <w:rPr>
          <w:rFonts w:eastAsia="Times New Roman"/>
          <w:i/>
          <w:szCs w:val="24"/>
          <w:lang w:val="en-US"/>
        </w:rPr>
        <w:t>The Wall Street Journal</w:t>
      </w:r>
      <w:r w:rsidRPr="005B5FEE">
        <w:rPr>
          <w:rFonts w:eastAsia="Times New Roman"/>
          <w:szCs w:val="24"/>
          <w:lang w:val="en-US"/>
        </w:rPr>
        <w:t xml:space="preserve">. </w:t>
      </w:r>
      <w:r w:rsidRPr="00437C6A">
        <w:rPr>
          <w:rFonts w:eastAsia="Times New Roman"/>
          <w:szCs w:val="24"/>
          <w:lang w:val="en-US"/>
        </w:rPr>
        <w:t xml:space="preserve">Recuperado de </w:t>
      </w:r>
      <w:hyperlink r:id="rId81" w:history="1">
        <w:r w:rsidRPr="00437C6A">
          <w:rPr>
            <w:rFonts w:eastAsia="Times New Roman"/>
            <w:szCs w:val="24"/>
            <w:lang w:val="en-US"/>
          </w:rPr>
          <w:t>http://online.wsj.com/news/articles/SB10001424052702303442704579363160047845626?mg=reno64wsj&amp;url=http%3A%2F%2Fonline.wsj.com%2Farticle%2FSB10001424052702303442704579363160047845626.html</w:t>
        </w:r>
      </w:hyperlink>
      <w:r w:rsidRPr="00437C6A">
        <w:rPr>
          <w:rFonts w:eastAsia="Times New Roman"/>
          <w:szCs w:val="24"/>
          <w:lang w:val="en-US"/>
        </w:rPr>
        <w:t>.</w:t>
      </w:r>
    </w:p>
    <w:p w:rsidR="00B015EE" w:rsidRPr="00437C6A"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E846B9"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r w:rsidRPr="00EC5C42">
        <w:rPr>
          <w:rFonts w:eastAsia="Times New Roman"/>
          <w:szCs w:val="24"/>
          <w:lang w:val="es-ES"/>
        </w:rPr>
        <w:t xml:space="preserve">Zamansky J. (2013, diciembre 2). “Is Puerto Rico Too Big To Fail?”. </w:t>
      </w:r>
      <w:r w:rsidRPr="002A159D">
        <w:rPr>
          <w:rFonts w:eastAsia="Times New Roman"/>
          <w:i/>
          <w:szCs w:val="24"/>
          <w:lang w:val="es-ES"/>
        </w:rPr>
        <w:t>Forbes</w:t>
      </w:r>
      <w:r w:rsidRPr="002A159D">
        <w:rPr>
          <w:rFonts w:eastAsia="Times New Roman"/>
          <w:szCs w:val="24"/>
          <w:lang w:val="es-ES"/>
        </w:rPr>
        <w:t xml:space="preserve">. Recuperado de  </w:t>
      </w:r>
      <w:hyperlink r:id="rId82" w:history="1">
        <w:r w:rsidRPr="00E0419C">
          <w:rPr>
            <w:rFonts w:eastAsia="Times New Roman"/>
            <w:szCs w:val="24"/>
            <w:lang w:val="es-AR"/>
          </w:rPr>
          <w:t>http://www.forbes.com/sites/jakezamansky/2013/12/02/is-puerto-rico-too-big-to-fail/</w:t>
        </w:r>
      </w:hyperlink>
      <w:r w:rsidRPr="00E0419C">
        <w:rPr>
          <w:rFonts w:eastAsia="Times New Roman"/>
          <w:szCs w:val="24"/>
          <w:lang w:val="es-AR"/>
        </w:rPr>
        <w:t xml:space="preserve">. </w:t>
      </w:r>
      <w:r w:rsidRPr="00E846B9">
        <w:rPr>
          <w:rFonts w:eastAsia="Times New Roman"/>
          <w:szCs w:val="24"/>
          <w:lang w:val="en-US"/>
        </w:rPr>
        <w:t xml:space="preserve">12/02/2013   </w:t>
      </w:r>
    </w:p>
    <w:p w:rsidR="00B015EE" w:rsidRPr="00EC5C42" w:rsidRDefault="00B015EE" w:rsidP="007538AA">
      <w:pPr>
        <w:widowControl w:val="0"/>
        <w:tabs>
          <w:tab w:val="left" w:pos="630"/>
        </w:tabs>
        <w:autoSpaceDE w:val="0"/>
        <w:autoSpaceDN w:val="0"/>
        <w:spacing w:line="240" w:lineRule="auto"/>
        <w:ind w:left="720" w:hanging="720"/>
        <w:jc w:val="left"/>
        <w:rPr>
          <w:rFonts w:eastAsia="Times New Roman"/>
          <w:szCs w:val="24"/>
          <w:lang w:val="en-US"/>
        </w:rPr>
      </w:pPr>
    </w:p>
    <w:p w:rsidR="00B015EE" w:rsidRPr="002A159D" w:rsidRDefault="00B015EE" w:rsidP="007538AA">
      <w:pPr>
        <w:widowControl w:val="0"/>
        <w:tabs>
          <w:tab w:val="left" w:pos="630"/>
        </w:tabs>
        <w:autoSpaceDE w:val="0"/>
        <w:autoSpaceDN w:val="0"/>
        <w:spacing w:line="240" w:lineRule="auto"/>
        <w:ind w:left="720" w:hanging="720"/>
        <w:jc w:val="left"/>
        <w:rPr>
          <w:rFonts w:eastAsia="Times New Roman"/>
          <w:szCs w:val="24"/>
          <w:lang w:val="es-ES"/>
        </w:rPr>
      </w:pPr>
      <w:r w:rsidRPr="005B5FEE">
        <w:rPr>
          <w:rFonts w:eastAsia="Times New Roman"/>
          <w:szCs w:val="24"/>
          <w:lang w:val="en-US"/>
        </w:rPr>
        <w:t>Zina L. Watkins</w:t>
      </w:r>
      <w:r>
        <w:rPr>
          <w:rFonts w:eastAsia="Times New Roman"/>
          <w:szCs w:val="24"/>
          <w:lang w:val="en-US"/>
        </w:rPr>
        <w:t>. (2008).</w:t>
      </w:r>
      <w:r w:rsidRPr="002A159D">
        <w:rPr>
          <w:rFonts w:eastAsia="Times New Roman"/>
          <w:i/>
          <w:szCs w:val="24"/>
          <w:lang w:val="en-US"/>
        </w:rPr>
        <w:t>Lobbyists and Interest Groups: Sources of</w:t>
      </w:r>
      <w:r>
        <w:rPr>
          <w:rFonts w:eastAsia="Times New Roman"/>
          <w:i/>
          <w:szCs w:val="24"/>
          <w:lang w:val="en-US"/>
        </w:rPr>
        <w:t xml:space="preserve"> </w:t>
      </w:r>
      <w:r w:rsidRPr="002A159D">
        <w:rPr>
          <w:rFonts w:eastAsia="Times New Roman"/>
          <w:i/>
          <w:szCs w:val="24"/>
          <w:lang w:val="en-US"/>
        </w:rPr>
        <w:t>Information</w:t>
      </w:r>
      <w:r>
        <w:rPr>
          <w:rFonts w:eastAsia="Times New Roman"/>
          <w:i/>
          <w:szCs w:val="24"/>
          <w:lang w:val="en-US"/>
        </w:rPr>
        <w:t>.</w:t>
      </w:r>
      <w:r>
        <w:rPr>
          <w:rFonts w:eastAsia="Times New Roman"/>
          <w:szCs w:val="24"/>
          <w:lang w:val="en-US"/>
        </w:rPr>
        <w:t>(Congressional Reaserch Service Report</w:t>
      </w:r>
      <w:r w:rsidRPr="002A159D">
        <w:rPr>
          <w:lang w:val="en-US"/>
        </w:rPr>
        <w:t xml:space="preserve"> </w:t>
      </w:r>
      <w:r w:rsidRPr="002A159D">
        <w:rPr>
          <w:rFonts w:eastAsia="Times New Roman"/>
          <w:szCs w:val="24"/>
          <w:lang w:val="en-US"/>
        </w:rPr>
        <w:t>RS20725</w:t>
      </w:r>
      <w:r>
        <w:rPr>
          <w:rFonts w:eastAsia="Times New Roman"/>
          <w:szCs w:val="24"/>
          <w:lang w:val="en-US"/>
        </w:rPr>
        <w:t xml:space="preserve">).  </w:t>
      </w:r>
      <w:r w:rsidRPr="002A159D">
        <w:rPr>
          <w:rFonts w:eastAsia="Times New Roman"/>
          <w:szCs w:val="24"/>
          <w:lang w:val="es-ES"/>
        </w:rPr>
        <w:t xml:space="preserve">Recuperado de </w:t>
      </w:r>
      <w:hyperlink r:id="rId83" w:history="1">
        <w:r w:rsidRPr="002A159D">
          <w:rPr>
            <w:rFonts w:eastAsia="Times New Roman"/>
            <w:szCs w:val="24"/>
            <w:lang w:val="es-ES"/>
          </w:rPr>
          <w:t>http://www.senate.gov/reference/resources/pdf/RS20725.pdf</w:t>
        </w:r>
      </w:hyperlink>
    </w:p>
    <w:p w:rsidR="00B015EE" w:rsidRPr="00437C6A" w:rsidRDefault="00B015EE" w:rsidP="00B015EE">
      <w:pPr>
        <w:spacing w:line="240" w:lineRule="auto"/>
        <w:ind w:firstLine="0"/>
        <w:jc w:val="left"/>
        <w:rPr>
          <w:rFonts w:ascii="Garamond" w:eastAsia="Times New Roman" w:hAnsi="Garamond" w:cs="Garamond"/>
          <w:sz w:val="20"/>
          <w:szCs w:val="20"/>
          <w:lang w:val="es-ES"/>
        </w:rPr>
      </w:pPr>
    </w:p>
    <w:p w:rsidR="00437C6A" w:rsidRPr="00B015EE" w:rsidRDefault="00437C6A" w:rsidP="005A5E7D">
      <w:pPr>
        <w:pStyle w:val="Subtitle"/>
        <w:rPr>
          <w:sz w:val="16"/>
          <w:lang w:val="es-ES"/>
        </w:rPr>
        <w:sectPr w:rsidR="00437C6A" w:rsidRPr="00B015EE">
          <w:headerReference w:type="default" r:id="rId84"/>
          <w:pgSz w:w="12240" w:h="15840"/>
          <w:pgMar w:top="1440" w:right="1440" w:bottom="1440" w:left="1418" w:gutter="0"/>
          <w:titlePg/>
          <w:docGrid w:linePitch="360" w:charSpace="-2049"/>
        </w:sectPr>
      </w:pPr>
    </w:p>
    <w:p w:rsidR="005A5E7D" w:rsidRPr="0072366A" w:rsidRDefault="005A5E7D" w:rsidP="005A5E7D">
      <w:pPr>
        <w:pStyle w:val="Subtitle"/>
        <w:rPr>
          <w:sz w:val="16"/>
        </w:rPr>
      </w:pPr>
    </w:p>
    <w:p w:rsidR="005A5E7D" w:rsidRPr="00D97A60" w:rsidRDefault="005A5E7D" w:rsidP="005A5E7D">
      <w:pPr>
        <w:pStyle w:val="Heading1"/>
        <w:spacing w:before="0"/>
      </w:pPr>
      <w:bookmarkStart w:id="25" w:name="_Toc384769727"/>
      <w:r w:rsidRPr="00D97A60">
        <w:t>C</w:t>
      </w:r>
      <w:r>
        <w:t>apítulo</w:t>
      </w:r>
      <w:r w:rsidRPr="00D97A60">
        <w:t xml:space="preserve"> 2:</w:t>
      </w:r>
      <w:r>
        <w:t xml:space="preserve"> Reseña de la l</w:t>
      </w:r>
      <w:r w:rsidRPr="00D97A60">
        <w:t>iteratura</w:t>
      </w:r>
      <w:bookmarkEnd w:id="25"/>
    </w:p>
    <w:p w:rsidR="005A5E7D" w:rsidRPr="0074665E" w:rsidRDefault="005A5E7D" w:rsidP="005A5E7D">
      <w:pPr>
        <w:spacing w:line="240" w:lineRule="auto"/>
        <w:ind w:firstLine="0"/>
        <w:jc w:val="right"/>
        <w:rPr>
          <w:rFonts w:eastAsia="Cambria"/>
          <w:b/>
          <w:i/>
          <w:szCs w:val="24"/>
        </w:rPr>
      </w:pPr>
      <w:r>
        <w:rPr>
          <w:rFonts w:eastAsia="Cambria"/>
          <w:b/>
          <w:i/>
          <w:szCs w:val="24"/>
        </w:rPr>
        <w:t>Á</w:t>
      </w:r>
      <w:r w:rsidRPr="0074665E">
        <w:rPr>
          <w:rFonts w:eastAsia="Cambria"/>
          <w:b/>
          <w:i/>
          <w:szCs w:val="24"/>
        </w:rPr>
        <w:t>ngel L. Ruiz</w:t>
      </w:r>
    </w:p>
    <w:p w:rsidR="005A5E7D" w:rsidRPr="003A21B9" w:rsidRDefault="005A5E7D" w:rsidP="005A5E7D">
      <w:pPr>
        <w:suppressAutoHyphens/>
        <w:spacing w:line="240" w:lineRule="auto"/>
        <w:ind w:left="706" w:firstLine="706"/>
        <w:jc w:val="right"/>
        <w:rPr>
          <w:rFonts w:eastAsia="+mn-ea"/>
          <w:i/>
          <w:color w:val="000000"/>
          <w:kern w:val="1"/>
          <w:lang w:eastAsia="ar-SA"/>
        </w:rPr>
      </w:pPr>
      <w:r>
        <w:rPr>
          <w:rFonts w:eastAsia="+mn-ea"/>
          <w:i/>
          <w:color w:val="000000"/>
          <w:kern w:val="1"/>
          <w:lang w:eastAsia="ar-SA"/>
        </w:rPr>
        <w:t>Facultad de Ciencias Económicas y Administrativas,</w:t>
      </w:r>
    </w:p>
    <w:p w:rsidR="005A5E7D" w:rsidRPr="005B5FEE" w:rsidRDefault="005A5E7D" w:rsidP="005A5E7D">
      <w:pPr>
        <w:suppressAutoHyphens/>
        <w:spacing w:line="240" w:lineRule="auto"/>
        <w:ind w:left="706" w:firstLine="706"/>
        <w:jc w:val="right"/>
        <w:rPr>
          <w:rFonts w:eastAsia="+mn-ea"/>
          <w:i/>
          <w:color w:val="000000"/>
          <w:kern w:val="1"/>
          <w:lang w:val="en-US" w:eastAsia="ar-SA"/>
        </w:rPr>
      </w:pPr>
      <w:r w:rsidRPr="005B5FEE">
        <w:rPr>
          <w:rFonts w:eastAsia="+mn-ea"/>
          <w:i/>
          <w:color w:val="000000"/>
          <w:kern w:val="1"/>
          <w:lang w:val="en-US" w:eastAsia="ar-SA"/>
        </w:rPr>
        <w:t>Universidad Interamericana</w:t>
      </w:r>
    </w:p>
    <w:p w:rsidR="005A5E7D" w:rsidRPr="005B5FEE" w:rsidRDefault="005A5E7D" w:rsidP="005A5E7D">
      <w:pPr>
        <w:suppressAutoHyphens/>
        <w:spacing w:line="240" w:lineRule="auto"/>
        <w:ind w:left="706" w:firstLine="706"/>
        <w:jc w:val="right"/>
        <w:rPr>
          <w:rFonts w:eastAsia="+mn-ea"/>
          <w:i/>
          <w:color w:val="000000"/>
          <w:kern w:val="1"/>
          <w:lang w:val="en-US" w:eastAsia="ar-SA"/>
        </w:rPr>
      </w:pPr>
      <w:r w:rsidRPr="005B5FEE">
        <w:rPr>
          <w:rFonts w:eastAsia="+mn-ea"/>
          <w:i/>
          <w:color w:val="000000"/>
          <w:kern w:val="1"/>
          <w:lang w:val="en-US" w:eastAsia="ar-SA"/>
        </w:rPr>
        <w:t>Recinto Metropolitano</w:t>
      </w:r>
    </w:p>
    <w:p w:rsidR="005A5E7D" w:rsidRPr="005B5FEE" w:rsidRDefault="005A5E7D" w:rsidP="005A5E7D">
      <w:pPr>
        <w:suppressAutoHyphens/>
        <w:spacing w:line="240" w:lineRule="auto"/>
        <w:ind w:left="706" w:firstLine="706"/>
        <w:jc w:val="right"/>
        <w:rPr>
          <w:rFonts w:eastAsia="+mn-ea"/>
          <w:i/>
          <w:color w:val="000000"/>
          <w:kern w:val="1"/>
          <w:lang w:val="en-US" w:eastAsia="ar-SA"/>
        </w:rPr>
      </w:pPr>
    </w:p>
    <w:p w:rsidR="005A5E7D" w:rsidRPr="005B5FEE" w:rsidRDefault="005A5E7D" w:rsidP="005A5E7D">
      <w:pPr>
        <w:suppressAutoHyphens/>
        <w:spacing w:line="240" w:lineRule="auto"/>
        <w:ind w:left="706" w:firstLine="706"/>
        <w:jc w:val="right"/>
        <w:rPr>
          <w:rFonts w:eastAsia="+mn-ea"/>
          <w:i/>
          <w:color w:val="000000"/>
          <w:kern w:val="1"/>
          <w:szCs w:val="24"/>
          <w:lang w:val="en-US" w:eastAsia="ar-SA"/>
        </w:rPr>
      </w:pPr>
    </w:p>
    <w:p w:rsidR="005A5E7D" w:rsidRPr="005B5FEE" w:rsidRDefault="005A5E7D" w:rsidP="005A5E7D">
      <w:pPr>
        <w:spacing w:line="240" w:lineRule="auto"/>
        <w:ind w:left="2790" w:firstLine="0"/>
        <w:rPr>
          <w:lang w:val="en-US"/>
        </w:rPr>
      </w:pPr>
      <w:r w:rsidRPr="005B5FEE">
        <w:rPr>
          <w:lang w:val="en-US"/>
        </w:rPr>
        <w:t>“In particular, solution of these crises is a matter for which the issue of status is totally irrelevant. If Puerto Rico becomes a state, no one wants it to become an impoverished state; if it becomes an enhanced commonwealth, we do not want it to become an impoverished commonwealth; and if it becomes independent surely no one wants it to become yet another impoverished Caribbean Island</w:t>
      </w:r>
      <w:r>
        <w:rPr>
          <w:lang w:val="en-US"/>
        </w:rPr>
        <w:t>.”</w:t>
      </w:r>
    </w:p>
    <w:p w:rsidR="005A5E7D" w:rsidRPr="00AF2F01" w:rsidRDefault="005A5E7D" w:rsidP="005A5E7D">
      <w:pPr>
        <w:spacing w:line="240" w:lineRule="auto"/>
        <w:ind w:left="2268" w:firstLine="567"/>
        <w:jc w:val="right"/>
      </w:pPr>
      <w:r w:rsidRPr="00AF2F01">
        <w:t>William Baumol</w:t>
      </w:r>
    </w:p>
    <w:p w:rsidR="005A5E7D" w:rsidRPr="00AF2F01" w:rsidRDefault="005A5E7D" w:rsidP="005A5E7D">
      <w:pPr>
        <w:spacing w:line="360" w:lineRule="auto"/>
        <w:rPr>
          <w:sz w:val="28"/>
        </w:rPr>
      </w:pPr>
    </w:p>
    <w:p w:rsidR="005A5E7D" w:rsidRPr="00583822" w:rsidRDefault="005A5E7D" w:rsidP="00CB3560">
      <w:pPr>
        <w:pStyle w:val="Heading2"/>
        <w:numPr>
          <w:ilvl w:val="0"/>
          <w:numId w:val="22"/>
        </w:numPr>
      </w:pPr>
      <w:bookmarkStart w:id="26" w:name="_Toc384769728"/>
      <w:r>
        <w:t>Introducció</w:t>
      </w:r>
      <w:r w:rsidRPr="00E47FE3">
        <w:t>n</w:t>
      </w:r>
      <w:bookmarkEnd w:id="26"/>
    </w:p>
    <w:p w:rsidR="005A5E7D" w:rsidRDefault="005A5E7D" w:rsidP="005A5E7D">
      <w:pPr>
        <w:spacing w:line="240" w:lineRule="auto"/>
      </w:pPr>
    </w:p>
    <w:p w:rsidR="005A5E7D" w:rsidRDefault="005A5E7D" w:rsidP="005A5E7D">
      <w:r w:rsidRPr="00347FF0">
        <w:t>El propósito de este capítulo es reseñar alguna de la literatura m</w:t>
      </w:r>
      <w:r>
        <w:t>á</w:t>
      </w:r>
      <w:r w:rsidRPr="00347FF0">
        <w:t xml:space="preserve">s importante sobre el impacto económico de las diferentes opciones de </w:t>
      </w:r>
      <w:r>
        <w:t>estatus</w:t>
      </w:r>
      <w:r w:rsidRPr="00347FF0">
        <w:t xml:space="preserve"> político para Puerto Rico. La reseña toma como punto de partida, principalmente, los trabajos presentados al Congreso</w:t>
      </w:r>
      <w:r>
        <w:t xml:space="preserve"> de Estados Unidos</w:t>
      </w:r>
      <w:r w:rsidRPr="00347FF0">
        <w:t xml:space="preserve"> por los partidos políticos puertorriqueños durante el debate plebiscitario de 1989 al 1991, trabajos previos y otros m</w:t>
      </w:r>
      <w:r>
        <w:t>ás recientes.</w:t>
      </w:r>
    </w:p>
    <w:p w:rsidR="005A5E7D" w:rsidRDefault="005A5E7D" w:rsidP="005A5E7D">
      <w:r w:rsidRPr="00347FF0">
        <w:t>Mucho de lo discutido durante ese proceso se resumió en un libro publicado por la Unive</w:t>
      </w:r>
      <w:r>
        <w:t xml:space="preserve">rsidad Interamericana bajo el título de </w:t>
      </w:r>
      <w:r w:rsidRPr="00C9271F">
        <w:rPr>
          <w:i/>
        </w:rPr>
        <w:t>Economic Effects of the Political Options for Puerto Rico</w:t>
      </w:r>
      <w:r w:rsidRPr="00347FF0">
        <w:t xml:space="preserve"> (Edwin Meléndez y Ángel Ruiz, 1998). En este estudio colaboraron los i</w:t>
      </w:r>
      <w:r>
        <w:t>nvestigadores Javier Colon More</w:t>
      </w:r>
      <w:r w:rsidRPr="00347FF0">
        <w:t xml:space="preserve">ra, Edwin Meléndez, Ángel L. Ruiz, Carlos Santiago, Erik Negrón, Claudia Green y Jaime Bofill. Se discutieron tópicos tales como: escenarios políticos y económicos futuros bajo diferentes opciones de estatus políticos, empleo y migración, impactos fiscales, asuntos relacionados </w:t>
      </w:r>
      <w:r>
        <w:t>con</w:t>
      </w:r>
      <w:r w:rsidRPr="00347FF0">
        <w:t xml:space="preserve"> la eliminación de la </w:t>
      </w:r>
      <w:r>
        <w:t>S</w:t>
      </w:r>
      <w:r w:rsidRPr="00347FF0">
        <w:t>ección 936 del Código de Rentas Internas</w:t>
      </w:r>
      <w:r w:rsidRPr="00583822">
        <w:rPr>
          <w:lang w:val="es-ES_tradnl"/>
        </w:rPr>
        <w:t xml:space="preserve"> </w:t>
      </w:r>
      <w:r>
        <w:t>f</w:t>
      </w:r>
      <w:r w:rsidRPr="00347FF0">
        <w:t>e</w:t>
      </w:r>
      <w:r>
        <w:t>deral, política industrial, perí</w:t>
      </w:r>
      <w:r w:rsidRPr="00347FF0">
        <w:t xml:space="preserve">odos de transición, problemas relacionados </w:t>
      </w:r>
      <w:r>
        <w:t>con</w:t>
      </w:r>
      <w:r w:rsidRPr="00347FF0">
        <w:t xml:space="preserve"> las transferencias federales, impacto económico en la economía</w:t>
      </w:r>
      <w:r>
        <w:t xml:space="preserve"> de los Estados Unidos y otros.</w:t>
      </w:r>
    </w:p>
    <w:p w:rsidR="005A5E7D" w:rsidRDefault="005A5E7D" w:rsidP="005A5E7D">
      <w:pPr>
        <w:rPr>
          <w:lang w:val="es-ES_tradnl"/>
        </w:rPr>
      </w:pPr>
      <w:r>
        <w:t>Hay o</w:t>
      </w:r>
      <w:r w:rsidRPr="00347FF0">
        <w:t>tros estudios</w:t>
      </w:r>
      <w:r>
        <w:t xml:space="preserve"> que</w:t>
      </w:r>
      <w:r w:rsidRPr="00347FF0">
        <w:t xml:space="preserve"> forman p</w:t>
      </w:r>
      <w:r>
        <w:t xml:space="preserve">arte de las encomiendas de algunos </w:t>
      </w:r>
      <w:r w:rsidRPr="00347FF0">
        <w:t xml:space="preserve">de los partidos políticos y </w:t>
      </w:r>
      <w:r>
        <w:t xml:space="preserve">que </w:t>
      </w:r>
      <w:r w:rsidRPr="00347FF0">
        <w:t>van dirigidos a ofrecer argumentos a favor de alguna de las opciones de</w:t>
      </w:r>
      <w:r w:rsidRPr="00583822">
        <w:rPr>
          <w:lang w:val="es-ES_tradnl"/>
        </w:rPr>
        <w:t xml:space="preserve"> estatus políticos o sus implicaciones para el país. Entre e</w:t>
      </w:r>
      <w:r>
        <w:rPr>
          <w:lang w:val="es-ES_tradnl"/>
        </w:rPr>
        <w:t>ll</w:t>
      </w:r>
      <w:r w:rsidRPr="00583822">
        <w:rPr>
          <w:lang w:val="es-ES_tradnl"/>
        </w:rPr>
        <w:t>os</w:t>
      </w:r>
      <w:r>
        <w:rPr>
          <w:lang w:val="es-ES_tradnl"/>
        </w:rPr>
        <w:t xml:space="preserve"> podemos menciona</w:t>
      </w:r>
      <w:r w:rsidRPr="00583822">
        <w:rPr>
          <w:lang w:val="es-ES_tradnl"/>
        </w:rPr>
        <w:t>r los realizados por Bertram Finn (B. Finn, 1</w:t>
      </w:r>
      <w:r>
        <w:rPr>
          <w:lang w:val="es-ES_tradnl"/>
        </w:rPr>
        <w:t>980, 1983), Vanessa Badillo (V. B</w:t>
      </w:r>
      <w:r w:rsidRPr="00583822">
        <w:rPr>
          <w:lang w:val="es-ES_tradnl"/>
        </w:rPr>
        <w:t>adillo</w:t>
      </w:r>
      <w:r>
        <w:rPr>
          <w:lang w:val="es-ES_tradnl"/>
        </w:rPr>
        <w:t>,</w:t>
      </w:r>
      <w:r w:rsidRPr="00583822">
        <w:rPr>
          <w:lang w:val="es-ES_tradnl"/>
        </w:rPr>
        <w:t xml:space="preserve"> 2005), Rita Maldonado (1974), Glenn Jenkins y Thomas Hexner (1993 y 1998), Michael McKee (1990), Peat Marwick (1990), GAO (1990, 1996,</w:t>
      </w:r>
      <w:r>
        <w:rPr>
          <w:lang w:val="es-ES_tradnl"/>
        </w:rPr>
        <w:t xml:space="preserve"> 1998, 2006), Don Soifer (2010) y</w:t>
      </w:r>
      <w:r w:rsidRPr="00583822">
        <w:rPr>
          <w:lang w:val="es-ES_tradnl"/>
        </w:rPr>
        <w:t xml:space="preserve"> Fernando</w:t>
      </w:r>
      <w:r>
        <w:rPr>
          <w:lang w:val="es-ES_tradnl"/>
        </w:rPr>
        <w:t xml:space="preserve"> </w:t>
      </w:r>
      <w:r w:rsidRPr="00583822">
        <w:rPr>
          <w:lang w:val="es-ES_tradnl"/>
        </w:rPr>
        <w:t xml:space="preserve">Lefort </w:t>
      </w:r>
      <w:r>
        <w:rPr>
          <w:lang w:val="es-ES_tradnl"/>
        </w:rPr>
        <w:t>(1997).</w:t>
      </w:r>
    </w:p>
    <w:p w:rsidR="005A5E7D" w:rsidRDefault="005A5E7D" w:rsidP="005A5E7D">
      <w:pPr>
        <w:rPr>
          <w:lang w:val="es-ES_tradnl"/>
        </w:rPr>
      </w:pPr>
      <w:r>
        <w:rPr>
          <w:lang w:val="es-ES_tradnl"/>
        </w:rPr>
        <w:t>Además, la reseña incluye otros trabajos que, aunque no hacen alusión directa al estatus político, aportan valiosas sugerencias encaminadas a mejorar algunos de los problemas económicos por los que atraviesa la economía de Puerto Rico en la actualidad. Por ejemplo, se incluye una sección sobre competitividad, basada principalmente en el trabajo realizado por el Banco de la Reserva Federal de Nueva York (junio de 2012), ya que en estudios previos no se incluyen trabajos sobre este tema, al menos en forma explícita.</w:t>
      </w:r>
    </w:p>
    <w:p w:rsidR="005A5E7D" w:rsidRDefault="005A5E7D" w:rsidP="005A5E7D">
      <w:pPr>
        <w:rPr>
          <w:lang w:val="es-ES_tradnl"/>
        </w:rPr>
      </w:pPr>
      <w:r>
        <w:rPr>
          <w:lang w:val="es-ES_tradnl"/>
        </w:rPr>
        <w:t>La reseña se concentra principalmente en los impactos económicos (análisis de costo-beneficio) de las diferentes opciones de estatus políticos, y no entra en un análisis detallado sobre aspectos políticos, culturales, morales, de idioma y otros.</w:t>
      </w:r>
    </w:p>
    <w:p w:rsidR="005A5E7D" w:rsidRDefault="005A5E7D" w:rsidP="005A5E7D">
      <w:pPr>
        <w:rPr>
          <w:lang w:val="es-ES_tradnl"/>
        </w:rPr>
      </w:pPr>
      <w:r>
        <w:rPr>
          <w:lang w:val="es-ES_tradnl"/>
        </w:rPr>
        <w:t>El trabajo se dividió por temas principales para propósitos de presentación, fácil entendimiento y organización. Sin embargo, debo especificar que cada uno de los asuntos cubiertos contiene elementos en común con otros. Los temas en que hemos dividido este capítulo son: impactos f</w:t>
      </w:r>
      <w:r w:rsidRPr="001D46A0">
        <w:rPr>
          <w:lang w:val="es-ES_tradnl"/>
        </w:rPr>
        <w:t>iscales</w:t>
      </w:r>
      <w:r>
        <w:rPr>
          <w:lang w:val="es-ES_tradnl"/>
        </w:rPr>
        <w:t>, o</w:t>
      </w:r>
      <w:r w:rsidRPr="001D46A0">
        <w:rPr>
          <w:lang w:val="es-ES_tradnl"/>
        </w:rPr>
        <w:t>pc</w:t>
      </w:r>
      <w:r>
        <w:rPr>
          <w:lang w:val="es-ES_tradnl"/>
        </w:rPr>
        <w:t>iones p</w:t>
      </w:r>
      <w:r w:rsidRPr="001D46A0">
        <w:rPr>
          <w:lang w:val="es-ES_tradnl"/>
        </w:rPr>
        <w:t>olíticas</w:t>
      </w:r>
      <w:r>
        <w:rPr>
          <w:lang w:val="es-ES_tradnl"/>
        </w:rPr>
        <w:t>, d</w:t>
      </w:r>
      <w:r w:rsidRPr="001D46A0">
        <w:rPr>
          <w:lang w:val="es-ES_tradnl"/>
        </w:rPr>
        <w:t>esarrollo económico</w:t>
      </w:r>
      <w:r>
        <w:rPr>
          <w:lang w:val="es-ES_tradnl"/>
        </w:rPr>
        <w:t>, visión de los partidos p</w:t>
      </w:r>
      <w:r w:rsidRPr="001D46A0">
        <w:rPr>
          <w:lang w:val="es-ES_tradnl"/>
        </w:rPr>
        <w:t>olíticos</w:t>
      </w:r>
      <w:r>
        <w:rPr>
          <w:lang w:val="es-ES_tradnl"/>
        </w:rPr>
        <w:t>, m</w:t>
      </w:r>
      <w:r w:rsidRPr="001D46A0">
        <w:rPr>
          <w:lang w:val="es-ES_tradnl"/>
        </w:rPr>
        <w:t>igración</w:t>
      </w:r>
      <w:r>
        <w:rPr>
          <w:lang w:val="es-ES_tradnl"/>
        </w:rPr>
        <w:t>, políticas públicas y desarrollo e</w:t>
      </w:r>
      <w:r w:rsidRPr="001D46A0">
        <w:rPr>
          <w:lang w:val="es-ES_tradnl"/>
        </w:rPr>
        <w:t>conómico</w:t>
      </w:r>
      <w:r>
        <w:rPr>
          <w:lang w:val="es-ES_tradnl"/>
        </w:rPr>
        <w:t xml:space="preserve">, impacto en </w:t>
      </w:r>
      <w:r w:rsidRPr="001D46A0">
        <w:rPr>
          <w:lang w:val="es-ES_tradnl"/>
        </w:rPr>
        <w:t>Estados Unidos</w:t>
      </w:r>
      <w:r>
        <w:rPr>
          <w:lang w:val="es-ES_tradnl"/>
        </w:rPr>
        <w:t>, c</w:t>
      </w:r>
      <w:r w:rsidRPr="001D46A0">
        <w:rPr>
          <w:lang w:val="es-ES_tradnl"/>
        </w:rPr>
        <w:t>ompetitividad</w:t>
      </w:r>
      <w:r>
        <w:rPr>
          <w:lang w:val="es-ES_tradnl"/>
        </w:rPr>
        <w:t>, productividad y c</w:t>
      </w:r>
      <w:r w:rsidRPr="001D46A0">
        <w:rPr>
          <w:lang w:val="es-ES_tradnl"/>
        </w:rPr>
        <w:t>ompetitividad</w:t>
      </w:r>
      <w:r>
        <w:rPr>
          <w:lang w:val="es-ES_tradnl"/>
        </w:rPr>
        <w:t>, y conclusiones g</w:t>
      </w:r>
      <w:r w:rsidRPr="001D46A0">
        <w:rPr>
          <w:lang w:val="es-ES_tradnl"/>
        </w:rPr>
        <w:t>enerales</w:t>
      </w:r>
      <w:r>
        <w:rPr>
          <w:lang w:val="es-ES_tradnl"/>
        </w:rPr>
        <w:t>.</w:t>
      </w:r>
    </w:p>
    <w:p w:rsidR="00BE7185" w:rsidRDefault="00BE7185" w:rsidP="005A5E7D">
      <w:pPr>
        <w:rPr>
          <w:lang w:val="es-ES_tradnl"/>
        </w:rPr>
      </w:pPr>
    </w:p>
    <w:p w:rsidR="005A5E7D" w:rsidRPr="001D46A0" w:rsidRDefault="005A5E7D" w:rsidP="00CB3560">
      <w:pPr>
        <w:pStyle w:val="Heading2"/>
        <w:numPr>
          <w:ilvl w:val="0"/>
          <w:numId w:val="28"/>
        </w:numPr>
        <w:ind w:left="426" w:hanging="426"/>
      </w:pPr>
      <w:bookmarkStart w:id="27" w:name="_Toc384769729"/>
      <w:r w:rsidRPr="00583822">
        <w:t>Impacto</w:t>
      </w:r>
      <w:r>
        <w:t>s</w:t>
      </w:r>
      <w:r w:rsidRPr="00583822">
        <w:t xml:space="preserve"> </w:t>
      </w:r>
      <w:r>
        <w:t>f</w:t>
      </w:r>
      <w:r w:rsidRPr="00583822">
        <w:t>iscal</w:t>
      </w:r>
      <w:r>
        <w:t>es</w:t>
      </w:r>
      <w:bookmarkEnd w:id="27"/>
      <w:r>
        <w:t xml:space="preserve"> </w:t>
      </w:r>
    </w:p>
    <w:p w:rsidR="005A5E7D" w:rsidRDefault="005A5E7D" w:rsidP="005A5E7D">
      <w:pPr>
        <w:spacing w:line="240" w:lineRule="auto"/>
        <w:rPr>
          <w:lang w:val="es-ES_tradnl"/>
        </w:rPr>
      </w:pPr>
    </w:p>
    <w:p w:rsidR="005A5E7D" w:rsidRPr="00583822" w:rsidRDefault="005A5E7D" w:rsidP="005A5E7D">
      <w:pPr>
        <w:rPr>
          <w:lang w:val="es-ES_tradnl"/>
        </w:rPr>
      </w:pPr>
      <w:r w:rsidRPr="00583822">
        <w:rPr>
          <w:lang w:val="es-ES_tradnl"/>
        </w:rPr>
        <w:t xml:space="preserve">Los asuntos relacionados </w:t>
      </w:r>
      <w:r>
        <w:rPr>
          <w:lang w:val="es-ES_tradnl"/>
        </w:rPr>
        <w:t>con</w:t>
      </w:r>
      <w:r w:rsidRPr="00583822">
        <w:rPr>
          <w:lang w:val="es-ES_tradnl"/>
        </w:rPr>
        <w:t xml:space="preserve"> los impactos fiscales (impuestos y transferencias) han recibido gran atención prácticamente en casi toda la literatura que se ha escrito sobre el tema de posibles cambios en el </w:t>
      </w:r>
      <w:r>
        <w:rPr>
          <w:lang w:val="es-ES_tradnl"/>
        </w:rPr>
        <w:t>estatus</w:t>
      </w:r>
      <w:r w:rsidRPr="00583822">
        <w:rPr>
          <w:lang w:val="es-ES_tradnl"/>
        </w:rPr>
        <w:t xml:space="preserve"> político de Puerto Rico. </w:t>
      </w:r>
      <w:r>
        <w:rPr>
          <w:lang w:val="es-ES_tradnl"/>
        </w:rPr>
        <w:t>Por ejemplo, e</w:t>
      </w:r>
      <w:r w:rsidRPr="00583822">
        <w:rPr>
          <w:lang w:val="es-ES_tradnl"/>
        </w:rPr>
        <w:t>n un art</w:t>
      </w:r>
      <w:r>
        <w:rPr>
          <w:lang w:val="es-ES_tradnl"/>
        </w:rPr>
        <w:t xml:space="preserve">ículo publicado en un </w:t>
      </w:r>
      <w:r w:rsidRPr="00583822">
        <w:rPr>
          <w:lang w:val="es-ES_tradnl"/>
        </w:rPr>
        <w:t xml:space="preserve">libro </w:t>
      </w:r>
      <w:r>
        <w:rPr>
          <w:lang w:val="es-ES_tradnl"/>
        </w:rPr>
        <w:t>relativamente</w:t>
      </w:r>
      <w:r w:rsidRPr="00583822">
        <w:rPr>
          <w:lang w:val="es-ES_tradnl"/>
        </w:rPr>
        <w:t xml:space="preserve"> reciente</w:t>
      </w:r>
      <w:r>
        <w:rPr>
          <w:lang w:val="es-ES_tradnl"/>
        </w:rPr>
        <w:t>,</w:t>
      </w:r>
      <w:r w:rsidRPr="00583822">
        <w:rPr>
          <w:lang w:val="es-ES_tradnl"/>
        </w:rPr>
        <w:t xml:space="preserve"> Gar</w:t>
      </w:r>
      <w:r>
        <w:rPr>
          <w:lang w:val="es-ES_tradnl"/>
        </w:rPr>
        <w:t xml:space="preserve">y Burtless y Orlando Sotomayor argumentan que “debido a </w:t>
      </w:r>
      <w:r w:rsidRPr="00583822">
        <w:rPr>
          <w:lang w:val="es-ES_tradnl"/>
        </w:rPr>
        <w:t>que Puerto Rico reci</w:t>
      </w:r>
      <w:r>
        <w:rPr>
          <w:lang w:val="es-ES_tradnl"/>
        </w:rPr>
        <w:t>b</w:t>
      </w:r>
      <w:r w:rsidRPr="00583822">
        <w:rPr>
          <w:lang w:val="es-ES_tradnl"/>
        </w:rPr>
        <w:t xml:space="preserve">e </w:t>
      </w:r>
      <w:r>
        <w:rPr>
          <w:lang w:val="es-ES_tradnl"/>
        </w:rPr>
        <w:t>transferencias netas su</w:t>
      </w:r>
      <w:r w:rsidRPr="00583822">
        <w:rPr>
          <w:lang w:val="es-ES_tradnl"/>
        </w:rPr>
        <w:t xml:space="preserve">stanciales del </w:t>
      </w:r>
      <w:r>
        <w:rPr>
          <w:lang w:val="es-ES_tradnl"/>
        </w:rPr>
        <w:t>Gobierno</w:t>
      </w:r>
      <w:r w:rsidRPr="00583822">
        <w:rPr>
          <w:lang w:val="es-ES_tradnl"/>
        </w:rPr>
        <w:t xml:space="preserve"> de Estados Unidos,</w:t>
      </w:r>
      <w:r>
        <w:rPr>
          <w:lang w:val="es-ES_tradnl"/>
        </w:rPr>
        <w:t xml:space="preserve"> los contribuyentes en la I</w:t>
      </w:r>
      <w:r w:rsidRPr="00583822">
        <w:rPr>
          <w:lang w:val="es-ES_tradnl"/>
        </w:rPr>
        <w:t xml:space="preserve">sla no tienen que pagar por todos los beneficios del </w:t>
      </w:r>
      <w:r>
        <w:rPr>
          <w:lang w:val="es-ES_tradnl"/>
        </w:rPr>
        <w:t>Gobierno</w:t>
      </w:r>
      <w:r w:rsidRPr="00583822">
        <w:rPr>
          <w:lang w:val="es-ES_tradnl"/>
        </w:rPr>
        <w:t xml:space="preserve"> que reciben </w:t>
      </w:r>
      <w:r>
        <w:rPr>
          <w:lang w:val="es-ES_tradnl"/>
        </w:rPr>
        <w:t>sus residentes</w:t>
      </w:r>
      <w:r w:rsidRPr="00583822">
        <w:rPr>
          <w:lang w:val="es-ES_tradnl"/>
        </w:rPr>
        <w:t>. Los puertorriqueños de bajos ingresos gozan de suplementos al ingreso y beneficios de retiro relativamente generosos</w:t>
      </w:r>
      <w:r>
        <w:rPr>
          <w:lang w:val="es-ES_tradnl"/>
        </w:rPr>
        <w:t>,</w:t>
      </w:r>
      <w:r w:rsidRPr="00583822">
        <w:rPr>
          <w:lang w:val="es-ES_tradnl"/>
        </w:rPr>
        <w:t xml:space="preserve"> sin imponer pesadas cargas contributivas sobre trabajadores que disfrutan de alta compensación”</w:t>
      </w:r>
      <w:r>
        <w:rPr>
          <w:lang w:val="es-ES_tradnl"/>
        </w:rPr>
        <w:t xml:space="preserve"> </w:t>
      </w:r>
      <w:r w:rsidRPr="00583822">
        <w:rPr>
          <w:lang w:val="es-ES_tradnl"/>
        </w:rPr>
        <w:t>(Susan M Collins, Barry P. Bosworth y Miguel A. Soto-Class, 2006)</w:t>
      </w:r>
      <w:r>
        <w:rPr>
          <w:lang w:val="es-ES_tradnl"/>
        </w:rPr>
        <w:t xml:space="preserve">. Esta </w:t>
      </w:r>
      <w:r w:rsidRPr="00583822">
        <w:rPr>
          <w:lang w:val="es-ES_tradnl"/>
        </w:rPr>
        <w:t xml:space="preserve">cita nos da una idea de las diferentes opiniones sobre este </w:t>
      </w:r>
      <w:r>
        <w:rPr>
          <w:lang w:val="es-ES_tradnl"/>
        </w:rPr>
        <w:t>asunto</w:t>
      </w:r>
      <w:r w:rsidRPr="00583822">
        <w:rPr>
          <w:lang w:val="es-ES_tradnl"/>
        </w:rPr>
        <w:t xml:space="preserve"> que existen en los escritos sobre la economía de Puerto Rico. </w:t>
      </w:r>
    </w:p>
    <w:p w:rsidR="005A5E7D" w:rsidRPr="00583822" w:rsidRDefault="005A5E7D" w:rsidP="005A5E7D">
      <w:pPr>
        <w:rPr>
          <w:lang w:val="es-ES_tradnl"/>
        </w:rPr>
      </w:pPr>
      <w:r w:rsidRPr="00583822">
        <w:rPr>
          <w:lang w:val="es-ES_tradnl"/>
        </w:rPr>
        <w:t>Durante el 2011</w:t>
      </w:r>
      <w:r>
        <w:rPr>
          <w:lang w:val="es-ES_tradnl"/>
        </w:rPr>
        <w:t>,</w:t>
      </w:r>
      <w:r w:rsidRPr="00583822">
        <w:rPr>
          <w:lang w:val="es-ES_tradnl"/>
        </w:rPr>
        <w:t xml:space="preserve"> según cifras publicadas por la Junta de Planificación</w:t>
      </w:r>
      <w:r>
        <w:rPr>
          <w:lang w:val="es-ES_tradnl"/>
        </w:rPr>
        <w:t xml:space="preserve"> (JP),</w:t>
      </w:r>
      <w:r w:rsidRPr="00583822">
        <w:rPr>
          <w:lang w:val="es-ES_tradnl"/>
        </w:rPr>
        <w:t xml:space="preserve"> las transferencias brut</w:t>
      </w:r>
      <w:r>
        <w:rPr>
          <w:lang w:val="es-ES_tradnl"/>
        </w:rPr>
        <w:t>a</w:t>
      </w:r>
      <w:r w:rsidRPr="00583822">
        <w:rPr>
          <w:lang w:val="es-ES_tradnl"/>
        </w:rPr>
        <w:t xml:space="preserve">s del </w:t>
      </w:r>
      <w:r>
        <w:rPr>
          <w:lang w:val="es-ES_tradnl"/>
        </w:rPr>
        <w:t>Gobierno</w:t>
      </w:r>
      <w:r w:rsidRPr="00583822">
        <w:rPr>
          <w:lang w:val="es-ES_tradnl"/>
        </w:rPr>
        <w:t xml:space="preserve"> de </w:t>
      </w:r>
      <w:r>
        <w:rPr>
          <w:lang w:val="es-ES_tradnl"/>
        </w:rPr>
        <w:t>Estados Unidos y otros a Puerto Rico totalizaron $21,</w:t>
      </w:r>
      <w:r w:rsidRPr="00583822">
        <w:rPr>
          <w:lang w:val="es-ES_tradnl"/>
        </w:rPr>
        <w:t>4</w:t>
      </w:r>
      <w:r>
        <w:rPr>
          <w:lang w:val="es-ES_tradnl"/>
        </w:rPr>
        <w:t>00 millones y en forma neta $17,500 m</w:t>
      </w:r>
      <w:r w:rsidRPr="00583822">
        <w:rPr>
          <w:lang w:val="es-ES_tradnl"/>
        </w:rPr>
        <w:t>illones. Las transferencias ne</w:t>
      </w:r>
      <w:r>
        <w:rPr>
          <w:lang w:val="es-ES_tradnl"/>
        </w:rPr>
        <w:t>tas constituyeron el 25.2% del producto nacional b</w:t>
      </w:r>
      <w:r w:rsidRPr="00583822">
        <w:rPr>
          <w:lang w:val="es-ES_tradnl"/>
        </w:rPr>
        <w:t xml:space="preserve">ruto </w:t>
      </w:r>
      <w:r>
        <w:rPr>
          <w:lang w:val="es-ES_tradnl"/>
        </w:rPr>
        <w:t xml:space="preserve">(PNB) </w:t>
      </w:r>
      <w:r w:rsidRPr="00583822">
        <w:rPr>
          <w:lang w:val="es-ES_tradnl"/>
        </w:rPr>
        <w:t xml:space="preserve">y </w:t>
      </w:r>
      <w:r>
        <w:rPr>
          <w:lang w:val="es-ES_tradnl"/>
        </w:rPr>
        <w:t>un 17.3% del producto interno b</w:t>
      </w:r>
      <w:r w:rsidRPr="00583822">
        <w:rPr>
          <w:lang w:val="es-ES_tradnl"/>
        </w:rPr>
        <w:t xml:space="preserve">ruto </w:t>
      </w:r>
      <w:r>
        <w:rPr>
          <w:lang w:val="es-ES_tradnl"/>
        </w:rPr>
        <w:t xml:space="preserve">(PIB) </w:t>
      </w:r>
      <w:r w:rsidRPr="00583822">
        <w:rPr>
          <w:lang w:val="es-ES_tradnl"/>
        </w:rPr>
        <w:t xml:space="preserve">para el año fiscal 2011. </w:t>
      </w:r>
      <w:r>
        <w:rPr>
          <w:lang w:val="es-ES_tradnl"/>
        </w:rPr>
        <w:t>L</w:t>
      </w:r>
      <w:r w:rsidRPr="00583822">
        <w:rPr>
          <w:lang w:val="es-ES_tradnl"/>
        </w:rPr>
        <w:t>as transferencias netas generaron 154,885 empleos directos e indirectos</w:t>
      </w:r>
      <w:r>
        <w:rPr>
          <w:lang w:val="es-ES_tradnl"/>
        </w:rPr>
        <w:t>,</w:t>
      </w:r>
      <w:r w:rsidRPr="00583822">
        <w:rPr>
          <w:lang w:val="es-ES_tradnl"/>
        </w:rPr>
        <w:t xml:space="preserve"> </w:t>
      </w:r>
      <w:r>
        <w:rPr>
          <w:lang w:val="es-ES_tradnl"/>
        </w:rPr>
        <w:t>s</w:t>
      </w:r>
      <w:r w:rsidRPr="00583822">
        <w:rPr>
          <w:lang w:val="es-ES_tradnl"/>
        </w:rPr>
        <w:t>egún un estimado usando el modelo de insumo-product</w:t>
      </w:r>
      <w:r>
        <w:rPr>
          <w:lang w:val="es-ES_tradnl"/>
        </w:rPr>
        <w:t>o de la JP (Ruiz, Ángel, 2013).</w:t>
      </w:r>
    </w:p>
    <w:p w:rsidR="005A5E7D" w:rsidRPr="00583822" w:rsidRDefault="005A5E7D" w:rsidP="005A5E7D">
      <w:pPr>
        <w:rPr>
          <w:lang w:val="es-ES_tradnl"/>
        </w:rPr>
      </w:pPr>
      <w:r w:rsidRPr="00583822">
        <w:rPr>
          <w:lang w:val="es-ES_tradnl"/>
        </w:rPr>
        <w:t>La J</w:t>
      </w:r>
      <w:r>
        <w:rPr>
          <w:lang w:val="es-ES_tradnl"/>
        </w:rPr>
        <w:t xml:space="preserve">P </w:t>
      </w:r>
      <w:r w:rsidRPr="00583822">
        <w:rPr>
          <w:lang w:val="es-ES_tradnl"/>
        </w:rPr>
        <w:t>clasifica los pagos de transferencias a los individuos en dos categorías</w:t>
      </w:r>
      <w:r>
        <w:rPr>
          <w:lang w:val="es-ES_tradnl"/>
        </w:rPr>
        <w:t>:</w:t>
      </w:r>
      <w:r w:rsidRPr="00583822">
        <w:rPr>
          <w:lang w:val="es-ES_tradnl"/>
        </w:rPr>
        <w:t xml:space="preserve"> transferencias devengadas y transferencias otorgadas. La primera se defin</w:t>
      </w:r>
      <w:r>
        <w:rPr>
          <w:lang w:val="es-ES_tradnl"/>
        </w:rPr>
        <w:t xml:space="preserve">e como aquellas transferencias </w:t>
      </w:r>
      <w:r w:rsidRPr="00583822">
        <w:rPr>
          <w:lang w:val="es-ES_tradnl"/>
        </w:rPr>
        <w:t>recibidas p</w:t>
      </w:r>
      <w:r>
        <w:rPr>
          <w:lang w:val="es-ES_tradnl"/>
        </w:rPr>
        <w:t>or los individuos y el gobierno</w:t>
      </w:r>
      <w:r w:rsidRPr="00583822">
        <w:rPr>
          <w:lang w:val="es-ES_tradnl"/>
        </w:rPr>
        <w:t xml:space="preserve"> por servicios o pagos </w:t>
      </w:r>
      <w:r>
        <w:rPr>
          <w:lang w:val="es-ES_tradnl"/>
        </w:rPr>
        <w:t>hechos previamente a</w:t>
      </w:r>
      <w:r w:rsidRPr="00583822">
        <w:rPr>
          <w:lang w:val="es-ES_tradnl"/>
        </w:rPr>
        <w:t xml:space="preserve">l </w:t>
      </w:r>
      <w:r>
        <w:rPr>
          <w:lang w:val="es-ES_tradnl"/>
        </w:rPr>
        <w:t>Gobierno</w:t>
      </w:r>
      <w:r w:rsidRPr="00583822">
        <w:rPr>
          <w:lang w:val="es-ES_tradnl"/>
        </w:rPr>
        <w:t xml:space="preserve"> de Estados Unidos (pagos de s</w:t>
      </w:r>
      <w:r>
        <w:rPr>
          <w:lang w:val="es-ES_tradnl"/>
        </w:rPr>
        <w:t>eguro social, pagos a veteranos</w:t>
      </w:r>
      <w:r w:rsidRPr="00583822">
        <w:rPr>
          <w:lang w:val="es-ES_tradnl"/>
        </w:rPr>
        <w:t xml:space="preserve"> y otros). La segunda categoría son aquellas transferencias otorgadas unilat</w:t>
      </w:r>
      <w:r>
        <w:rPr>
          <w:lang w:val="es-ES_tradnl"/>
        </w:rPr>
        <w:t xml:space="preserve">eralmente a los individuos y al </w:t>
      </w:r>
      <w:r w:rsidRPr="00583822">
        <w:rPr>
          <w:lang w:val="es-ES_tradnl"/>
        </w:rPr>
        <w:t>gobierno. Durante el año fiscal 2011</w:t>
      </w:r>
      <w:r>
        <w:rPr>
          <w:lang w:val="es-ES_tradnl"/>
        </w:rPr>
        <w:t>,</w:t>
      </w:r>
      <w:r w:rsidRPr="00583822">
        <w:rPr>
          <w:lang w:val="es-ES_tradnl"/>
        </w:rPr>
        <w:t xml:space="preserve"> las transferencias netas devengadas </w:t>
      </w:r>
      <w:r>
        <w:rPr>
          <w:lang w:val="es-ES_tradnl"/>
        </w:rPr>
        <w:t>por</w:t>
      </w:r>
      <w:r w:rsidRPr="00583822">
        <w:rPr>
          <w:lang w:val="es-ES_tradnl"/>
        </w:rPr>
        <w:t xml:space="preserve"> indi</w:t>
      </w:r>
      <w:r>
        <w:rPr>
          <w:lang w:val="es-ES_tradnl"/>
        </w:rPr>
        <w:t>viduos totalizaron $7,</w:t>
      </w:r>
      <w:r w:rsidRPr="00583822">
        <w:rPr>
          <w:lang w:val="es-ES_tradnl"/>
        </w:rPr>
        <w:t>5</w:t>
      </w:r>
      <w:r>
        <w:rPr>
          <w:lang w:val="es-ES_tradnl"/>
        </w:rPr>
        <w:t>00 m</w:t>
      </w:r>
      <w:r w:rsidRPr="00583822">
        <w:rPr>
          <w:lang w:val="es-ES_tradnl"/>
        </w:rPr>
        <w:t>i</w:t>
      </w:r>
      <w:r>
        <w:rPr>
          <w:lang w:val="es-ES_tradnl"/>
        </w:rPr>
        <w:t>llones y las otorgadas $4,</w:t>
      </w:r>
      <w:r w:rsidRPr="00583822">
        <w:rPr>
          <w:lang w:val="es-ES_tradnl"/>
        </w:rPr>
        <w:t>7</w:t>
      </w:r>
      <w:r>
        <w:rPr>
          <w:lang w:val="es-ES_tradnl"/>
        </w:rPr>
        <w:t>00 m</w:t>
      </w:r>
      <w:r w:rsidRPr="00583822">
        <w:rPr>
          <w:lang w:val="es-ES_tradnl"/>
        </w:rPr>
        <w:t>illones</w:t>
      </w:r>
      <w:r>
        <w:rPr>
          <w:lang w:val="es-ES_tradnl"/>
        </w:rPr>
        <w:t>,</w:t>
      </w:r>
      <w:r w:rsidRPr="00583822">
        <w:rPr>
          <w:lang w:val="es-ES_tradnl"/>
        </w:rPr>
        <w:t xml:space="preserve"> y generaron 95,648 y 59,237 empleos directos e indirectos</w:t>
      </w:r>
      <w:r>
        <w:rPr>
          <w:lang w:val="es-ES_tradnl"/>
        </w:rPr>
        <w:t>,</w:t>
      </w:r>
      <w:r w:rsidRPr="00583822">
        <w:rPr>
          <w:lang w:val="es-ES_tradnl"/>
        </w:rPr>
        <w:t xml:space="preserve"> respectivamente.</w:t>
      </w:r>
      <w:r>
        <w:rPr>
          <w:lang w:val="es-ES_tradnl"/>
        </w:rPr>
        <w:t xml:space="preserve"> </w:t>
      </w:r>
      <w:r w:rsidRPr="00583822">
        <w:rPr>
          <w:lang w:val="es-ES_tradnl"/>
        </w:rPr>
        <w:t xml:space="preserve">Es de suma importancia que cualquier análisis sobre transferencias a </w:t>
      </w:r>
      <w:r>
        <w:rPr>
          <w:lang w:val="es-ES_tradnl"/>
        </w:rPr>
        <w:t>Puerto Rico</w:t>
      </w:r>
      <w:r w:rsidRPr="00583822">
        <w:rPr>
          <w:lang w:val="es-ES_tradnl"/>
        </w:rPr>
        <w:t xml:space="preserve"> debe enfatizar las transferencia netas</w:t>
      </w:r>
      <w:r>
        <w:rPr>
          <w:lang w:val="es-ES_tradnl"/>
        </w:rPr>
        <w:t>,</w:t>
      </w:r>
      <w:r w:rsidRPr="00583822">
        <w:rPr>
          <w:lang w:val="es-ES_tradnl"/>
        </w:rPr>
        <w:t xml:space="preserve"> y </w:t>
      </w:r>
      <w:r>
        <w:rPr>
          <w:lang w:val="es-ES_tradnl"/>
        </w:rPr>
        <w:t xml:space="preserve">establecer </w:t>
      </w:r>
      <w:r w:rsidRPr="00583822">
        <w:rPr>
          <w:lang w:val="es-ES_tradnl"/>
        </w:rPr>
        <w:t xml:space="preserve">la </w:t>
      </w:r>
      <w:r>
        <w:rPr>
          <w:lang w:val="es-ES_tradnl"/>
        </w:rPr>
        <w:t>diferencia</w:t>
      </w:r>
      <w:r w:rsidRPr="00583822">
        <w:rPr>
          <w:lang w:val="es-ES_tradnl"/>
        </w:rPr>
        <w:t xml:space="preserve"> entre</w:t>
      </w:r>
      <w:r>
        <w:rPr>
          <w:lang w:val="es-ES_tradnl"/>
        </w:rPr>
        <w:t xml:space="preserve"> las </w:t>
      </w:r>
      <w:r w:rsidRPr="00583822">
        <w:rPr>
          <w:lang w:val="es-ES_tradnl"/>
        </w:rPr>
        <w:t>transfer</w:t>
      </w:r>
      <w:r>
        <w:rPr>
          <w:lang w:val="es-ES_tradnl"/>
        </w:rPr>
        <w:t>encias devengadas por las personas y las</w:t>
      </w:r>
      <w:r w:rsidRPr="00583822">
        <w:rPr>
          <w:lang w:val="es-ES_tradnl"/>
        </w:rPr>
        <w:t xml:space="preserve"> transferencias otorgadas </w:t>
      </w:r>
      <w:r>
        <w:rPr>
          <w:lang w:val="es-ES_tradnl"/>
        </w:rPr>
        <w:t>a individuos.</w:t>
      </w:r>
    </w:p>
    <w:p w:rsidR="005A5E7D" w:rsidRDefault="005A5E7D" w:rsidP="005A5E7D">
      <w:pPr>
        <w:rPr>
          <w:lang w:val="es-ES_tradnl"/>
        </w:rPr>
      </w:pPr>
      <w:r>
        <w:rPr>
          <w:lang w:val="es-ES_tradnl"/>
        </w:rPr>
        <w:t>L</w:t>
      </w:r>
      <w:r w:rsidRPr="00583822">
        <w:rPr>
          <w:lang w:val="es-ES_tradnl"/>
        </w:rPr>
        <w:t>as relaciones fiscales (contribuciones y transferencias) entre Estados Unidos y Puerto Rico es uno de los aspectos económicos más importante</w:t>
      </w:r>
      <w:r>
        <w:rPr>
          <w:lang w:val="es-ES_tradnl"/>
        </w:rPr>
        <w:t>s</w:t>
      </w:r>
      <w:r w:rsidRPr="00583822">
        <w:rPr>
          <w:lang w:val="es-ES_tradnl"/>
        </w:rPr>
        <w:t xml:space="preserve"> que se afecta</w:t>
      </w:r>
      <w:r>
        <w:rPr>
          <w:lang w:val="es-ES_tradnl"/>
        </w:rPr>
        <w:t>rá</w:t>
      </w:r>
      <w:r w:rsidRPr="00583822">
        <w:rPr>
          <w:lang w:val="es-ES_tradnl"/>
        </w:rPr>
        <w:t xml:space="preserve"> por los cambio</w:t>
      </w:r>
      <w:r>
        <w:rPr>
          <w:lang w:val="es-ES_tradnl"/>
        </w:rPr>
        <w:t>s</w:t>
      </w:r>
      <w:r w:rsidRPr="00583822">
        <w:rPr>
          <w:lang w:val="es-ES_tradnl"/>
        </w:rPr>
        <w:t xml:space="preserve"> en el sistema político puertorriqueño</w:t>
      </w:r>
      <w:r>
        <w:rPr>
          <w:lang w:val="es-ES_tradnl"/>
        </w:rPr>
        <w:t>, s</w:t>
      </w:r>
      <w:r w:rsidRPr="00583822">
        <w:rPr>
          <w:lang w:val="es-ES_tradnl"/>
        </w:rPr>
        <w:t>egún se resume en el libro editado por Ángel Ruiz y Edwin Meléndez (</w:t>
      </w:r>
      <w:r>
        <w:rPr>
          <w:lang w:val="es-ES_tradnl"/>
        </w:rPr>
        <w:t xml:space="preserve">E. </w:t>
      </w:r>
      <w:r w:rsidRPr="00583822">
        <w:rPr>
          <w:lang w:val="es-ES_tradnl"/>
        </w:rPr>
        <w:t xml:space="preserve">Meléndez </w:t>
      </w:r>
      <w:r>
        <w:rPr>
          <w:lang w:val="es-ES_tradnl"/>
        </w:rPr>
        <w:t>y A. Ruiz, 1998)</w:t>
      </w:r>
      <w:r w:rsidRPr="00583822">
        <w:rPr>
          <w:lang w:val="es-ES_tradnl"/>
        </w:rPr>
        <w:t xml:space="preserve">. Los estudios </w:t>
      </w:r>
      <w:r>
        <w:rPr>
          <w:lang w:val="es-ES_tradnl"/>
        </w:rPr>
        <w:t xml:space="preserve">más completos </w:t>
      </w:r>
      <w:r w:rsidRPr="00583822">
        <w:rPr>
          <w:lang w:val="es-ES_tradnl"/>
        </w:rPr>
        <w:t>en esta área</w:t>
      </w:r>
      <w:r>
        <w:rPr>
          <w:lang w:val="es-ES_tradnl"/>
        </w:rPr>
        <w:t xml:space="preserve"> —los de la</w:t>
      </w:r>
      <w:r w:rsidRPr="00583822">
        <w:rPr>
          <w:lang w:val="es-ES_tradnl"/>
        </w:rPr>
        <w:t xml:space="preserve"> CBO (1990) y Peat Marwick (1990)— no sol</w:t>
      </w:r>
      <w:r>
        <w:rPr>
          <w:lang w:val="es-ES_tradnl"/>
        </w:rPr>
        <w:t xml:space="preserve">amente consideran </w:t>
      </w:r>
      <w:r w:rsidRPr="00583822">
        <w:rPr>
          <w:lang w:val="es-ES_tradnl"/>
        </w:rPr>
        <w:t>el monto adicional de transferencias y contribuciones</w:t>
      </w:r>
      <w:r>
        <w:rPr>
          <w:lang w:val="es-ES_tradnl"/>
        </w:rPr>
        <w:t>,</w:t>
      </w:r>
      <w:r w:rsidRPr="00583822">
        <w:rPr>
          <w:lang w:val="es-ES_tradnl"/>
        </w:rPr>
        <w:t xml:space="preserve"> sino que además relacionan la interacción entre las variables macroeconómicas tradicionales, el impacto fiscal y la inversión en la manufactura.</w:t>
      </w:r>
      <w:r>
        <w:rPr>
          <w:lang w:val="es-ES_tradnl"/>
        </w:rPr>
        <w:t xml:space="preserve"> </w:t>
      </w:r>
    </w:p>
    <w:p w:rsidR="005A5E7D" w:rsidRDefault="005A5E7D" w:rsidP="005A5E7D">
      <w:pPr>
        <w:rPr>
          <w:lang w:val="es-ES_tradnl"/>
        </w:rPr>
      </w:pPr>
      <w:r>
        <w:rPr>
          <w:lang w:val="es-ES_tradnl"/>
        </w:rPr>
        <w:t>En un trabajo preparado durante la administración del exgobernador Rafael Hernández Colón, el Grupo de Política Económica (Peat Marwick, 1990) argumentó que l</w:t>
      </w:r>
      <w:r w:rsidRPr="00764FE5">
        <w:rPr>
          <w:lang w:val="es-ES_tradnl"/>
        </w:rPr>
        <w:t>a estadidad tendr</w:t>
      </w:r>
      <w:r>
        <w:rPr>
          <w:lang w:val="es-ES_tradnl"/>
        </w:rPr>
        <w:t>í</w:t>
      </w:r>
      <w:r w:rsidRPr="00764FE5">
        <w:rPr>
          <w:lang w:val="es-ES_tradnl"/>
        </w:rPr>
        <w:t>a varios impactos directos en la econom</w:t>
      </w:r>
      <w:r>
        <w:rPr>
          <w:lang w:val="es-ES_tradnl"/>
        </w:rPr>
        <w:t>í</w:t>
      </w:r>
      <w:r w:rsidRPr="00764FE5">
        <w:rPr>
          <w:lang w:val="es-ES_tradnl"/>
        </w:rPr>
        <w:t>a de Puerto Rico.</w:t>
      </w:r>
      <w:r>
        <w:rPr>
          <w:lang w:val="es-ES_tradnl"/>
        </w:rPr>
        <w:t xml:space="preserve"> Primeramente, las corporaciones establecidas bajo la Sección 936 del Código de Rentas Internas de Estados Unidos podrían aumentar significativamente sus rendimientos, después de impuestos, abandonando sus operaciones existentes y relocalizándose en lugares tales como el Caribe, Europa y el Pacífico, donde existan incentivos contributivos más favorables. Además, la expansión y el establecimiento de nuevas plantas proyectados por estas compañías podrían reducirse drásticamente, sino eliminados totalmente. Este estudio estimó que un 72% o más del ingreso operacional de las firmas 936 estaría sujeto a relocalización.</w:t>
      </w:r>
    </w:p>
    <w:p w:rsidR="005A5E7D" w:rsidRDefault="005A5E7D" w:rsidP="005A5E7D">
      <w:pPr>
        <w:rPr>
          <w:lang w:val="es-ES_tradnl"/>
        </w:rPr>
      </w:pPr>
      <w:r>
        <w:rPr>
          <w:lang w:val="es-ES_tradnl"/>
        </w:rPr>
        <w:t>En segundo lugar, la economía de Puerto Rico se vería seriamente afectada, a medida que las compañías escojan relocalizarse fuera de la Isla a Estados Unidos u otras localidades. Esto aumentaría el desempleo en Puerto Rico y reduciría la compensación a empleados a través de toda la Isla. El estudio estimó, en aquel entonces (1990), que se podrían perder entre 80,000 y 145,000 empleos, aumentando de esta forma la tasa de desempleo alrededor de un 30%.</w:t>
      </w:r>
    </w:p>
    <w:p w:rsidR="005A5E7D" w:rsidRPr="004B0F78" w:rsidRDefault="005A5E7D" w:rsidP="005A5E7D">
      <w:pPr>
        <w:rPr>
          <w:lang w:val="es-ES_tradnl"/>
        </w:rPr>
      </w:pPr>
      <w:r w:rsidRPr="004B0F78">
        <w:rPr>
          <w:lang w:val="es-ES_tradnl"/>
        </w:rPr>
        <w:t xml:space="preserve">En tercer lugar, los residentes de Puerto Rico serían elegibles </w:t>
      </w:r>
      <w:r>
        <w:rPr>
          <w:lang w:val="es-ES_tradnl"/>
        </w:rPr>
        <w:t>par</w:t>
      </w:r>
      <w:r w:rsidRPr="004B0F78">
        <w:rPr>
          <w:lang w:val="es-ES_tradnl"/>
        </w:rPr>
        <w:t>a participar totalmente en todos los programas de ayuda federal</w:t>
      </w:r>
      <w:r>
        <w:rPr>
          <w:lang w:val="es-ES_tradnl"/>
        </w:rPr>
        <w:t xml:space="preserve"> </w:t>
      </w:r>
      <w:r w:rsidRPr="004B0F78">
        <w:rPr>
          <w:lang w:val="es-ES_tradnl"/>
        </w:rPr>
        <w:t>bajo la estadidad. La extensión a Puerto Rico de todos los programas de tra</w:t>
      </w:r>
      <w:r>
        <w:rPr>
          <w:lang w:val="es-ES_tradnl"/>
        </w:rPr>
        <w:t>nsferencias federales mitigaría</w:t>
      </w:r>
      <w:r w:rsidRPr="004B0F78">
        <w:rPr>
          <w:lang w:val="es-ES_tradnl"/>
        </w:rPr>
        <w:t xml:space="preserve"> algunos de los impactos económicos </w:t>
      </w:r>
      <w:r>
        <w:rPr>
          <w:lang w:val="es-ES_tradnl"/>
        </w:rPr>
        <w:t xml:space="preserve">negativos de la relocalización </w:t>
      </w:r>
      <w:r w:rsidRPr="004B0F78">
        <w:rPr>
          <w:lang w:val="es-ES_tradnl"/>
        </w:rPr>
        <w:t>de las firmas y la imposición de impuestos federales, pero la demanda agregada en Puerto Rico para e</w:t>
      </w:r>
      <w:r>
        <w:rPr>
          <w:lang w:val="es-ES_tradnl"/>
        </w:rPr>
        <w:t>l año 2000 disminuiría entre $2,000 millones y $2,</w:t>
      </w:r>
      <w:r w:rsidRPr="004B0F78">
        <w:rPr>
          <w:lang w:val="es-ES_tradnl"/>
        </w:rPr>
        <w:t>3</w:t>
      </w:r>
      <w:r>
        <w:rPr>
          <w:lang w:val="es-ES_tradnl"/>
        </w:rPr>
        <w:t>00 m</w:t>
      </w:r>
      <w:r w:rsidRPr="004B0F78">
        <w:rPr>
          <w:lang w:val="es-ES_tradnl"/>
        </w:rPr>
        <w:t>illones.</w:t>
      </w:r>
    </w:p>
    <w:p w:rsidR="005A5E7D" w:rsidRDefault="005A5E7D" w:rsidP="005A5E7D">
      <w:pPr>
        <w:rPr>
          <w:lang w:val="es-ES_tradnl"/>
        </w:rPr>
      </w:pPr>
      <w:r>
        <w:rPr>
          <w:lang w:val="es-ES_tradnl"/>
        </w:rPr>
        <w:t>Según este i</w:t>
      </w:r>
      <w:r w:rsidRPr="004B0F78">
        <w:rPr>
          <w:lang w:val="es-ES_tradnl"/>
        </w:rPr>
        <w:t>nforme</w:t>
      </w:r>
      <w:r>
        <w:rPr>
          <w:lang w:val="es-ES_tradnl"/>
        </w:rPr>
        <w:t>, la opción de la</w:t>
      </w:r>
      <w:r w:rsidRPr="004B0F78">
        <w:rPr>
          <w:lang w:val="es-ES_tradnl"/>
        </w:rPr>
        <w:t xml:space="preserve"> estadidad t</w:t>
      </w:r>
      <w:r>
        <w:rPr>
          <w:lang w:val="es-ES_tradnl"/>
        </w:rPr>
        <w:t>endría</w:t>
      </w:r>
      <w:r w:rsidRPr="004B0F78">
        <w:rPr>
          <w:lang w:val="es-ES_tradnl"/>
        </w:rPr>
        <w:t xml:space="preserve"> fuertes implicaciones presupuestarias para el Gobierno de Estados Unidos, las cuales afectarían tanto los gastos como los ingresos fiscales. La extensión de los programas de tran</w:t>
      </w:r>
      <w:r>
        <w:rPr>
          <w:lang w:val="es-ES_tradnl"/>
        </w:rPr>
        <w:t>sferencias federales aumentaría</w:t>
      </w:r>
      <w:r w:rsidRPr="004B0F78">
        <w:rPr>
          <w:lang w:val="es-ES_tradnl"/>
        </w:rPr>
        <w:t xml:space="preserve"> los gastos federales en alrededor de $36</w:t>
      </w:r>
      <w:r>
        <w:rPr>
          <w:lang w:val="es-ES_tradnl"/>
        </w:rPr>
        <w:t>,000 m</w:t>
      </w:r>
      <w:r w:rsidRPr="004B0F78">
        <w:rPr>
          <w:lang w:val="es-ES_tradnl"/>
        </w:rPr>
        <w:t xml:space="preserve">illones del 1992 al 2000. Esto </w:t>
      </w:r>
      <w:r>
        <w:rPr>
          <w:lang w:val="es-ES_tradnl"/>
        </w:rPr>
        <w:t>se</w:t>
      </w:r>
      <w:r w:rsidRPr="004B0F78">
        <w:rPr>
          <w:lang w:val="es-ES_tradnl"/>
        </w:rPr>
        <w:t xml:space="preserve"> acompaña</w:t>
      </w:r>
      <w:r>
        <w:rPr>
          <w:lang w:val="es-ES_tradnl"/>
        </w:rPr>
        <w:t xml:space="preserve">ría </w:t>
      </w:r>
      <w:r w:rsidRPr="004B0F78">
        <w:rPr>
          <w:lang w:val="es-ES_tradnl"/>
        </w:rPr>
        <w:t xml:space="preserve">por un aumento en los ingresos fiscales que recibiría el </w:t>
      </w:r>
      <w:r>
        <w:rPr>
          <w:lang w:val="es-ES_tradnl"/>
        </w:rPr>
        <w:t>Gobierno</w:t>
      </w:r>
      <w:r w:rsidRPr="004B0F78">
        <w:rPr>
          <w:lang w:val="es-ES_tradnl"/>
        </w:rPr>
        <w:t xml:space="preserve"> federal que compensaría parcialmente estos costos. Dependiendo del grado de relocalización de las compañías</w:t>
      </w:r>
      <w:r>
        <w:rPr>
          <w:lang w:val="es-ES_tradnl"/>
        </w:rPr>
        <w:t>, la estadidad para Puerto Rico</w:t>
      </w:r>
      <w:r w:rsidRPr="004B0F78">
        <w:rPr>
          <w:lang w:val="es-ES_tradnl"/>
        </w:rPr>
        <w:t xml:space="preserve"> tendría un costo neto acumulado </w:t>
      </w:r>
      <w:r>
        <w:rPr>
          <w:lang w:val="es-ES_tradnl"/>
        </w:rPr>
        <w:t>para</w:t>
      </w:r>
      <w:r w:rsidRPr="004B0F78">
        <w:rPr>
          <w:lang w:val="es-ES_tradnl"/>
        </w:rPr>
        <w:t xml:space="preserve"> el </w:t>
      </w:r>
      <w:r>
        <w:rPr>
          <w:lang w:val="es-ES_tradnl"/>
        </w:rPr>
        <w:t xml:space="preserve">Gobierno de </w:t>
      </w:r>
      <w:r w:rsidRPr="004B0F78">
        <w:rPr>
          <w:lang w:val="es-ES_tradnl"/>
        </w:rPr>
        <w:t>Estados Unidos entre $22</w:t>
      </w:r>
      <w:r>
        <w:rPr>
          <w:lang w:val="es-ES_tradnl"/>
        </w:rPr>
        <w:t>,000 m</w:t>
      </w:r>
      <w:r w:rsidRPr="004B0F78">
        <w:rPr>
          <w:lang w:val="es-ES_tradnl"/>
        </w:rPr>
        <w:t>illones y $25</w:t>
      </w:r>
      <w:r>
        <w:rPr>
          <w:lang w:val="es-ES_tradnl"/>
        </w:rPr>
        <w:t>,000 millones durante el mismo perí</w:t>
      </w:r>
      <w:r w:rsidRPr="004B0F78">
        <w:rPr>
          <w:lang w:val="es-ES_tradnl"/>
        </w:rPr>
        <w:t>odo.</w:t>
      </w:r>
    </w:p>
    <w:p w:rsidR="005A5E7D" w:rsidRDefault="005A5E7D" w:rsidP="005A5E7D">
      <w:pPr>
        <w:rPr>
          <w:lang w:val="es-ES_tradnl"/>
        </w:rPr>
      </w:pPr>
      <w:r>
        <w:rPr>
          <w:lang w:val="es-ES_tradnl"/>
        </w:rPr>
        <w:t>Similarmente, la estadidad causaría un fuerte dilema presupuestario para Puerto Rico. La Isla no podría bajar sus impuestos, a pesar de la carga que implica la imposición de impuestos federales, para balancear los gastos por los servicios prestados en ese momento. Si Puerto Rico escogiese reducir las tasas de su contribución sobre ingresos, para de esta forma alinearlas a las tasas a que se enfrentan los residentes de los estados, el costo para el Gobierno de Puerto Rico sería de alrededor de $8,000 millones del 1992 al 2000. Para poner el problema del déficit en perspectiva, se requeriría despedir cerca de 90,000 empleados, el 40% del total del empleo gubernamental, para balancear el presupuesto solamente mediante un recorte de los gastos públicos después de un período de transición.</w:t>
      </w:r>
    </w:p>
    <w:p w:rsidR="005A5E7D" w:rsidRPr="00764FE5" w:rsidRDefault="005A5E7D" w:rsidP="005A5E7D">
      <w:pPr>
        <w:rPr>
          <w:lang w:val="es-ES_tradnl"/>
        </w:rPr>
      </w:pPr>
      <w:r>
        <w:rPr>
          <w:lang w:val="es-ES_tradnl"/>
        </w:rPr>
        <w:t>Estos resultados demuestran que la economía de Puerto Rico experimentaría una transformación de grandes proporciones bajo la estadidad. La economía perdería un componente significativo de su base industrial, debido a la relocalización de las firmas 936 y de corporaciones foráneas. El sector público se vería forzado a recortar servicios y empleos para retener niveles competitivos de tributación. La producción industrial, acumulación de capital, y tanto el empleo en el sector público como en el privado se reemplazaría en parte por las transferencias federales a la Isla.</w:t>
      </w:r>
    </w:p>
    <w:p w:rsidR="005A5E7D" w:rsidRDefault="005A5E7D" w:rsidP="005A5E7D">
      <w:pPr>
        <w:rPr>
          <w:lang w:val="es-ES_tradnl"/>
        </w:rPr>
      </w:pPr>
      <w:r>
        <w:rPr>
          <w:lang w:val="es-ES_tradnl"/>
        </w:rPr>
        <w:t>El estudio de la</w:t>
      </w:r>
      <w:r w:rsidRPr="00292A05">
        <w:rPr>
          <w:lang w:val="es-ES_tradnl"/>
        </w:rPr>
        <w:t xml:space="preserve"> </w:t>
      </w:r>
      <w:r>
        <w:t>Oficina de Presupuesto del Congreso (</w:t>
      </w:r>
      <w:r w:rsidRPr="005300BC">
        <w:rPr>
          <w:i/>
        </w:rPr>
        <w:t>Congressional Budget Office</w:t>
      </w:r>
      <w:r>
        <w:t>, CBO)</w:t>
      </w:r>
      <w:r>
        <w:rPr>
          <w:lang w:val="es-ES_tradnl"/>
        </w:rPr>
        <w:t>,</w:t>
      </w:r>
      <w:r w:rsidRPr="00292A05">
        <w:rPr>
          <w:lang w:val="es-ES_tradnl"/>
        </w:rPr>
        <w:t xml:space="preserve"> relacionado al </w:t>
      </w:r>
      <w:r>
        <w:rPr>
          <w:lang w:val="es-ES_tradnl"/>
        </w:rPr>
        <w:t xml:space="preserve">proyecto de ley del Congreso federal </w:t>
      </w:r>
      <w:r w:rsidRPr="00292A05">
        <w:rPr>
          <w:lang w:val="es-ES_tradnl"/>
        </w:rPr>
        <w:t>S. 712</w:t>
      </w:r>
      <w:r>
        <w:rPr>
          <w:lang w:val="es-ES_tradnl"/>
        </w:rPr>
        <w:t>,</w:t>
      </w:r>
      <w:r w:rsidRPr="00292A05">
        <w:rPr>
          <w:lang w:val="es-ES_tradnl"/>
        </w:rPr>
        <w:t xml:space="preserve"> </w:t>
      </w:r>
      <w:r>
        <w:rPr>
          <w:lang w:val="es-ES_tradnl"/>
        </w:rPr>
        <w:t>estableció</w:t>
      </w:r>
      <w:r w:rsidRPr="00292A05">
        <w:rPr>
          <w:lang w:val="es-ES_tradnl"/>
        </w:rPr>
        <w:t xml:space="preserve"> una relación entre aspectos fiscales y crecimiento económico (CBO, 1990</w:t>
      </w:r>
      <w:r>
        <w:rPr>
          <w:lang w:val="es-ES_tradnl"/>
        </w:rPr>
        <w:t>).</w:t>
      </w:r>
      <w:r>
        <w:rPr>
          <w:rStyle w:val="FootnoteReference"/>
          <w:sz w:val="28"/>
          <w:lang w:val="es-ES_tradnl"/>
        </w:rPr>
        <w:footnoteReference w:id="12"/>
      </w:r>
      <w:r w:rsidRPr="00292A05">
        <w:rPr>
          <w:lang w:val="es-ES_tradnl"/>
        </w:rPr>
        <w:t xml:space="preserve"> Según este estudio</w:t>
      </w:r>
      <w:r>
        <w:rPr>
          <w:lang w:val="es-ES_tradnl"/>
        </w:rPr>
        <w:t>,</w:t>
      </w:r>
      <w:r w:rsidRPr="00292A05">
        <w:rPr>
          <w:lang w:val="es-ES_tradnl"/>
        </w:rPr>
        <w:t xml:space="preserve"> los “aspectos de la estadidad</w:t>
      </w:r>
      <w:r>
        <w:rPr>
          <w:lang w:val="es-ES_tradnl"/>
        </w:rPr>
        <w:t>,</w:t>
      </w:r>
      <w:r w:rsidRPr="00292A05">
        <w:rPr>
          <w:lang w:val="es-ES_tradnl"/>
        </w:rPr>
        <w:t xml:space="preserve"> bajo el </w:t>
      </w:r>
      <w:r>
        <w:rPr>
          <w:lang w:val="es-ES_tradnl"/>
        </w:rPr>
        <w:t>S. 712, que la</w:t>
      </w:r>
      <w:r w:rsidRPr="00292A05">
        <w:rPr>
          <w:lang w:val="es-ES_tradnl"/>
        </w:rPr>
        <w:t xml:space="preserve"> CBO es capaz de cuantificar</w:t>
      </w:r>
      <w:r>
        <w:rPr>
          <w:lang w:val="es-ES_tradnl"/>
        </w:rPr>
        <w:t>, pueden eventualmente</w:t>
      </w:r>
      <w:r w:rsidRPr="00292A05">
        <w:rPr>
          <w:lang w:val="es-ES_tradnl"/>
        </w:rPr>
        <w:t xml:space="preserve"> traer consigo una reducción significativa en el crecimiento de la economía puertorriqueña”.</w:t>
      </w:r>
      <w:r>
        <w:rPr>
          <w:lang w:val="es-ES_tradnl"/>
        </w:rPr>
        <w:t xml:space="preserve"> Continuó argumentando que </w:t>
      </w:r>
      <w:r w:rsidRPr="00292A05">
        <w:rPr>
          <w:lang w:val="es-ES_tradnl"/>
        </w:rPr>
        <w:t xml:space="preserve">aumentos en </w:t>
      </w:r>
      <w:r>
        <w:rPr>
          <w:lang w:val="es-ES_tradnl"/>
        </w:rPr>
        <w:t xml:space="preserve">las </w:t>
      </w:r>
      <w:r w:rsidRPr="00292A05">
        <w:rPr>
          <w:lang w:val="es-ES_tradnl"/>
        </w:rPr>
        <w:t>transferencias federales (menos impuestos nuevos) estimularían</w:t>
      </w:r>
      <w:r>
        <w:rPr>
          <w:lang w:val="es-ES_tradnl"/>
        </w:rPr>
        <w:t xml:space="preserve"> </w:t>
      </w:r>
      <w:r w:rsidRPr="00292A05">
        <w:rPr>
          <w:lang w:val="es-ES_tradnl"/>
        </w:rPr>
        <w:t>inicialmente la economía. Más tarde, sin embargo, la estadidad p</w:t>
      </w:r>
      <w:r>
        <w:rPr>
          <w:lang w:val="es-ES_tradnl"/>
        </w:rPr>
        <w:t>odría</w:t>
      </w:r>
      <w:r w:rsidRPr="00292A05">
        <w:rPr>
          <w:lang w:val="es-ES_tradnl"/>
        </w:rPr>
        <w:t xml:space="preserve"> llevar a un crecimiento económico más lento de lo que se esperaría bajo el estatus del Estado Libre </w:t>
      </w:r>
      <w:r w:rsidRPr="00C06F5C">
        <w:rPr>
          <w:lang w:val="es-ES_tradnl"/>
        </w:rPr>
        <w:t>Asociado</w:t>
      </w:r>
      <w:r>
        <w:rPr>
          <w:lang w:val="es-ES_tradnl"/>
        </w:rPr>
        <w:t xml:space="preserve"> (ELA),</w:t>
      </w:r>
      <w:r w:rsidRPr="00C06F5C">
        <w:rPr>
          <w:lang w:val="es-ES_tradnl"/>
        </w:rPr>
        <w:t xml:space="preserve"> debido a que la estadidad podría reducir el crecimien</w:t>
      </w:r>
      <w:r>
        <w:rPr>
          <w:lang w:val="es-ES_tradnl"/>
        </w:rPr>
        <w:t>to de la inversión, el producto</w:t>
      </w:r>
      <w:r w:rsidRPr="00C06F5C">
        <w:rPr>
          <w:lang w:val="es-ES_tradnl"/>
        </w:rPr>
        <w:t xml:space="preserve"> y el empl</w:t>
      </w:r>
      <w:r>
        <w:rPr>
          <w:lang w:val="es-ES_tradnl"/>
        </w:rPr>
        <w:t xml:space="preserve">eo en el sector manufacturero. </w:t>
      </w:r>
      <w:r w:rsidRPr="00C06F5C">
        <w:rPr>
          <w:lang w:val="es-ES_tradnl"/>
        </w:rPr>
        <w:t>Esta reducción podría inicia</w:t>
      </w:r>
      <w:r>
        <w:rPr>
          <w:lang w:val="es-ES_tradnl"/>
        </w:rPr>
        <w:t>rse</w:t>
      </w:r>
      <w:r w:rsidRPr="00C06F5C">
        <w:rPr>
          <w:lang w:val="es-ES_tradnl"/>
        </w:rPr>
        <w:t xml:space="preserve"> debido a que, bajo la estadidad, corporaciones estadounidenses que operan en Puerto Rico no disfrutarían más las ventajas contributivas provistas </w:t>
      </w:r>
      <w:r>
        <w:rPr>
          <w:lang w:val="es-ES_tradnl"/>
        </w:rPr>
        <w:t xml:space="preserve">entonces </w:t>
      </w:r>
      <w:r w:rsidRPr="00C06F5C">
        <w:rPr>
          <w:lang w:val="es-ES_tradnl"/>
        </w:rPr>
        <w:t>por la Sección 936 del Código de Rentas Internas</w:t>
      </w:r>
      <w:r>
        <w:rPr>
          <w:lang w:val="es-ES_tradnl"/>
        </w:rPr>
        <w:t xml:space="preserve"> federal.</w:t>
      </w:r>
    </w:p>
    <w:p w:rsidR="005A5E7D" w:rsidRPr="00C06F5C" w:rsidRDefault="005A5E7D" w:rsidP="005A5E7D">
      <w:pPr>
        <w:rPr>
          <w:lang w:val="es-ES_tradnl"/>
        </w:rPr>
      </w:pPr>
      <w:r w:rsidRPr="00C06F5C">
        <w:rPr>
          <w:lang w:val="es-ES_tradnl"/>
        </w:rPr>
        <w:t>Los posi</w:t>
      </w:r>
      <w:r>
        <w:rPr>
          <w:lang w:val="es-ES_tradnl"/>
        </w:rPr>
        <w:t>bles escenarios que investigó la</w:t>
      </w:r>
      <w:r w:rsidRPr="00C06F5C">
        <w:rPr>
          <w:lang w:val="es-ES_tradnl"/>
        </w:rPr>
        <w:t xml:space="preserve"> CBO sugieren que</w:t>
      </w:r>
      <w:r>
        <w:rPr>
          <w:lang w:val="es-ES_tradnl"/>
        </w:rPr>
        <w:t>,</w:t>
      </w:r>
      <w:r w:rsidRPr="00C06F5C">
        <w:rPr>
          <w:lang w:val="es-ES_tradnl"/>
        </w:rPr>
        <w:t xml:space="preserve"> entre </w:t>
      </w:r>
      <w:r>
        <w:rPr>
          <w:lang w:val="es-ES_tradnl"/>
        </w:rPr>
        <w:t xml:space="preserve">el año </w:t>
      </w:r>
      <w:r w:rsidRPr="00C06F5C">
        <w:rPr>
          <w:lang w:val="es-ES_tradnl"/>
        </w:rPr>
        <w:t xml:space="preserve">1992 y </w:t>
      </w:r>
      <w:r>
        <w:rPr>
          <w:lang w:val="es-ES_tradnl"/>
        </w:rPr>
        <w:t xml:space="preserve">el </w:t>
      </w:r>
      <w:r w:rsidRPr="00C06F5C">
        <w:rPr>
          <w:lang w:val="es-ES_tradnl"/>
        </w:rPr>
        <w:t>2000, el crecimiento anual proyectado en el producto nacional bruto</w:t>
      </w:r>
      <w:r>
        <w:rPr>
          <w:lang w:val="es-ES_tradnl"/>
        </w:rPr>
        <w:t xml:space="preserve"> (PNB)</w:t>
      </w:r>
      <w:r w:rsidRPr="00C06F5C">
        <w:rPr>
          <w:lang w:val="es-ES_tradnl"/>
        </w:rPr>
        <w:t xml:space="preserve"> real (ajustado por inflación)</w:t>
      </w:r>
      <w:r>
        <w:rPr>
          <w:lang w:val="es-ES_tradnl"/>
        </w:rPr>
        <w:t xml:space="preserve"> </w:t>
      </w:r>
      <w:r w:rsidRPr="00C06F5C">
        <w:rPr>
          <w:lang w:val="es-ES_tradnl"/>
        </w:rPr>
        <w:t xml:space="preserve">de Puerto Rico podría ser más lento </w:t>
      </w:r>
      <w:r>
        <w:rPr>
          <w:lang w:val="es-ES_tradnl"/>
        </w:rPr>
        <w:t>que bajo el actual estatus del E</w:t>
      </w:r>
      <w:r w:rsidRPr="00C06F5C">
        <w:rPr>
          <w:lang w:val="es-ES_tradnl"/>
        </w:rPr>
        <w:t xml:space="preserve">stado Libre Asociado. Estos descensos en crecimiento son consistentes con una reducción de entre </w:t>
      </w:r>
      <w:r>
        <w:rPr>
          <w:lang w:val="es-ES_tradnl"/>
        </w:rPr>
        <w:t xml:space="preserve">un </w:t>
      </w:r>
      <w:r w:rsidRPr="00C06F5C">
        <w:rPr>
          <w:lang w:val="es-ES_tradnl"/>
        </w:rPr>
        <w:t>10</w:t>
      </w:r>
      <w:r>
        <w:rPr>
          <w:lang w:val="es-ES_tradnl"/>
        </w:rPr>
        <w:t>%</w:t>
      </w:r>
      <w:r w:rsidRPr="00C06F5C">
        <w:rPr>
          <w:lang w:val="es-ES_tradnl"/>
        </w:rPr>
        <w:t xml:space="preserve"> y </w:t>
      </w:r>
      <w:r>
        <w:rPr>
          <w:lang w:val="es-ES_tradnl"/>
        </w:rPr>
        <w:t xml:space="preserve">un </w:t>
      </w:r>
      <w:r w:rsidRPr="00C06F5C">
        <w:rPr>
          <w:lang w:val="es-ES_tradnl"/>
        </w:rPr>
        <w:t>15</w:t>
      </w:r>
      <w:r>
        <w:rPr>
          <w:lang w:val="es-ES_tradnl"/>
        </w:rPr>
        <w:t>%</w:t>
      </w:r>
      <w:r w:rsidRPr="00C06F5C">
        <w:rPr>
          <w:lang w:val="es-ES_tradnl"/>
        </w:rPr>
        <w:t xml:space="preserve"> </w:t>
      </w:r>
      <w:r>
        <w:rPr>
          <w:lang w:val="es-ES_tradnl"/>
        </w:rPr>
        <w:t>en el nivel del PNB</w:t>
      </w:r>
      <w:r w:rsidRPr="00C06F5C">
        <w:rPr>
          <w:lang w:val="es-ES_tradnl"/>
        </w:rPr>
        <w:t xml:space="preserve"> de Puerto Rico en el año 2000</w:t>
      </w:r>
      <w:r>
        <w:rPr>
          <w:lang w:val="es-ES_tradnl"/>
        </w:rPr>
        <w:t>,</w:t>
      </w:r>
      <w:r w:rsidRPr="00C06F5C">
        <w:rPr>
          <w:lang w:val="es-ES_tradnl"/>
        </w:rPr>
        <w:t xml:space="preserve"> de los niveles que se proyectarían</w:t>
      </w:r>
      <w:r>
        <w:rPr>
          <w:lang w:val="es-ES_tradnl"/>
        </w:rPr>
        <w:t xml:space="preserve"> de otra manera para ese año. </w:t>
      </w:r>
      <w:r w:rsidRPr="00C06F5C">
        <w:rPr>
          <w:lang w:val="es-ES_tradnl"/>
        </w:rPr>
        <w:t>Estas reducciones en el crecimiento del PNB real serían acompañadas por un crecimiento anual en el empleo cerca de medio a un punto porcentual más lento del proyectado bajo el estatus del E</w:t>
      </w:r>
      <w:r>
        <w:rPr>
          <w:lang w:val="es-ES_tradnl"/>
        </w:rPr>
        <w:t>LA</w:t>
      </w:r>
      <w:r w:rsidRPr="00C06F5C">
        <w:rPr>
          <w:lang w:val="es-ES_tradnl"/>
        </w:rPr>
        <w:t>. Si Puerto Rico se h</w:t>
      </w:r>
      <w:r>
        <w:rPr>
          <w:lang w:val="es-ES_tradnl"/>
        </w:rPr>
        <w:t>iciera</w:t>
      </w:r>
      <w:r w:rsidRPr="00C06F5C">
        <w:rPr>
          <w:lang w:val="es-ES_tradnl"/>
        </w:rPr>
        <w:t xml:space="preserve"> independiente, los c</w:t>
      </w:r>
      <w:r>
        <w:rPr>
          <w:lang w:val="es-ES_tradnl"/>
        </w:rPr>
        <w:t>ambios económicos podría</w:t>
      </w:r>
      <w:r w:rsidRPr="00C06F5C">
        <w:rPr>
          <w:lang w:val="es-ES_tradnl"/>
        </w:rPr>
        <w:t>n ser bastante diferentes pero incl</w:t>
      </w:r>
      <w:r>
        <w:rPr>
          <w:lang w:val="es-ES_tradnl"/>
        </w:rPr>
        <w:t>uso más difíciles de predecir. La</w:t>
      </w:r>
      <w:r w:rsidRPr="00C06F5C">
        <w:rPr>
          <w:lang w:val="es-ES_tradnl"/>
        </w:rPr>
        <w:t xml:space="preserve"> CBO no intent</w:t>
      </w:r>
      <w:r>
        <w:rPr>
          <w:lang w:val="es-ES_tradnl"/>
        </w:rPr>
        <w:t>ó</w:t>
      </w:r>
      <w:r w:rsidRPr="00C06F5C">
        <w:rPr>
          <w:lang w:val="es-ES_tradnl"/>
        </w:rPr>
        <w:t xml:space="preserve"> predecir cuant</w:t>
      </w:r>
      <w:r>
        <w:rPr>
          <w:lang w:val="es-ES_tradnl"/>
        </w:rPr>
        <w:t xml:space="preserve">a </w:t>
      </w:r>
      <w:r w:rsidRPr="00C06F5C">
        <w:rPr>
          <w:lang w:val="es-ES_tradnl"/>
        </w:rPr>
        <w:t xml:space="preserve">inversión directa </w:t>
      </w:r>
      <w:r>
        <w:rPr>
          <w:lang w:val="es-ES_tradnl"/>
        </w:rPr>
        <w:t xml:space="preserve">se </w:t>
      </w:r>
      <w:r w:rsidRPr="00C06F5C">
        <w:rPr>
          <w:lang w:val="es-ES_tradnl"/>
        </w:rPr>
        <w:t>podría</w:t>
      </w:r>
      <w:r>
        <w:rPr>
          <w:lang w:val="es-ES_tradnl"/>
        </w:rPr>
        <w:t xml:space="preserve"> atraer bajo la independencia.</w:t>
      </w:r>
    </w:p>
    <w:p w:rsidR="005A5E7D" w:rsidRPr="00C06F5C" w:rsidRDefault="005A5E7D" w:rsidP="005A5E7D">
      <w:pPr>
        <w:rPr>
          <w:lang w:val="es-ES_tradnl"/>
        </w:rPr>
      </w:pPr>
      <w:r w:rsidRPr="00C06F5C">
        <w:rPr>
          <w:lang w:val="es-ES_tradnl"/>
        </w:rPr>
        <w:t>Si la inversión directa del exterior permanec</w:t>
      </w:r>
      <w:r>
        <w:rPr>
          <w:lang w:val="es-ES_tradnl"/>
        </w:rPr>
        <w:t>iera</w:t>
      </w:r>
      <w:r w:rsidRPr="00C06F5C">
        <w:rPr>
          <w:lang w:val="es-ES_tradnl"/>
        </w:rPr>
        <w:t xml:space="preserve"> en los niveles proyectados bajo una continuación del E</w:t>
      </w:r>
      <w:r>
        <w:rPr>
          <w:lang w:val="es-ES_tradnl"/>
        </w:rPr>
        <w:t>LA</w:t>
      </w:r>
      <w:r w:rsidRPr="00C06F5C">
        <w:rPr>
          <w:lang w:val="es-ES_tradnl"/>
        </w:rPr>
        <w:t>, la reducción y eventual eliminación de las transferencias federales a Puerto Rico</w:t>
      </w:r>
      <w:r>
        <w:rPr>
          <w:lang w:val="es-ES_tradnl"/>
        </w:rPr>
        <w:t>,</w:t>
      </w:r>
      <w:r w:rsidRPr="00C06F5C">
        <w:rPr>
          <w:lang w:val="es-ES_tradnl"/>
        </w:rPr>
        <w:t xml:space="preserve"> a partir de los niveles según el mandato del S. 712, sería probable que causara</w:t>
      </w:r>
      <w:r>
        <w:rPr>
          <w:lang w:val="es-ES_tradnl"/>
        </w:rPr>
        <w:t>n</w:t>
      </w:r>
      <w:r w:rsidRPr="00C06F5C">
        <w:rPr>
          <w:lang w:val="es-ES_tradnl"/>
        </w:rPr>
        <w:t xml:space="preserve"> una pequeña reducción en el crecimiento del PNB real </w:t>
      </w:r>
      <w:r w:rsidRPr="008B456C">
        <w:t>—</w:t>
      </w:r>
      <w:r w:rsidRPr="00C06F5C">
        <w:rPr>
          <w:lang w:val="es-ES_tradnl"/>
        </w:rPr>
        <w:t>en el orden de 0.2 a 0.3 puntos porcentuales por año en el período de 1992 a</w:t>
      </w:r>
      <w:r>
        <w:rPr>
          <w:lang w:val="es-ES_tradnl"/>
        </w:rPr>
        <w:t>l</w:t>
      </w:r>
      <w:r w:rsidRPr="00C06F5C">
        <w:rPr>
          <w:lang w:val="es-ES_tradnl"/>
        </w:rPr>
        <w:t xml:space="preserve"> 2000.</w:t>
      </w:r>
      <w:r>
        <w:rPr>
          <w:lang w:val="es-ES_tradnl"/>
        </w:rPr>
        <w:t xml:space="preserve"> Además</w:t>
      </w:r>
      <w:r w:rsidRPr="00C06F5C">
        <w:rPr>
          <w:lang w:val="es-ES_tradnl"/>
        </w:rPr>
        <w:t>, un Puerto Rico independiente enfrentaría tasas de interés sobre présta</w:t>
      </w:r>
      <w:r>
        <w:rPr>
          <w:lang w:val="es-ES_tradnl"/>
        </w:rPr>
        <w:t>mos del extranjero que estarían</w:t>
      </w:r>
      <w:r w:rsidRPr="00C06F5C">
        <w:rPr>
          <w:lang w:val="es-ES_tradnl"/>
        </w:rPr>
        <w:t xml:space="preserve"> al menos dos puntos porcentuales más alt</w:t>
      </w:r>
      <w:r>
        <w:rPr>
          <w:lang w:val="es-ES_tradnl"/>
        </w:rPr>
        <w:t>a</w:t>
      </w:r>
      <w:r w:rsidRPr="00C06F5C">
        <w:rPr>
          <w:lang w:val="es-ES_tradnl"/>
        </w:rPr>
        <w:t>s que l</w:t>
      </w:r>
      <w:r>
        <w:rPr>
          <w:lang w:val="es-ES_tradnl"/>
        </w:rPr>
        <w:t>a</w:t>
      </w:r>
      <w:r w:rsidRPr="00C06F5C">
        <w:rPr>
          <w:lang w:val="es-ES_tradnl"/>
        </w:rPr>
        <w:t>s que pagaría bajo las otras opciones de estatus. Estos cambios p</w:t>
      </w:r>
      <w:r>
        <w:rPr>
          <w:lang w:val="es-ES_tradnl"/>
        </w:rPr>
        <w:t>odría</w:t>
      </w:r>
      <w:r w:rsidRPr="00C06F5C">
        <w:rPr>
          <w:lang w:val="es-ES_tradnl"/>
        </w:rPr>
        <w:t>n venir acompañados de otros, tanto positivos como negativos, que podrían ser pot</w:t>
      </w:r>
      <w:r>
        <w:rPr>
          <w:lang w:val="es-ES_tradnl"/>
        </w:rPr>
        <w:t>encialmente más grandes, pero la</w:t>
      </w:r>
      <w:r w:rsidRPr="00C06F5C">
        <w:rPr>
          <w:lang w:val="es-ES_tradnl"/>
        </w:rPr>
        <w:t xml:space="preserve"> CBO no </w:t>
      </w:r>
      <w:r>
        <w:rPr>
          <w:lang w:val="es-ES_tradnl"/>
        </w:rPr>
        <w:t>fue</w:t>
      </w:r>
      <w:r w:rsidRPr="00C06F5C">
        <w:rPr>
          <w:lang w:val="es-ES_tradnl"/>
        </w:rPr>
        <w:t xml:space="preserve"> capaz de cuantificarlos. Estos posibles cambios incluyen </w:t>
      </w:r>
      <w:r>
        <w:rPr>
          <w:lang w:val="es-ES_tradnl"/>
        </w:rPr>
        <w:t xml:space="preserve">una </w:t>
      </w:r>
      <w:r w:rsidRPr="00C06F5C">
        <w:rPr>
          <w:lang w:val="es-ES_tradnl"/>
        </w:rPr>
        <w:t xml:space="preserve">expansión en la inversión directa en Puerto Rico por países diferentes a Estados Unidos, </w:t>
      </w:r>
      <w:r>
        <w:rPr>
          <w:lang w:val="es-ES_tradnl"/>
        </w:rPr>
        <w:t xml:space="preserve">una </w:t>
      </w:r>
      <w:r w:rsidRPr="00C06F5C">
        <w:rPr>
          <w:lang w:val="es-ES_tradnl"/>
        </w:rPr>
        <w:t>reducción en la dependencia econ</w:t>
      </w:r>
      <w:r>
        <w:rPr>
          <w:lang w:val="es-ES_tradnl"/>
        </w:rPr>
        <w:t>ómica entre los puertorriqueños</w:t>
      </w:r>
      <w:r w:rsidRPr="00C06F5C">
        <w:rPr>
          <w:lang w:val="es-ES_tradnl"/>
        </w:rPr>
        <w:t xml:space="preserve"> y complicaciones en obtener financiamiento externo para la balanza de pagos. </w:t>
      </w:r>
    </w:p>
    <w:p w:rsidR="005A5E7D" w:rsidRPr="00C06F5C" w:rsidRDefault="005A5E7D" w:rsidP="005A5E7D">
      <w:pPr>
        <w:rPr>
          <w:lang w:val="es-ES_tradnl"/>
        </w:rPr>
      </w:pPr>
      <w:r w:rsidRPr="00C06F5C">
        <w:rPr>
          <w:lang w:val="es-ES_tradnl"/>
        </w:rPr>
        <w:t>Por otro lado</w:t>
      </w:r>
      <w:r>
        <w:rPr>
          <w:lang w:val="es-ES_tradnl"/>
        </w:rPr>
        <w:t>,</w:t>
      </w:r>
      <w:r w:rsidRPr="00C06F5C">
        <w:rPr>
          <w:lang w:val="es-ES_tradnl"/>
        </w:rPr>
        <w:t xml:space="preserve"> proponentes de un Estado Libre Asociado mejorado argumentan que estos cambios podrían mejorar el actual programa de desarrollo económico de la Isla, el cual se enfoca principalmente en la expansió</w:t>
      </w:r>
      <w:r>
        <w:rPr>
          <w:lang w:val="es-ES_tradnl"/>
        </w:rPr>
        <w:t xml:space="preserve">n del turismo y la manufactura. </w:t>
      </w:r>
      <w:r w:rsidRPr="00C06F5C">
        <w:rPr>
          <w:lang w:val="es-ES_tradnl"/>
        </w:rPr>
        <w:t>Un E</w:t>
      </w:r>
      <w:r>
        <w:rPr>
          <w:lang w:val="es-ES_tradnl"/>
        </w:rPr>
        <w:t xml:space="preserve">LA </w:t>
      </w:r>
      <w:r w:rsidRPr="00C06F5C">
        <w:rPr>
          <w:lang w:val="es-ES_tradnl"/>
        </w:rPr>
        <w:t xml:space="preserve">mejorado podría llevar a un tratamiento arancelario más favorable </w:t>
      </w:r>
      <w:r>
        <w:rPr>
          <w:lang w:val="es-ES_tradnl"/>
        </w:rPr>
        <w:t>para</w:t>
      </w:r>
      <w:r w:rsidRPr="00C06F5C">
        <w:rPr>
          <w:lang w:val="es-ES_tradnl"/>
        </w:rPr>
        <w:t xml:space="preserve"> las exportaciones e importaciones de Puerto Rico. </w:t>
      </w:r>
      <w:r>
        <w:rPr>
          <w:lang w:val="es-ES_tradnl"/>
        </w:rPr>
        <w:t>Se alentaría a o</w:t>
      </w:r>
      <w:r w:rsidRPr="00C06F5C">
        <w:rPr>
          <w:lang w:val="es-ES_tradnl"/>
        </w:rPr>
        <w:t xml:space="preserve">tros países a tratar favorablemente las exportaciones de la Isla, mientras que Puerto Rico adquiriría </w:t>
      </w:r>
      <w:r>
        <w:rPr>
          <w:lang w:val="es-ES_tradnl"/>
        </w:rPr>
        <w:t xml:space="preserve">un </w:t>
      </w:r>
      <w:r w:rsidRPr="00C06F5C">
        <w:rPr>
          <w:lang w:val="es-ES_tradnl"/>
        </w:rPr>
        <w:t xml:space="preserve">poder limitado para establecer aranceles en sus importaciones, con el fin de impulsar el crecimiento de industrias </w:t>
      </w:r>
      <w:r>
        <w:rPr>
          <w:lang w:val="es-ES_tradnl"/>
        </w:rPr>
        <w:t>puertorriqueña</w:t>
      </w:r>
      <w:r w:rsidRPr="00C06F5C">
        <w:rPr>
          <w:lang w:val="es-ES_tradnl"/>
        </w:rPr>
        <w:t xml:space="preserve">s en particular. </w:t>
      </w:r>
    </w:p>
    <w:p w:rsidR="005A5E7D" w:rsidRDefault="005A5E7D" w:rsidP="005A5E7D">
      <w:pPr>
        <w:rPr>
          <w:lang w:val="es-ES_tradnl"/>
        </w:rPr>
      </w:pPr>
      <w:r>
        <w:rPr>
          <w:lang w:val="es-ES_tradnl"/>
        </w:rPr>
        <w:t>La</w:t>
      </w:r>
      <w:r w:rsidRPr="00C06F5C">
        <w:rPr>
          <w:lang w:val="es-ES_tradnl"/>
        </w:rPr>
        <w:t xml:space="preserve"> CBO </w:t>
      </w:r>
      <w:r>
        <w:rPr>
          <w:lang w:val="es-ES_tradnl"/>
        </w:rPr>
        <w:t xml:space="preserve">continuó </w:t>
      </w:r>
      <w:r w:rsidRPr="00C06F5C">
        <w:rPr>
          <w:lang w:val="es-ES_tradnl"/>
        </w:rPr>
        <w:t>argumentado que</w:t>
      </w:r>
      <w:r>
        <w:rPr>
          <w:lang w:val="es-ES_tradnl"/>
        </w:rPr>
        <w:t xml:space="preserve">, </w:t>
      </w:r>
      <w:r w:rsidRPr="00C06F5C">
        <w:rPr>
          <w:lang w:val="es-ES_tradnl"/>
        </w:rPr>
        <w:t>bajo el S.</w:t>
      </w:r>
      <w:r>
        <w:rPr>
          <w:lang w:val="es-ES_tradnl"/>
        </w:rPr>
        <w:t xml:space="preserve"> 712,</w:t>
      </w:r>
      <w:r w:rsidRPr="00C06F5C">
        <w:rPr>
          <w:lang w:val="es-ES_tradnl"/>
        </w:rPr>
        <w:t xml:space="preserve"> la estadidad podría traer cambios económicos más radicales a la Isla, algunos de ellos potencialmente restrictivos y otros favorables.</w:t>
      </w:r>
      <w:r>
        <w:rPr>
          <w:lang w:val="es-ES_tradnl"/>
        </w:rPr>
        <w:t xml:space="preserve"> La estadidad implicaría</w:t>
      </w:r>
      <w:r w:rsidRPr="00C06F5C">
        <w:rPr>
          <w:lang w:val="es-ES_tradnl"/>
        </w:rPr>
        <w:t xml:space="preserve"> perder los beneficios de las provisiones fiscales de la </w:t>
      </w:r>
      <w:r>
        <w:rPr>
          <w:lang w:val="es-ES_tradnl"/>
        </w:rPr>
        <w:t>S</w:t>
      </w:r>
      <w:r w:rsidRPr="00C06F5C">
        <w:rPr>
          <w:lang w:val="es-ES_tradnl"/>
        </w:rPr>
        <w:t>ección 936</w:t>
      </w:r>
      <w:r w:rsidRPr="00383D01">
        <w:rPr>
          <w:rStyle w:val="FootnoteReference"/>
          <w:lang w:val="es-ES_tradnl"/>
        </w:rPr>
        <w:footnoteReference w:id="13"/>
      </w:r>
      <w:r>
        <w:rPr>
          <w:lang w:val="es-ES_tradnl"/>
        </w:rPr>
        <w:t>, las cuales</w:t>
      </w:r>
      <w:r w:rsidRPr="00C06F5C">
        <w:rPr>
          <w:lang w:val="es-ES_tradnl"/>
        </w:rPr>
        <w:t xml:space="preserve"> </w:t>
      </w:r>
      <w:r w:rsidRPr="008B456C">
        <w:t>—</w:t>
      </w:r>
      <w:r w:rsidRPr="00C06F5C">
        <w:rPr>
          <w:lang w:val="es-ES_tradnl"/>
        </w:rPr>
        <w:t xml:space="preserve">a todas </w:t>
      </w:r>
      <w:r>
        <w:rPr>
          <w:lang w:val="es-ES_tradnl"/>
        </w:rPr>
        <w:t>luces</w:t>
      </w:r>
      <w:r w:rsidRPr="008B456C">
        <w:t>—</w:t>
      </w:r>
      <w:r w:rsidRPr="00C06F5C">
        <w:rPr>
          <w:lang w:val="es-ES_tradnl"/>
        </w:rPr>
        <w:t xml:space="preserve"> </w:t>
      </w:r>
      <w:r>
        <w:rPr>
          <w:lang w:val="es-ES_tradnl"/>
        </w:rPr>
        <w:t>fuero</w:t>
      </w:r>
      <w:r w:rsidRPr="00C06F5C">
        <w:rPr>
          <w:lang w:val="es-ES_tradnl"/>
        </w:rPr>
        <w:t>n centrales para el rápido desarrollo de la Isla como una economía manufacturera durante los pasados 40 años. Como en otros estados, los impuestos corporativos de Estados Unidos aplicarían a</w:t>
      </w:r>
      <w:r>
        <w:rPr>
          <w:lang w:val="es-ES_tradnl"/>
        </w:rPr>
        <w:t xml:space="preserve"> “toda fuerza” en Puerto Rico. Además</w:t>
      </w:r>
      <w:r w:rsidRPr="00C06F5C">
        <w:rPr>
          <w:lang w:val="es-ES_tradnl"/>
        </w:rPr>
        <w:t xml:space="preserve">, individuos y empresas residentes en </w:t>
      </w:r>
      <w:r>
        <w:rPr>
          <w:lang w:val="es-ES_tradnl"/>
        </w:rPr>
        <w:t>la Isla</w:t>
      </w:r>
      <w:r w:rsidRPr="00C06F5C">
        <w:rPr>
          <w:lang w:val="es-ES_tradnl"/>
        </w:rPr>
        <w:t xml:space="preserve"> estarían sujetos a impuestos federales, mientras ciertos programas de transferencias federales se expandirían</w:t>
      </w:r>
      <w:r>
        <w:rPr>
          <w:lang w:val="es-ES_tradnl"/>
        </w:rPr>
        <w:t xml:space="preserve"> </w:t>
      </w:r>
      <w:r w:rsidRPr="00C06F5C">
        <w:rPr>
          <w:lang w:val="es-ES_tradnl"/>
        </w:rPr>
        <w:t>significativamente. Las consecuencias económicas de estos aspectos de la estadidad, bajo el S. 712, al menos pueden cuantifica</w:t>
      </w:r>
      <w:r>
        <w:rPr>
          <w:lang w:val="es-ES_tradnl"/>
        </w:rPr>
        <w:t>rse</w:t>
      </w:r>
      <w:r w:rsidRPr="00C06F5C">
        <w:rPr>
          <w:lang w:val="es-ES_tradnl"/>
        </w:rPr>
        <w:t xml:space="preserve"> aproximadamente y se</w:t>
      </w:r>
      <w:r>
        <w:rPr>
          <w:lang w:val="es-ES_tradnl"/>
        </w:rPr>
        <w:t xml:space="preserve"> </w:t>
      </w:r>
      <w:r w:rsidRPr="00C06F5C">
        <w:rPr>
          <w:lang w:val="es-ES_tradnl"/>
        </w:rPr>
        <w:t>presenta</w:t>
      </w:r>
      <w:r>
        <w:rPr>
          <w:lang w:val="es-ES_tradnl"/>
        </w:rPr>
        <w:t>ro</w:t>
      </w:r>
      <w:r w:rsidRPr="00C06F5C">
        <w:rPr>
          <w:lang w:val="es-ES_tradnl"/>
        </w:rPr>
        <w:t>n estimados de sus efectos</w:t>
      </w:r>
      <w:r>
        <w:rPr>
          <w:lang w:val="es-ES_tradnl"/>
        </w:rPr>
        <w:t xml:space="preserve"> </w:t>
      </w:r>
      <w:r w:rsidRPr="00C06F5C">
        <w:rPr>
          <w:lang w:val="es-ES_tradnl"/>
        </w:rPr>
        <w:t>en el informe.</w:t>
      </w:r>
    </w:p>
    <w:p w:rsidR="005A5E7D" w:rsidRPr="00C06F5C" w:rsidRDefault="005A5E7D" w:rsidP="005A5E7D">
      <w:pPr>
        <w:rPr>
          <w:lang w:val="es-ES_tradnl"/>
        </w:rPr>
      </w:pPr>
      <w:r>
        <w:rPr>
          <w:lang w:val="es-ES_tradnl"/>
        </w:rPr>
        <w:t xml:space="preserve">Los defensores de la estadidad </w:t>
      </w:r>
      <w:r w:rsidRPr="00C06F5C">
        <w:rPr>
          <w:lang w:val="es-ES_tradnl"/>
        </w:rPr>
        <w:t xml:space="preserve">argumentan que traería un aumento en el reconocimiento entre extranjeros de las oportunidades para la inversión y </w:t>
      </w:r>
      <w:r>
        <w:rPr>
          <w:lang w:val="es-ES_tradnl"/>
        </w:rPr>
        <w:t>el turismo que ofrece la Isla. Los p</w:t>
      </w:r>
      <w:r w:rsidRPr="00C06F5C">
        <w:rPr>
          <w:lang w:val="es-ES_tradnl"/>
        </w:rPr>
        <w:t>roponentes de la estadidad sugieren que estas consecuencias se suplement</w:t>
      </w:r>
      <w:r>
        <w:rPr>
          <w:lang w:val="es-ES_tradnl"/>
        </w:rPr>
        <w:t>en</w:t>
      </w:r>
      <w:r w:rsidRPr="00C06F5C">
        <w:rPr>
          <w:lang w:val="es-ES_tradnl"/>
        </w:rPr>
        <w:t xml:space="preserve"> por un programa de desarrollo económico enfocado en el </w:t>
      </w:r>
      <w:r>
        <w:rPr>
          <w:lang w:val="es-ES_tradnl"/>
        </w:rPr>
        <w:t>turismo, el desarrollo agrícola</w:t>
      </w:r>
      <w:r w:rsidRPr="00C06F5C">
        <w:rPr>
          <w:lang w:val="es-ES_tradnl"/>
        </w:rPr>
        <w:t xml:space="preserve"> y la expansión de la</w:t>
      </w:r>
      <w:r>
        <w:rPr>
          <w:lang w:val="es-ES_tradnl"/>
        </w:rPr>
        <w:t xml:space="preserve"> base manufacturera de la Isla.</w:t>
      </w:r>
    </w:p>
    <w:p w:rsidR="005A5E7D" w:rsidRPr="00C06F5C" w:rsidRDefault="005A5E7D" w:rsidP="005A5E7D">
      <w:pPr>
        <w:rPr>
          <w:lang w:val="es-ES_tradnl"/>
        </w:rPr>
      </w:pPr>
      <w:r>
        <w:rPr>
          <w:lang w:val="es-ES_tradnl"/>
        </w:rPr>
        <w:t>Según la</w:t>
      </w:r>
      <w:r w:rsidRPr="00C06F5C">
        <w:rPr>
          <w:lang w:val="es-ES_tradnl"/>
        </w:rPr>
        <w:t xml:space="preserve"> CBO</w:t>
      </w:r>
      <w:r>
        <w:rPr>
          <w:lang w:val="es-ES_tradnl"/>
        </w:rPr>
        <w:t>,</w:t>
      </w:r>
      <w:r w:rsidRPr="00C06F5C">
        <w:rPr>
          <w:lang w:val="es-ES_tradnl"/>
        </w:rPr>
        <w:t xml:space="preserve"> </w:t>
      </w:r>
      <w:r>
        <w:rPr>
          <w:lang w:val="es-ES_tradnl"/>
        </w:rPr>
        <w:t>l</w:t>
      </w:r>
      <w:r w:rsidRPr="00C06F5C">
        <w:rPr>
          <w:lang w:val="es-ES_tradnl"/>
        </w:rPr>
        <w:t>a independencia p</w:t>
      </w:r>
      <w:r>
        <w:rPr>
          <w:lang w:val="es-ES_tradnl"/>
        </w:rPr>
        <w:t>ara Puerto Rico también traería la</w:t>
      </w:r>
      <w:r w:rsidRPr="00C06F5C">
        <w:rPr>
          <w:lang w:val="es-ES_tradnl"/>
        </w:rPr>
        <w:t xml:space="preserve"> posibilida</w:t>
      </w:r>
      <w:r>
        <w:rPr>
          <w:lang w:val="es-ES_tradnl"/>
        </w:rPr>
        <w:t>d</w:t>
      </w:r>
      <w:r w:rsidRPr="00C06F5C">
        <w:rPr>
          <w:lang w:val="es-ES_tradnl"/>
        </w:rPr>
        <w:t xml:space="preserve"> de ambas restricciones</w:t>
      </w:r>
      <w:r>
        <w:rPr>
          <w:lang w:val="es-ES_tradnl"/>
        </w:rPr>
        <w:t xml:space="preserve"> mencionadas</w:t>
      </w:r>
      <w:r w:rsidRPr="00C06F5C">
        <w:rPr>
          <w:lang w:val="es-ES_tradnl"/>
        </w:rPr>
        <w:t xml:space="preserve"> y mejoras fundamentales en </w:t>
      </w:r>
      <w:r>
        <w:rPr>
          <w:lang w:val="es-ES_tradnl"/>
        </w:rPr>
        <w:t>su</w:t>
      </w:r>
      <w:r w:rsidRPr="00C06F5C">
        <w:rPr>
          <w:lang w:val="es-ES_tradnl"/>
        </w:rPr>
        <w:t xml:space="preserve"> </w:t>
      </w:r>
      <w:r>
        <w:rPr>
          <w:lang w:val="es-ES_tradnl"/>
        </w:rPr>
        <w:t>progreso económico. Plantearon que la independencia removería</w:t>
      </w:r>
      <w:r w:rsidRPr="00C06F5C">
        <w:rPr>
          <w:lang w:val="es-ES_tradnl"/>
        </w:rPr>
        <w:t xml:space="preserve"> necesariamente a Puerto Rico del alcance de la </w:t>
      </w:r>
      <w:r>
        <w:rPr>
          <w:lang w:val="es-ES_tradnl"/>
        </w:rPr>
        <w:t xml:space="preserve">desaparecida </w:t>
      </w:r>
      <w:r w:rsidRPr="00C06F5C">
        <w:rPr>
          <w:lang w:val="es-ES_tradnl"/>
        </w:rPr>
        <w:t>Sección 936. Más a</w:t>
      </w:r>
      <w:r>
        <w:rPr>
          <w:lang w:val="es-ES_tradnl"/>
        </w:rPr>
        <w:t>ú</w:t>
      </w:r>
      <w:r w:rsidRPr="00C06F5C">
        <w:rPr>
          <w:lang w:val="es-ES_tradnl"/>
        </w:rPr>
        <w:t xml:space="preserve">n, el </w:t>
      </w:r>
      <w:r>
        <w:rPr>
          <w:lang w:val="es-ES_tradnl"/>
        </w:rPr>
        <w:t>S. 712</w:t>
      </w:r>
      <w:r w:rsidRPr="00C06F5C">
        <w:rPr>
          <w:lang w:val="es-ES_tradnl"/>
        </w:rPr>
        <w:t xml:space="preserve"> implica</w:t>
      </w:r>
      <w:r>
        <w:rPr>
          <w:lang w:val="es-ES_tradnl"/>
        </w:rPr>
        <w:t>ría</w:t>
      </w:r>
      <w:r w:rsidRPr="00C06F5C">
        <w:rPr>
          <w:lang w:val="es-ES_tradnl"/>
        </w:rPr>
        <w:t xml:space="preserve"> una disminución gradual (y eliminación después del 2000) de las transferencias federales a la Isla de los niveles que por el contrario obtendría, un hecho con algunas implicaciones preocupante</w:t>
      </w:r>
      <w:r>
        <w:rPr>
          <w:lang w:val="es-ES_tradnl"/>
        </w:rPr>
        <w:t>s para la economía puertorriqueña. Además</w:t>
      </w:r>
      <w:r w:rsidRPr="00C06F5C">
        <w:rPr>
          <w:lang w:val="es-ES_tradnl"/>
        </w:rPr>
        <w:t xml:space="preserve">, algunos analistas </w:t>
      </w:r>
      <w:r>
        <w:rPr>
          <w:lang w:val="es-ES_tradnl"/>
        </w:rPr>
        <w:t>ha</w:t>
      </w:r>
      <w:r w:rsidRPr="00C06F5C">
        <w:rPr>
          <w:lang w:val="es-ES_tradnl"/>
        </w:rPr>
        <w:t xml:space="preserve">n </w:t>
      </w:r>
      <w:r>
        <w:rPr>
          <w:lang w:val="es-ES_tradnl"/>
        </w:rPr>
        <w:t>mostrado preocupación</w:t>
      </w:r>
      <w:r w:rsidRPr="00C06F5C">
        <w:rPr>
          <w:lang w:val="es-ES_tradnl"/>
        </w:rPr>
        <w:t xml:space="preserve"> porque</w:t>
      </w:r>
      <w:r>
        <w:rPr>
          <w:lang w:val="es-ES_tradnl"/>
        </w:rPr>
        <w:t xml:space="preserve"> </w:t>
      </w:r>
      <w:r w:rsidRPr="00C06F5C">
        <w:rPr>
          <w:lang w:val="es-ES_tradnl"/>
        </w:rPr>
        <w:t>la Isla p</w:t>
      </w:r>
      <w:r>
        <w:rPr>
          <w:lang w:val="es-ES_tradnl"/>
        </w:rPr>
        <w:t>odría</w:t>
      </w:r>
      <w:r w:rsidRPr="00C06F5C">
        <w:rPr>
          <w:lang w:val="es-ES_tradnl"/>
        </w:rPr>
        <w:t xml:space="preserve"> sufrir una escasez de capital externo, al igual que </w:t>
      </w:r>
      <w:r>
        <w:rPr>
          <w:lang w:val="es-ES_tradnl"/>
        </w:rPr>
        <w:t xml:space="preserve">ocurre en </w:t>
      </w:r>
      <w:r w:rsidRPr="00C06F5C">
        <w:rPr>
          <w:lang w:val="es-ES_tradnl"/>
        </w:rPr>
        <w:t xml:space="preserve">países en desarrollo en América Latina y </w:t>
      </w:r>
      <w:r>
        <w:rPr>
          <w:lang w:val="es-ES_tradnl"/>
        </w:rPr>
        <w:t>otras partes</w:t>
      </w:r>
      <w:r w:rsidRPr="00C06F5C">
        <w:rPr>
          <w:lang w:val="es-ES_tradnl"/>
        </w:rPr>
        <w:t>.</w:t>
      </w:r>
      <w:r>
        <w:rPr>
          <w:lang w:val="es-ES_tradnl"/>
        </w:rPr>
        <w:t xml:space="preserve"> </w:t>
      </w:r>
      <w:r w:rsidRPr="00C06F5C">
        <w:rPr>
          <w:lang w:val="es-ES_tradnl"/>
        </w:rPr>
        <w:t>Pero</w:t>
      </w:r>
      <w:r>
        <w:rPr>
          <w:lang w:val="es-ES_tradnl"/>
        </w:rPr>
        <w:t>,</w:t>
      </w:r>
      <w:r w:rsidRPr="00C06F5C">
        <w:rPr>
          <w:lang w:val="es-ES_tradnl"/>
        </w:rPr>
        <w:t xml:space="preserve"> como una nación independiente, Puerto Rico p</w:t>
      </w:r>
      <w:r>
        <w:rPr>
          <w:lang w:val="es-ES_tradnl"/>
        </w:rPr>
        <w:t>odría</w:t>
      </w:r>
      <w:r w:rsidRPr="00C06F5C">
        <w:rPr>
          <w:lang w:val="es-ES_tradnl"/>
        </w:rPr>
        <w:t xml:space="preserve"> contrarrestar, completa</w:t>
      </w:r>
      <w:r>
        <w:rPr>
          <w:lang w:val="es-ES_tradnl"/>
        </w:rPr>
        <w:t xml:space="preserve"> o </w:t>
      </w:r>
      <w:r w:rsidRPr="00C06F5C">
        <w:rPr>
          <w:lang w:val="es-ES_tradnl"/>
        </w:rPr>
        <w:t>par</w:t>
      </w:r>
      <w:r>
        <w:rPr>
          <w:lang w:val="es-ES_tradnl"/>
        </w:rPr>
        <w:t>cial</w:t>
      </w:r>
      <w:r w:rsidRPr="00C06F5C">
        <w:rPr>
          <w:lang w:val="es-ES_tradnl"/>
        </w:rPr>
        <w:t xml:space="preserve">mente, </w:t>
      </w:r>
      <w:r w:rsidRPr="005B5FEE">
        <w:t>la pérdida de incentivos contributivos para inversión directa a las corporaciones estadounidenses</w:t>
      </w:r>
      <w:r>
        <w:t>,</w:t>
      </w:r>
      <w:r w:rsidRPr="005B5FEE">
        <w:t xml:space="preserve"> y</w:t>
      </w:r>
      <w:r>
        <w:t xml:space="preserve"> también</w:t>
      </w:r>
      <w:r w:rsidRPr="005B5FEE">
        <w:t xml:space="preserve"> p</w:t>
      </w:r>
      <w:r>
        <w:t>odría</w:t>
      </w:r>
      <w:r w:rsidRPr="005B5FEE">
        <w:t xml:space="preserve"> estar en mejor condición que lo</w:t>
      </w:r>
      <w:r>
        <w:rPr>
          <w:lang w:val="es-ES_tradnl"/>
        </w:rPr>
        <w:t xml:space="preserve"> que ha estado en el pasado</w:t>
      </w:r>
      <w:r w:rsidRPr="00C06F5C">
        <w:rPr>
          <w:lang w:val="es-ES_tradnl"/>
        </w:rPr>
        <w:t xml:space="preserve"> para atraer invers</w:t>
      </w:r>
      <w:r>
        <w:rPr>
          <w:lang w:val="es-ES_tradnl"/>
        </w:rPr>
        <w:t>ión directa de terceros países</w:t>
      </w:r>
      <w:r w:rsidRPr="00C06F5C">
        <w:rPr>
          <w:lang w:val="es-ES_tradnl"/>
        </w:rPr>
        <w:t>. Más a</w:t>
      </w:r>
      <w:r>
        <w:rPr>
          <w:lang w:val="es-ES_tradnl"/>
        </w:rPr>
        <w:t>ú</w:t>
      </w:r>
      <w:r w:rsidRPr="00C06F5C">
        <w:rPr>
          <w:lang w:val="es-ES_tradnl"/>
        </w:rPr>
        <w:t>n, los proponentes argumentan que la independencia ofrece una oportunidad única para “desenganchar” a la Isla de los efectos debilitadores de su dependencia de subvenciones y transferencias federales, y para despertar un nuevo espíritu económico en su gente.</w:t>
      </w:r>
    </w:p>
    <w:p w:rsidR="005A5E7D" w:rsidRDefault="005A5E7D" w:rsidP="005A5E7D">
      <w:pPr>
        <w:rPr>
          <w:lang w:val="es-ES_tradnl"/>
        </w:rPr>
      </w:pPr>
      <w:r>
        <w:rPr>
          <w:lang w:val="es-ES_tradnl"/>
        </w:rPr>
        <w:t>Co</w:t>
      </w:r>
      <w:r w:rsidRPr="00C06F5C">
        <w:rPr>
          <w:lang w:val="es-ES_tradnl"/>
        </w:rPr>
        <w:t>n relación a los impactos fiscales</w:t>
      </w:r>
      <w:r>
        <w:rPr>
          <w:lang w:val="es-ES_tradnl"/>
        </w:rPr>
        <w:t>, la</w:t>
      </w:r>
      <w:r w:rsidRPr="00C06F5C">
        <w:rPr>
          <w:lang w:val="es-ES_tradnl"/>
        </w:rPr>
        <w:t xml:space="preserve"> CBO plante</w:t>
      </w:r>
      <w:r>
        <w:rPr>
          <w:lang w:val="es-ES_tradnl"/>
        </w:rPr>
        <w:t>ó</w:t>
      </w:r>
      <w:r w:rsidRPr="00C06F5C">
        <w:rPr>
          <w:lang w:val="es-ES_tradnl"/>
        </w:rPr>
        <w:t xml:space="preserve"> que</w:t>
      </w:r>
      <w:r>
        <w:rPr>
          <w:lang w:val="es-ES_tradnl"/>
        </w:rPr>
        <w:t>,</w:t>
      </w:r>
      <w:r w:rsidRPr="00C06F5C">
        <w:rPr>
          <w:lang w:val="es-ES_tradnl"/>
        </w:rPr>
        <w:t xml:space="preserve"> en comparación con la continuación del estatus de Estado Libre Asociado, bajo la independencia las transferencias federales a Puerto Rico caerían y</w:t>
      </w:r>
      <w:r>
        <w:rPr>
          <w:lang w:val="es-ES_tradnl"/>
        </w:rPr>
        <w:t xml:space="preserve"> </w:t>
      </w:r>
      <w:r w:rsidRPr="00C06F5C">
        <w:rPr>
          <w:lang w:val="es-ES_tradnl"/>
        </w:rPr>
        <w:t xml:space="preserve">aumentarían los ingresos federales de fuentes locales (como las empresas </w:t>
      </w:r>
      <w:r>
        <w:rPr>
          <w:lang w:val="es-ES_tradnl"/>
        </w:rPr>
        <w:t>bajo</w:t>
      </w:r>
      <w:r w:rsidRPr="00C06F5C">
        <w:rPr>
          <w:lang w:val="es-ES_tradnl"/>
        </w:rPr>
        <w:t xml:space="preserve"> la Sección 936)</w:t>
      </w:r>
      <w:r>
        <w:rPr>
          <w:lang w:val="es-ES_tradnl"/>
        </w:rPr>
        <w:t>. D</w:t>
      </w:r>
      <w:r w:rsidRPr="00C06F5C">
        <w:rPr>
          <w:lang w:val="es-ES_tradnl"/>
        </w:rPr>
        <w:t>espués de la independencia, continuarían algunos programas como las pensiones federales y los beneficios a veteranos</w:t>
      </w:r>
      <w:r>
        <w:rPr>
          <w:lang w:val="es-ES_tradnl"/>
        </w:rPr>
        <w:t>,</w:t>
      </w:r>
      <w:r w:rsidRPr="00C06F5C">
        <w:rPr>
          <w:lang w:val="es-ES_tradnl"/>
        </w:rPr>
        <w:t xml:space="preserve"> </w:t>
      </w:r>
      <w:r>
        <w:rPr>
          <w:lang w:val="es-ES_tradnl"/>
        </w:rPr>
        <w:t xml:space="preserve">y </w:t>
      </w:r>
      <w:r w:rsidRPr="00C06F5C">
        <w:rPr>
          <w:lang w:val="es-ES_tradnl"/>
        </w:rPr>
        <w:t>no lo harían otr</w:t>
      </w:r>
      <w:r>
        <w:rPr>
          <w:lang w:val="es-ES_tradnl"/>
        </w:rPr>
        <w:t>o</w:t>
      </w:r>
      <w:r w:rsidRPr="00C06F5C">
        <w:rPr>
          <w:lang w:val="es-ES_tradnl"/>
        </w:rPr>
        <w:t>s como los cupones d</w:t>
      </w:r>
      <w:r>
        <w:rPr>
          <w:lang w:val="es-ES_tradnl"/>
        </w:rPr>
        <w:t>e alimentos, Medicare, ayuda</w:t>
      </w:r>
      <w:r w:rsidRPr="00C06F5C">
        <w:rPr>
          <w:lang w:val="es-ES_tradnl"/>
        </w:rPr>
        <w:t xml:space="preserve">s a </w:t>
      </w:r>
      <w:r>
        <w:rPr>
          <w:lang w:val="es-ES_tradnl"/>
        </w:rPr>
        <w:t>familias con niños dependientes</w:t>
      </w:r>
      <w:r w:rsidRPr="00C06F5C">
        <w:rPr>
          <w:lang w:val="es-ES_tradnl"/>
        </w:rPr>
        <w:t xml:space="preserve"> y seguro suplementario por ingreso. Por el contrario, Puerto Rico recibiría una subvención federal en bloque por los programas descontinuados</w:t>
      </w:r>
      <w:r>
        <w:rPr>
          <w:lang w:val="es-ES_tradnl"/>
        </w:rPr>
        <w:t>,</w:t>
      </w:r>
      <w:r w:rsidRPr="00C06F5C">
        <w:rPr>
          <w:lang w:val="es-ES_tradnl"/>
        </w:rPr>
        <w:t xml:space="preserve"> equivalente al nivel de los gastos federales de Estados Unidos en Puerto Rico durante el año fiscal estadounidense en el cual </w:t>
      </w:r>
      <w:r>
        <w:rPr>
          <w:lang w:val="es-ES_tradnl"/>
        </w:rPr>
        <w:t>fuese</w:t>
      </w:r>
      <w:r w:rsidRPr="00C06F5C">
        <w:rPr>
          <w:lang w:val="es-ES_tradnl"/>
        </w:rPr>
        <w:t xml:space="preserve"> proclamada la </w:t>
      </w:r>
      <w:r>
        <w:rPr>
          <w:lang w:val="es-ES_tradnl"/>
        </w:rPr>
        <w:t xml:space="preserve">independencia. Esta subvención </w:t>
      </w:r>
      <w:r w:rsidRPr="00C06F5C">
        <w:rPr>
          <w:lang w:val="es-ES_tradnl"/>
        </w:rPr>
        <w:t>se</w:t>
      </w:r>
      <w:r>
        <w:rPr>
          <w:lang w:val="es-ES_tradnl"/>
        </w:rPr>
        <w:t xml:space="preserve"> </w:t>
      </w:r>
      <w:r w:rsidRPr="00C06F5C">
        <w:rPr>
          <w:lang w:val="es-ES_tradnl"/>
        </w:rPr>
        <w:t>pagaría</w:t>
      </w:r>
      <w:r>
        <w:rPr>
          <w:lang w:val="es-ES_tradnl"/>
        </w:rPr>
        <w:t xml:space="preserve"> anualmente a </w:t>
      </w:r>
      <w:r w:rsidRPr="00C06F5C">
        <w:rPr>
          <w:lang w:val="es-ES_tradnl"/>
        </w:rPr>
        <w:t>Puerto Rico hasta el noveno año siguiente a la certificación d</w:t>
      </w:r>
      <w:r>
        <w:rPr>
          <w:lang w:val="es-ES_tradnl"/>
        </w:rPr>
        <w:t>el referendo.</w:t>
      </w:r>
    </w:p>
    <w:p w:rsidR="005A5E7D" w:rsidRPr="00C06F5C" w:rsidRDefault="005A5E7D" w:rsidP="005A5E7D">
      <w:pPr>
        <w:rPr>
          <w:lang w:val="es-ES_tradnl"/>
        </w:rPr>
      </w:pPr>
      <w:r>
        <w:rPr>
          <w:lang w:val="es-ES_tradnl"/>
        </w:rPr>
        <w:t>La subvención sería</w:t>
      </w:r>
      <w:r w:rsidRPr="00C06F5C">
        <w:rPr>
          <w:lang w:val="es-ES_tradnl"/>
        </w:rPr>
        <w:t xml:space="preserve"> fija en términos nominales</w:t>
      </w:r>
      <w:r>
        <w:rPr>
          <w:lang w:val="es-ES_tradnl"/>
        </w:rPr>
        <w:t xml:space="preserve"> y</w:t>
      </w:r>
      <w:r w:rsidRPr="00C06F5C">
        <w:rPr>
          <w:lang w:val="es-ES_tradnl"/>
        </w:rPr>
        <w:t xml:space="preserve"> no permitiría el crecimiento que de otro modo ocurriría como resultado de la inflación o aumento en la participación. Por defecto</w:t>
      </w:r>
      <w:r>
        <w:rPr>
          <w:lang w:val="es-ES_tradnl"/>
        </w:rPr>
        <w:t>,</w:t>
      </w:r>
      <w:r w:rsidRPr="00C06F5C">
        <w:rPr>
          <w:lang w:val="es-ES_tradnl"/>
        </w:rPr>
        <w:t xml:space="preserve"> el ingreso anual de la </w:t>
      </w:r>
      <w:r>
        <w:rPr>
          <w:lang w:val="es-ES_tradnl"/>
        </w:rPr>
        <w:t>r</w:t>
      </w:r>
      <w:r w:rsidRPr="00C06F5C">
        <w:rPr>
          <w:lang w:val="es-ES_tradnl"/>
        </w:rPr>
        <w:t>epública proveniente de esta fuente quedaría corto de lo que Puerto Rico recibiría bajo el estatus de Estado Libre Asociado. Además, Puerto Rico perdería</w:t>
      </w:r>
      <w:r>
        <w:rPr>
          <w:lang w:val="es-ES_tradnl"/>
        </w:rPr>
        <w:t xml:space="preserve"> el beneficio de los subsidios federales</w:t>
      </w:r>
      <w:r w:rsidRPr="00C06F5C">
        <w:rPr>
          <w:lang w:val="es-ES_tradnl"/>
        </w:rPr>
        <w:t xml:space="preserve"> </w:t>
      </w:r>
      <w:r>
        <w:rPr>
          <w:lang w:val="es-ES_tradnl"/>
        </w:rPr>
        <w:t>(</w:t>
      </w:r>
      <w:r w:rsidRPr="00375149">
        <w:rPr>
          <w:i/>
          <w:lang w:val="es-ES_tradnl"/>
        </w:rPr>
        <w:t>cover-overs</w:t>
      </w:r>
      <w:r>
        <w:rPr>
          <w:lang w:val="es-ES_tradnl"/>
        </w:rPr>
        <w:t>)</w:t>
      </w:r>
      <w:r w:rsidRPr="00375149">
        <w:rPr>
          <w:lang w:val="es-ES_tradnl"/>
        </w:rPr>
        <w:t xml:space="preserve"> </w:t>
      </w:r>
      <w:r w:rsidRPr="00C06F5C">
        <w:rPr>
          <w:lang w:val="es-ES_tradnl"/>
        </w:rPr>
        <w:t>que actualmente l</w:t>
      </w:r>
      <w:r>
        <w:rPr>
          <w:lang w:val="es-ES_tradnl"/>
        </w:rPr>
        <w:t>e</w:t>
      </w:r>
      <w:r w:rsidRPr="00C06F5C">
        <w:rPr>
          <w:lang w:val="es-ES_tradnl"/>
        </w:rPr>
        <w:t xml:space="preserve"> protegen de la responsabilidad por los impuestos espe</w:t>
      </w:r>
      <w:r>
        <w:rPr>
          <w:lang w:val="es-ES_tradnl"/>
        </w:rPr>
        <w:t xml:space="preserve">ciales federales sobre el ron. </w:t>
      </w:r>
      <w:r w:rsidRPr="00C06F5C">
        <w:rPr>
          <w:lang w:val="es-ES_tradnl"/>
        </w:rPr>
        <w:t xml:space="preserve">Como resultado, los pagos netos al Tesoro de Estados Unidos por impuestos al ron aumentarían </w:t>
      </w:r>
      <w:r>
        <w:rPr>
          <w:lang w:val="es-ES_tradnl"/>
        </w:rPr>
        <w:t>después</w:t>
      </w:r>
      <w:r w:rsidRPr="00C06F5C">
        <w:rPr>
          <w:lang w:val="es-ES_tradnl"/>
        </w:rPr>
        <w:t xml:space="preserve"> de la independencia. El resultado en general </w:t>
      </w:r>
      <w:r>
        <w:rPr>
          <w:lang w:val="es-ES_tradnl"/>
        </w:rPr>
        <w:t xml:space="preserve">sería </w:t>
      </w:r>
      <w:r w:rsidRPr="00C06F5C">
        <w:rPr>
          <w:lang w:val="es-ES_tradnl"/>
        </w:rPr>
        <w:t>una reducción significativa de los niveles base en los flujo</w:t>
      </w:r>
      <w:r>
        <w:rPr>
          <w:lang w:val="es-ES_tradnl"/>
        </w:rPr>
        <w:t>s fiscales netos del Tesoro de E</w:t>
      </w:r>
      <w:r w:rsidRPr="00C06F5C">
        <w:rPr>
          <w:lang w:val="es-ES_tradnl"/>
        </w:rPr>
        <w:t>stados Unidos a Puerto Rico.</w:t>
      </w:r>
    </w:p>
    <w:p w:rsidR="005A5E7D" w:rsidRPr="00C06F5C" w:rsidRDefault="005A5E7D" w:rsidP="005A5E7D">
      <w:pPr>
        <w:tabs>
          <w:tab w:val="left" w:pos="6946"/>
        </w:tabs>
        <w:rPr>
          <w:lang w:val="es-ES_tradnl"/>
        </w:rPr>
      </w:pPr>
      <w:r w:rsidRPr="00C06F5C">
        <w:rPr>
          <w:lang w:val="es-ES_tradnl"/>
        </w:rPr>
        <w:t xml:space="preserve">Las relaciones fiscales entre Puerto Rico y el </w:t>
      </w:r>
      <w:r>
        <w:rPr>
          <w:lang w:val="es-ES_tradnl"/>
        </w:rPr>
        <w:t>Gobierno</w:t>
      </w:r>
      <w:r w:rsidRPr="00C06F5C">
        <w:rPr>
          <w:lang w:val="es-ES_tradnl"/>
        </w:rPr>
        <w:t xml:space="preserve"> federal cambiarían significativamente con cualquier</w:t>
      </w:r>
      <w:r>
        <w:rPr>
          <w:lang w:val="es-ES_tradnl"/>
        </w:rPr>
        <w:t xml:space="preserve"> cambio en estatus, de acuerdo con</w:t>
      </w:r>
      <w:r w:rsidRPr="00C06F5C">
        <w:rPr>
          <w:lang w:val="es-ES_tradnl"/>
        </w:rPr>
        <w:t xml:space="preserve"> las provisiones del S.</w:t>
      </w:r>
      <w:r>
        <w:rPr>
          <w:lang w:val="es-ES_tradnl"/>
        </w:rPr>
        <w:t xml:space="preserve"> </w:t>
      </w:r>
      <w:r w:rsidRPr="00C06F5C">
        <w:rPr>
          <w:lang w:val="es-ES_tradnl"/>
        </w:rPr>
        <w:t xml:space="preserve">712. </w:t>
      </w:r>
      <w:r>
        <w:rPr>
          <w:lang w:val="es-ES_tradnl"/>
        </w:rPr>
        <w:t>L</w:t>
      </w:r>
      <w:r w:rsidRPr="00C06F5C">
        <w:rPr>
          <w:lang w:val="es-ES_tradnl"/>
        </w:rPr>
        <w:t xml:space="preserve">a estadidad aumentaría los impuestos pagados por individuos y compañías en Puerto Rico al Tesoro federal, pero este aumento sería más que contrarrestado por transferencias federales mayores a los residentes de la Isla y a los </w:t>
      </w:r>
      <w:r>
        <w:rPr>
          <w:lang w:val="es-ES_tradnl"/>
        </w:rPr>
        <w:t>G</w:t>
      </w:r>
      <w:r w:rsidRPr="00C06F5C">
        <w:rPr>
          <w:lang w:val="es-ES_tradnl"/>
        </w:rPr>
        <w:t>obiernos. Como resultado, las transferencias netas (gastos menos impuestos) a la Isla serían cerca de $18</w:t>
      </w:r>
      <w:r>
        <w:rPr>
          <w:lang w:val="es-ES_tradnl"/>
        </w:rPr>
        <w:t>,000</w:t>
      </w:r>
      <w:r w:rsidRPr="00C06F5C">
        <w:rPr>
          <w:lang w:val="es-ES_tradnl"/>
        </w:rPr>
        <w:t xml:space="preserve"> millones m</w:t>
      </w:r>
      <w:r>
        <w:rPr>
          <w:lang w:val="es-ES_tradnl"/>
        </w:rPr>
        <w:t>ás</w:t>
      </w:r>
      <w:r w:rsidRPr="00C06F5C">
        <w:rPr>
          <w:lang w:val="es-ES_tradnl"/>
        </w:rPr>
        <w:t xml:space="preserve"> </w:t>
      </w:r>
      <w:r>
        <w:rPr>
          <w:lang w:val="es-ES_tradnl"/>
        </w:rPr>
        <w:t xml:space="preserve">durante </w:t>
      </w:r>
      <w:r w:rsidRPr="00C06F5C">
        <w:rPr>
          <w:lang w:val="es-ES_tradnl"/>
        </w:rPr>
        <w:t xml:space="preserve">el período entre 1992 y 2000, </w:t>
      </w:r>
      <w:r>
        <w:rPr>
          <w:lang w:val="es-ES_tradnl"/>
        </w:rPr>
        <w:t>de</w:t>
      </w:r>
      <w:r w:rsidRPr="00C06F5C">
        <w:rPr>
          <w:lang w:val="es-ES_tradnl"/>
        </w:rPr>
        <w:t xml:space="preserve"> no </w:t>
      </w:r>
      <w:r>
        <w:rPr>
          <w:lang w:val="es-ES_tradnl"/>
        </w:rPr>
        <w:t xml:space="preserve">ocurrir otros cambios económicos. </w:t>
      </w:r>
      <w:r w:rsidRPr="00C06F5C">
        <w:rPr>
          <w:lang w:val="es-ES_tradnl"/>
        </w:rPr>
        <w:t>El beneficio fiscal neto de la estadidad ser</w:t>
      </w:r>
      <w:r>
        <w:rPr>
          <w:lang w:val="es-ES_tradnl"/>
        </w:rPr>
        <w:t xml:space="preserve">ía permanente. </w:t>
      </w:r>
      <w:r w:rsidRPr="00C06F5C">
        <w:rPr>
          <w:lang w:val="es-ES_tradnl"/>
        </w:rPr>
        <w:t xml:space="preserve">La independencia, por otro lado, reduciría las transferencias netas del </w:t>
      </w:r>
      <w:r>
        <w:rPr>
          <w:lang w:val="es-ES_tradnl"/>
        </w:rPr>
        <w:t>Gobierno federal</w:t>
      </w:r>
      <w:r w:rsidRPr="00C06F5C">
        <w:rPr>
          <w:lang w:val="es-ES_tradnl"/>
        </w:rPr>
        <w:t xml:space="preserve"> en cantidades que aumentarían para sumar cerca de </w:t>
      </w:r>
      <w:r>
        <w:rPr>
          <w:lang w:val="es-ES_tradnl"/>
        </w:rPr>
        <w:t>$</w:t>
      </w:r>
      <w:r w:rsidRPr="00C06F5C">
        <w:rPr>
          <w:lang w:val="es-ES_tradnl"/>
        </w:rPr>
        <w:t>7</w:t>
      </w:r>
      <w:r>
        <w:rPr>
          <w:lang w:val="es-ES_tradnl"/>
        </w:rPr>
        <w:t>,000</w:t>
      </w:r>
      <w:r w:rsidRPr="00C06F5C">
        <w:rPr>
          <w:lang w:val="es-ES_tradnl"/>
        </w:rPr>
        <w:t xml:space="preserve"> millones </w:t>
      </w:r>
      <w:r>
        <w:rPr>
          <w:lang w:val="es-ES_tradnl"/>
        </w:rPr>
        <w:t xml:space="preserve">durante </w:t>
      </w:r>
      <w:r w:rsidRPr="00C06F5C">
        <w:rPr>
          <w:lang w:val="es-ES_tradnl"/>
        </w:rPr>
        <w:t xml:space="preserve">el período </w:t>
      </w:r>
      <w:r>
        <w:rPr>
          <w:lang w:val="es-ES_tradnl"/>
        </w:rPr>
        <w:t xml:space="preserve">entre 1993 y </w:t>
      </w:r>
      <w:r w:rsidRPr="00C06F5C">
        <w:rPr>
          <w:lang w:val="es-ES_tradnl"/>
        </w:rPr>
        <w:t xml:space="preserve">2000. La pérdida fiscal anual </w:t>
      </w:r>
      <w:r>
        <w:rPr>
          <w:lang w:val="es-ES_tradnl"/>
        </w:rPr>
        <w:t>de</w:t>
      </w:r>
      <w:r w:rsidRPr="00C06F5C">
        <w:rPr>
          <w:lang w:val="es-ES_tradnl"/>
        </w:rPr>
        <w:t xml:space="preserve"> Puerto Rico aumentaría después del </w:t>
      </w:r>
      <w:r>
        <w:rPr>
          <w:lang w:val="es-ES_tradnl"/>
        </w:rPr>
        <w:t xml:space="preserve">año </w:t>
      </w:r>
      <w:r w:rsidRPr="00C06F5C">
        <w:rPr>
          <w:lang w:val="es-ES_tradnl"/>
        </w:rPr>
        <w:t>2000</w:t>
      </w:r>
      <w:r>
        <w:rPr>
          <w:lang w:val="es-ES_tradnl"/>
        </w:rPr>
        <w:t>, a consecuencia</w:t>
      </w:r>
      <w:r w:rsidRPr="00C06F5C">
        <w:rPr>
          <w:lang w:val="es-ES_tradnl"/>
        </w:rPr>
        <w:t xml:space="preserve"> </w:t>
      </w:r>
      <w:r>
        <w:rPr>
          <w:lang w:val="es-ES_tradnl"/>
        </w:rPr>
        <w:t>del fin</w:t>
      </w:r>
      <w:r w:rsidRPr="00C06F5C">
        <w:rPr>
          <w:lang w:val="es-ES_tradnl"/>
        </w:rPr>
        <w:t xml:space="preserve"> del bloque de subvención mencionado en el S.</w:t>
      </w:r>
      <w:r>
        <w:rPr>
          <w:lang w:val="es-ES_tradnl"/>
        </w:rPr>
        <w:t xml:space="preserve"> </w:t>
      </w:r>
      <w:r w:rsidRPr="00C06F5C">
        <w:rPr>
          <w:lang w:val="es-ES_tradnl"/>
        </w:rPr>
        <w:t>712.</w:t>
      </w:r>
    </w:p>
    <w:p w:rsidR="005A5E7D" w:rsidRPr="005B5FEE" w:rsidRDefault="005A5E7D" w:rsidP="005A5E7D">
      <w:r w:rsidRPr="005B5FEE">
        <w:t>La pérdida potencial en la inversión bajo la estadidad es significativa, tanto en forma absoluta como comparada con los beneficios fiscales de la estadidad. Bajo l</w:t>
      </w:r>
      <w:r>
        <w:t>os supuestos de la</w:t>
      </w:r>
      <w:r w:rsidRPr="005B5FEE">
        <w:t xml:space="preserve"> CBO</w:t>
      </w:r>
      <w:r>
        <w:t>,</w:t>
      </w:r>
      <w:r w:rsidRPr="005B5FEE">
        <w:t xml:space="preserve"> la estadidad p</w:t>
      </w:r>
      <w:r>
        <w:t>odría</w:t>
      </w:r>
      <w:r w:rsidRPr="005B5FEE">
        <w:t xml:space="preserve"> </w:t>
      </w:r>
      <w:r>
        <w:t xml:space="preserve">haber </w:t>
      </w:r>
      <w:r w:rsidRPr="005B5FEE">
        <w:t>reduci</w:t>
      </w:r>
      <w:r>
        <w:t>do</w:t>
      </w:r>
      <w:r w:rsidRPr="005B5FEE">
        <w:t xml:space="preserve"> la tasa real de crecimiento en el PNB entre uno </w:t>
      </w:r>
      <w:r>
        <w:t xml:space="preserve">y dos puntos porcentuales </w:t>
      </w:r>
      <w:r w:rsidRPr="005B5FEE">
        <w:t>de 1992 al 2000</w:t>
      </w:r>
      <w:r>
        <w:t>,</w:t>
      </w:r>
      <w:r w:rsidRPr="005B5FEE">
        <w:t xml:space="preserve"> dependiendo de</w:t>
      </w:r>
      <w:r>
        <w:t xml:space="preserve"> los supuestos de</w:t>
      </w:r>
      <w:r w:rsidRPr="005B5FEE">
        <w:t xml:space="preserve"> crecimiento bajo el estatus actual. Estos estimados reflejan el efecto </w:t>
      </w:r>
      <w:r>
        <w:t xml:space="preserve">de </w:t>
      </w:r>
      <w:r w:rsidRPr="005B5FEE">
        <w:t>ma</w:t>
      </w:r>
      <w:r>
        <w:t>yores transferencias federales y</w:t>
      </w:r>
      <w:r w:rsidRPr="005B5FEE">
        <w:t xml:space="preserve"> el efecto de</w:t>
      </w:r>
      <w:r>
        <w:t xml:space="preserve"> la pérdida de las inversiones </w:t>
      </w:r>
      <w:r w:rsidRPr="005B5FEE">
        <w:t>y exportaciones de las firmas 936</w:t>
      </w:r>
      <w:r>
        <w:t>,</w:t>
      </w:r>
      <w:r w:rsidRPr="005B5FEE">
        <w:t xml:space="preserve"> al compararse co</w:t>
      </w:r>
      <w:r>
        <w:t>n el estatus político presente.</w:t>
      </w:r>
    </w:p>
    <w:p w:rsidR="005A5E7D" w:rsidRPr="00C06F5C" w:rsidRDefault="005A5E7D" w:rsidP="005A5E7D">
      <w:pPr>
        <w:rPr>
          <w:lang w:val="es-ES_tradnl"/>
        </w:rPr>
      </w:pPr>
      <w:r>
        <w:rPr>
          <w:lang w:val="es-ES_tradnl"/>
        </w:rPr>
        <w:t>La</w:t>
      </w:r>
      <w:r w:rsidRPr="00C06F5C">
        <w:rPr>
          <w:lang w:val="es-ES_tradnl"/>
        </w:rPr>
        <w:t xml:space="preserve"> CBO también coment</w:t>
      </w:r>
      <w:r>
        <w:rPr>
          <w:lang w:val="es-ES_tradnl"/>
        </w:rPr>
        <w:t>ó</w:t>
      </w:r>
      <w:r w:rsidRPr="00C06F5C">
        <w:rPr>
          <w:lang w:val="es-ES_tradnl"/>
        </w:rPr>
        <w:t xml:space="preserve"> sobre la posibilidad de que se cambie el estatus actual a uno reconocido en el </w:t>
      </w:r>
      <w:r>
        <w:rPr>
          <w:lang w:val="es-ES_tradnl"/>
        </w:rPr>
        <w:t xml:space="preserve">S. 712 como </w:t>
      </w:r>
      <w:r w:rsidRPr="00C06F5C">
        <w:rPr>
          <w:lang w:val="es-ES_tradnl"/>
        </w:rPr>
        <w:t xml:space="preserve">Estado Libre Asociado </w:t>
      </w:r>
      <w:r>
        <w:rPr>
          <w:lang w:val="es-ES_tradnl"/>
        </w:rPr>
        <w:t>mejorado (</w:t>
      </w:r>
      <w:r w:rsidRPr="00F823F9">
        <w:rPr>
          <w:i/>
          <w:lang w:val="es-ES_tradnl"/>
        </w:rPr>
        <w:t>enhanced Commonwealth</w:t>
      </w:r>
      <w:r w:rsidRPr="00C06F5C">
        <w:rPr>
          <w:lang w:val="es-ES_tradnl"/>
        </w:rPr>
        <w:t xml:space="preserve">). </w:t>
      </w:r>
      <w:r>
        <w:rPr>
          <w:lang w:val="es-ES_tradnl"/>
        </w:rPr>
        <w:t xml:space="preserve">Con </w:t>
      </w:r>
      <w:r w:rsidRPr="00C06F5C">
        <w:rPr>
          <w:lang w:val="es-ES_tradnl"/>
        </w:rPr>
        <w:t xml:space="preserve">este </w:t>
      </w:r>
      <w:r>
        <w:rPr>
          <w:lang w:val="es-ES_tradnl"/>
        </w:rPr>
        <w:t>estatus</w:t>
      </w:r>
      <w:r w:rsidRPr="00C06F5C">
        <w:rPr>
          <w:lang w:val="es-ES_tradnl"/>
        </w:rPr>
        <w:t xml:space="preserve"> se establece</w:t>
      </w:r>
      <w:r>
        <w:rPr>
          <w:lang w:val="es-ES_tradnl"/>
        </w:rPr>
        <w:t>ría</w:t>
      </w:r>
      <w:r w:rsidRPr="00C06F5C">
        <w:rPr>
          <w:lang w:val="es-ES_tradnl"/>
        </w:rPr>
        <w:t>n procedimien</w:t>
      </w:r>
      <w:r>
        <w:rPr>
          <w:lang w:val="es-ES_tradnl"/>
        </w:rPr>
        <w:t xml:space="preserve">tos bajo los cuales las leyes </w:t>
      </w:r>
      <w:r w:rsidRPr="00C06F5C">
        <w:rPr>
          <w:lang w:val="es-ES_tradnl"/>
        </w:rPr>
        <w:t>y reg</w:t>
      </w:r>
      <w:r>
        <w:rPr>
          <w:lang w:val="es-ES_tradnl"/>
        </w:rPr>
        <w:t>lamento</w:t>
      </w:r>
      <w:r w:rsidRPr="00C06F5C">
        <w:rPr>
          <w:lang w:val="es-ES_tradnl"/>
        </w:rPr>
        <w:t xml:space="preserve">s </w:t>
      </w:r>
      <w:r>
        <w:rPr>
          <w:lang w:val="es-ES_tradnl"/>
        </w:rPr>
        <w:t xml:space="preserve">federales que aplican a Puerto Rico podrían </w:t>
      </w:r>
      <w:r w:rsidRPr="00C06F5C">
        <w:rPr>
          <w:lang w:val="es-ES_tradnl"/>
        </w:rPr>
        <w:t>modifica</w:t>
      </w:r>
      <w:r>
        <w:rPr>
          <w:lang w:val="es-ES_tradnl"/>
        </w:rPr>
        <w:t xml:space="preserve">rse </w:t>
      </w:r>
      <w:r w:rsidRPr="00C06F5C">
        <w:rPr>
          <w:lang w:val="es-ES_tradnl"/>
        </w:rPr>
        <w:t>selectivamente</w:t>
      </w:r>
      <w:r>
        <w:rPr>
          <w:lang w:val="es-ES_tradnl"/>
        </w:rPr>
        <w:t>,</w:t>
      </w:r>
      <w:r w:rsidRPr="00C06F5C">
        <w:rPr>
          <w:lang w:val="es-ES_tradnl"/>
        </w:rPr>
        <w:t xml:space="preserve"> con el propósito de me</w:t>
      </w:r>
      <w:r>
        <w:rPr>
          <w:lang w:val="es-ES_tradnl"/>
        </w:rPr>
        <w:t>jorar el crecimiento económico</w:t>
      </w:r>
      <w:r w:rsidRPr="00C06F5C">
        <w:rPr>
          <w:lang w:val="es-ES_tradnl"/>
        </w:rPr>
        <w:t xml:space="preserve">. </w:t>
      </w:r>
      <w:r>
        <w:rPr>
          <w:lang w:val="es-ES_tradnl"/>
        </w:rPr>
        <w:t>Actualmente se le impone a la I</w:t>
      </w:r>
      <w:r w:rsidRPr="00C06F5C">
        <w:rPr>
          <w:lang w:val="es-ES_tradnl"/>
        </w:rPr>
        <w:t>sla una fuerte carga de leyes y reg</w:t>
      </w:r>
      <w:r>
        <w:rPr>
          <w:lang w:val="es-ES_tradnl"/>
        </w:rPr>
        <w:t>lamento</w:t>
      </w:r>
      <w:r w:rsidRPr="00C06F5C">
        <w:rPr>
          <w:lang w:val="es-ES_tradnl"/>
        </w:rPr>
        <w:t>s</w:t>
      </w:r>
      <w:r>
        <w:rPr>
          <w:lang w:val="es-ES_tradnl"/>
        </w:rPr>
        <w:t xml:space="preserve">; </w:t>
      </w:r>
      <w:r w:rsidRPr="00C06F5C">
        <w:rPr>
          <w:lang w:val="es-ES_tradnl"/>
        </w:rPr>
        <w:t xml:space="preserve">algunas son inapropiadas cuando se aplican a regiones subdesarrolladas y especialmente </w:t>
      </w:r>
      <w:r>
        <w:rPr>
          <w:lang w:val="es-ES_tradnl"/>
        </w:rPr>
        <w:t xml:space="preserve">en áreas insulares tropicales. </w:t>
      </w:r>
      <w:r w:rsidRPr="00C06F5C">
        <w:rPr>
          <w:lang w:val="es-ES_tradnl"/>
        </w:rPr>
        <w:t xml:space="preserve">Bajo el </w:t>
      </w:r>
      <w:r>
        <w:rPr>
          <w:lang w:val="es-ES_tradnl"/>
        </w:rPr>
        <w:t xml:space="preserve">S. 712, a las agencias </w:t>
      </w:r>
      <w:r w:rsidRPr="00C06F5C">
        <w:rPr>
          <w:lang w:val="es-ES_tradnl"/>
        </w:rPr>
        <w:t>federal</w:t>
      </w:r>
      <w:r>
        <w:rPr>
          <w:lang w:val="es-ES_tradnl"/>
        </w:rPr>
        <w:t>es</w:t>
      </w:r>
      <w:r w:rsidRPr="00C06F5C">
        <w:rPr>
          <w:lang w:val="es-ES_tradnl"/>
        </w:rPr>
        <w:t xml:space="preserve"> se le</w:t>
      </w:r>
      <w:r>
        <w:rPr>
          <w:lang w:val="es-ES_tradnl"/>
        </w:rPr>
        <w:t>s</w:t>
      </w:r>
      <w:r w:rsidRPr="00C06F5C">
        <w:rPr>
          <w:lang w:val="es-ES_tradnl"/>
        </w:rPr>
        <w:t xml:space="preserve"> </w:t>
      </w:r>
      <w:r>
        <w:rPr>
          <w:lang w:val="es-ES_tradnl"/>
        </w:rPr>
        <w:t xml:space="preserve">requeriría </w:t>
      </w:r>
      <w:r w:rsidRPr="00C06F5C">
        <w:rPr>
          <w:lang w:val="es-ES_tradnl"/>
        </w:rPr>
        <w:t>guia</w:t>
      </w:r>
      <w:r>
        <w:rPr>
          <w:lang w:val="es-ES_tradnl"/>
        </w:rPr>
        <w:t>rse</w:t>
      </w:r>
      <w:r w:rsidRPr="00C06F5C">
        <w:rPr>
          <w:lang w:val="es-ES_tradnl"/>
        </w:rPr>
        <w:t xml:space="preserve"> </w:t>
      </w:r>
      <w:r>
        <w:rPr>
          <w:lang w:val="es-ES_tradnl"/>
        </w:rPr>
        <w:t xml:space="preserve">por una nueva política federal encaminada a acelerar </w:t>
      </w:r>
      <w:r w:rsidRPr="00C06F5C">
        <w:rPr>
          <w:lang w:val="es-ES_tradnl"/>
        </w:rPr>
        <w:t xml:space="preserve">el desarrollo económico de la </w:t>
      </w:r>
      <w:r>
        <w:rPr>
          <w:lang w:val="es-ES_tradnl"/>
        </w:rPr>
        <w:t>I</w:t>
      </w:r>
      <w:r w:rsidRPr="00C06F5C">
        <w:rPr>
          <w:lang w:val="es-ES_tradnl"/>
        </w:rPr>
        <w:t>sla, tomando en consideración las condiciones locales.</w:t>
      </w:r>
    </w:p>
    <w:p w:rsidR="005A5E7D" w:rsidRDefault="005A5E7D" w:rsidP="005A5E7D">
      <w:pPr>
        <w:rPr>
          <w:lang w:val="es-ES_tradnl"/>
        </w:rPr>
      </w:pPr>
      <w:r w:rsidRPr="00C06F5C">
        <w:rPr>
          <w:lang w:val="es-ES_tradnl"/>
        </w:rPr>
        <w:t>La independencia p</w:t>
      </w:r>
      <w:r>
        <w:rPr>
          <w:lang w:val="es-ES_tradnl"/>
        </w:rPr>
        <w:t>odría</w:t>
      </w:r>
      <w:r w:rsidRPr="00C06F5C">
        <w:rPr>
          <w:lang w:val="es-ES_tradnl"/>
        </w:rPr>
        <w:t xml:space="preserve"> también llevar a cambios en la inversión, pero estos cambios no son tan fáciles de anticipar como aquellos bajo la estadidad, debido a que un Puerto Rico independiente p</w:t>
      </w:r>
      <w:r>
        <w:rPr>
          <w:lang w:val="es-ES_tradnl"/>
        </w:rPr>
        <w:t>odría</w:t>
      </w:r>
      <w:r w:rsidRPr="00C06F5C">
        <w:rPr>
          <w:lang w:val="es-ES_tradnl"/>
        </w:rPr>
        <w:t xml:space="preserve"> ser capaz de construir un conjunto de incentivos </w:t>
      </w:r>
      <w:r w:rsidRPr="008B456C">
        <w:t>—</w:t>
      </w:r>
      <w:r w:rsidRPr="00C06F5C">
        <w:rPr>
          <w:lang w:val="es-ES_tradnl"/>
        </w:rPr>
        <w:t>a través de una combinación de tratados para disminuir impuestos y subsidios locales</w:t>
      </w:r>
      <w:r w:rsidRPr="008B456C">
        <w:t>—</w:t>
      </w:r>
      <w:r w:rsidRPr="00C06F5C">
        <w:rPr>
          <w:lang w:val="es-ES_tradnl"/>
        </w:rPr>
        <w:t xml:space="preserve"> que podrían acercarse al atractivo de los beneficios bajo la </w:t>
      </w:r>
      <w:r>
        <w:rPr>
          <w:lang w:val="es-ES_tradnl"/>
        </w:rPr>
        <w:t xml:space="preserve">desaparecida </w:t>
      </w:r>
      <w:r w:rsidRPr="00C06F5C">
        <w:rPr>
          <w:lang w:val="es-ES_tradnl"/>
        </w:rPr>
        <w:t>Sección 936. Otros posibles efectos económicos bajo la independen</w:t>
      </w:r>
      <w:r>
        <w:rPr>
          <w:lang w:val="es-ES_tradnl"/>
        </w:rPr>
        <w:t>cia son aún más especulativos.</w:t>
      </w:r>
    </w:p>
    <w:p w:rsidR="005A5E7D" w:rsidRPr="00C06F5C" w:rsidRDefault="005A5E7D" w:rsidP="005A5E7D">
      <w:pPr>
        <w:rPr>
          <w:lang w:val="es-ES_tradnl"/>
        </w:rPr>
      </w:pPr>
      <w:r w:rsidRPr="00C06F5C">
        <w:rPr>
          <w:lang w:val="es-ES_tradnl"/>
        </w:rPr>
        <w:t xml:space="preserve">En el lado positivo, la independencia podría llevar </w:t>
      </w:r>
      <w:r>
        <w:rPr>
          <w:lang w:val="es-ES_tradnl"/>
        </w:rPr>
        <w:t xml:space="preserve">a </w:t>
      </w:r>
      <w:r w:rsidRPr="00C06F5C">
        <w:rPr>
          <w:lang w:val="es-ES_tradnl"/>
        </w:rPr>
        <w:t>una dependencia reducida, po</w:t>
      </w:r>
      <w:r>
        <w:rPr>
          <w:lang w:val="es-ES_tradnl"/>
        </w:rPr>
        <w:t>líticas arancelarias mejoradas, costos de embarque reducidos</w:t>
      </w:r>
      <w:r w:rsidRPr="00C06F5C">
        <w:rPr>
          <w:lang w:val="es-ES_tradnl"/>
        </w:rPr>
        <w:t xml:space="preserve"> y otros beneficios incuantificable</w:t>
      </w:r>
      <w:r>
        <w:rPr>
          <w:lang w:val="es-ES_tradnl"/>
        </w:rPr>
        <w:t>s</w:t>
      </w:r>
      <w:r w:rsidRPr="00C06F5C">
        <w:rPr>
          <w:lang w:val="es-ES_tradnl"/>
        </w:rPr>
        <w:t xml:space="preserve">. Sin embargo, el acceso de un Puerto Rico independiente a </w:t>
      </w:r>
      <w:r>
        <w:rPr>
          <w:lang w:val="es-ES_tradnl"/>
        </w:rPr>
        <w:t xml:space="preserve">los </w:t>
      </w:r>
      <w:r w:rsidRPr="00C06F5C">
        <w:rPr>
          <w:lang w:val="es-ES_tradnl"/>
        </w:rPr>
        <w:t>mercados financieros estadounidenses sería menos venta</w:t>
      </w:r>
      <w:r>
        <w:rPr>
          <w:lang w:val="es-ES_tradnl"/>
        </w:rPr>
        <w:t>joso que bajo el actual ELA</w:t>
      </w:r>
      <w:r w:rsidRPr="00C06F5C">
        <w:rPr>
          <w:lang w:val="es-ES_tradnl"/>
        </w:rPr>
        <w:t xml:space="preserve"> o la estadidad. En última instancia, sería probable que Puerto Rico tuviera que pagar al menos dos puntos porcentuales más e</w:t>
      </w:r>
      <w:r>
        <w:rPr>
          <w:lang w:val="es-ES_tradnl"/>
        </w:rPr>
        <w:t xml:space="preserve">n interés que los </w:t>
      </w:r>
      <w:r w:rsidRPr="00C06F5C">
        <w:rPr>
          <w:lang w:val="es-ES_tradnl"/>
        </w:rPr>
        <w:t xml:space="preserve">que </w:t>
      </w:r>
      <w:r>
        <w:rPr>
          <w:lang w:val="es-ES_tradnl"/>
        </w:rPr>
        <w:t>paga</w:t>
      </w:r>
      <w:r w:rsidRPr="00C06F5C">
        <w:rPr>
          <w:lang w:val="es-ES_tradnl"/>
        </w:rPr>
        <w:t xml:space="preserve"> actualme</w:t>
      </w:r>
      <w:r>
        <w:rPr>
          <w:lang w:val="es-ES_tradnl"/>
        </w:rPr>
        <w:t xml:space="preserve">nte por su deuda pública. </w:t>
      </w:r>
      <w:r w:rsidRPr="00C06F5C">
        <w:rPr>
          <w:lang w:val="es-ES_tradnl"/>
        </w:rPr>
        <w:t xml:space="preserve">Este resultado pesimista sería especialmente probable si la inversión directa en Puerto Rico </w:t>
      </w:r>
      <w:r>
        <w:rPr>
          <w:lang w:val="es-ES_tradnl"/>
        </w:rPr>
        <w:t>se</w:t>
      </w:r>
      <w:r w:rsidRPr="00C06F5C">
        <w:rPr>
          <w:lang w:val="es-ES_tradnl"/>
        </w:rPr>
        <w:t xml:space="preserve"> redu</w:t>
      </w:r>
      <w:r>
        <w:rPr>
          <w:lang w:val="es-ES_tradnl"/>
        </w:rPr>
        <w:t>jese</w:t>
      </w:r>
      <w:r w:rsidRPr="00C06F5C">
        <w:rPr>
          <w:lang w:val="es-ES_tradnl"/>
        </w:rPr>
        <w:t xml:space="preserve">, </w:t>
      </w:r>
      <w:r>
        <w:rPr>
          <w:lang w:val="es-ES_tradnl"/>
        </w:rPr>
        <w:t xml:space="preserve">lo que </w:t>
      </w:r>
      <w:r w:rsidRPr="00C06F5C">
        <w:rPr>
          <w:lang w:val="es-ES_tradnl"/>
        </w:rPr>
        <w:t>lleva</w:t>
      </w:r>
      <w:r>
        <w:rPr>
          <w:lang w:val="es-ES_tradnl"/>
        </w:rPr>
        <w:t>ría</w:t>
      </w:r>
      <w:r w:rsidRPr="00C06F5C">
        <w:rPr>
          <w:lang w:val="es-ES_tradnl"/>
        </w:rPr>
        <w:t xml:space="preserve"> entonces a un crecimiento más bajo en las exportaciones de Puerto Rico y a una meno</w:t>
      </w:r>
      <w:r>
        <w:rPr>
          <w:lang w:val="es-ES_tradnl"/>
        </w:rPr>
        <w:t>r</w:t>
      </w:r>
      <w:r w:rsidRPr="00C06F5C">
        <w:rPr>
          <w:lang w:val="es-ES_tradnl"/>
        </w:rPr>
        <w:t xml:space="preserve"> contribución de la inversión directa para financiar el déficit en su balanza de pagos.</w:t>
      </w:r>
    </w:p>
    <w:p w:rsidR="005A5E7D" w:rsidRDefault="005A5E7D" w:rsidP="005A5E7D">
      <w:pPr>
        <w:rPr>
          <w:lang w:val="es-ES_tradnl"/>
        </w:rPr>
      </w:pPr>
      <w:r w:rsidRPr="00C06F5C">
        <w:rPr>
          <w:lang w:val="es-ES_tradnl"/>
        </w:rPr>
        <w:t xml:space="preserve">Hexner y Jenkins (1993) están en desacuerdo con los resultados obtenidos </w:t>
      </w:r>
      <w:r>
        <w:rPr>
          <w:lang w:val="es-ES_tradnl"/>
        </w:rPr>
        <w:t>usando el modelo estimado por la</w:t>
      </w:r>
      <w:r w:rsidRPr="00C06F5C">
        <w:rPr>
          <w:lang w:val="es-ES_tradnl"/>
        </w:rPr>
        <w:t xml:space="preserve"> CBO. Según estos autores</w:t>
      </w:r>
      <w:r>
        <w:rPr>
          <w:lang w:val="es-ES_tradnl"/>
        </w:rPr>
        <w:t>,</w:t>
      </w:r>
      <w:r w:rsidRPr="00C06F5C">
        <w:rPr>
          <w:lang w:val="es-ES_tradnl"/>
        </w:rPr>
        <w:t xml:space="preserve"> el concepto de la economía de P</w:t>
      </w:r>
      <w:r>
        <w:rPr>
          <w:lang w:val="es-ES_tradnl"/>
        </w:rPr>
        <w:t>uerto Rico bajo la estadidad de la</w:t>
      </w:r>
      <w:r w:rsidRPr="00C06F5C">
        <w:rPr>
          <w:lang w:val="es-ES_tradnl"/>
        </w:rPr>
        <w:t xml:space="preserve"> CBO se basó principalmente en la eliminación de l</w:t>
      </w:r>
      <w:r>
        <w:rPr>
          <w:lang w:val="es-ES_tradnl"/>
        </w:rPr>
        <w:t>os beneficios fiscales bajo la S</w:t>
      </w:r>
      <w:r w:rsidRPr="00C06F5C">
        <w:rPr>
          <w:lang w:val="es-ES_tradnl"/>
        </w:rPr>
        <w:t>ección 936 y los cambios en las</w:t>
      </w:r>
      <w:r>
        <w:rPr>
          <w:lang w:val="es-ES_tradnl"/>
        </w:rPr>
        <w:t xml:space="preserve"> transferencias federales a la I</w:t>
      </w:r>
      <w:r w:rsidRPr="00C06F5C">
        <w:rPr>
          <w:lang w:val="es-ES_tradnl"/>
        </w:rPr>
        <w:t>sla. Sin embargo, los supuestos que subyacen las proyecciones de la CBO no son realistas en varios aspectos claves. El modelo no t</w:t>
      </w:r>
      <w:r>
        <w:rPr>
          <w:lang w:val="es-ES_tradnl"/>
        </w:rPr>
        <w:t>omó</w:t>
      </w:r>
      <w:r w:rsidRPr="00C06F5C">
        <w:rPr>
          <w:lang w:val="es-ES_tradnl"/>
        </w:rPr>
        <w:t xml:space="preserve"> en cuenta la perspectiva de que el </w:t>
      </w:r>
      <w:r>
        <w:rPr>
          <w:lang w:val="es-ES_tradnl"/>
        </w:rPr>
        <w:t>Gobierno</w:t>
      </w:r>
      <w:r w:rsidRPr="00C06F5C">
        <w:rPr>
          <w:lang w:val="es-ES_tradnl"/>
        </w:rPr>
        <w:t xml:space="preserve"> de Puerto Rico podría alterar su estrategia económica para compensar </w:t>
      </w:r>
      <w:r>
        <w:rPr>
          <w:lang w:val="es-ES_tradnl"/>
        </w:rPr>
        <w:t xml:space="preserve">por el cese de las </w:t>
      </w:r>
      <w:r w:rsidRPr="00C06F5C">
        <w:rPr>
          <w:lang w:val="es-ES_tradnl"/>
        </w:rPr>
        <w:t>936. Tam</w:t>
      </w:r>
      <w:r>
        <w:rPr>
          <w:lang w:val="es-ES_tradnl"/>
        </w:rPr>
        <w:t xml:space="preserve">poco </w:t>
      </w:r>
      <w:r w:rsidRPr="00C06F5C">
        <w:rPr>
          <w:lang w:val="es-ES_tradnl"/>
        </w:rPr>
        <w:t>t</w:t>
      </w:r>
      <w:r>
        <w:rPr>
          <w:lang w:val="es-ES_tradnl"/>
        </w:rPr>
        <w:t>omó</w:t>
      </w:r>
      <w:r w:rsidRPr="00C06F5C">
        <w:rPr>
          <w:lang w:val="es-ES_tradnl"/>
        </w:rPr>
        <w:t xml:space="preserve"> en cuenta las percepciones de los inversionistas de</w:t>
      </w:r>
      <w:r>
        <w:rPr>
          <w:lang w:val="es-ES_tradnl"/>
        </w:rPr>
        <w:t xml:space="preserve"> un</w:t>
      </w:r>
      <w:r w:rsidRPr="00C06F5C">
        <w:rPr>
          <w:lang w:val="es-ES_tradnl"/>
        </w:rPr>
        <w:t xml:space="preserve"> estado </w:t>
      </w:r>
      <w:r>
        <w:rPr>
          <w:lang w:val="es-ES_tradnl"/>
        </w:rPr>
        <w:t xml:space="preserve">de </w:t>
      </w:r>
      <w:r w:rsidRPr="00C06F5C">
        <w:rPr>
          <w:lang w:val="es-ES_tradnl"/>
        </w:rPr>
        <w:t>Puerto Rico totalmente integrado política y económicamente con Estados Unidos</w:t>
      </w:r>
      <w:r>
        <w:rPr>
          <w:lang w:val="es-ES_tradnl"/>
        </w:rPr>
        <w:t>.</w:t>
      </w:r>
    </w:p>
    <w:p w:rsidR="005A5E7D" w:rsidRDefault="005A5E7D" w:rsidP="005A5E7D">
      <w:pPr>
        <w:rPr>
          <w:lang w:val="es-ES_tradnl"/>
        </w:rPr>
      </w:pPr>
      <w:r w:rsidRPr="00C06F5C">
        <w:rPr>
          <w:lang w:val="es-ES_tradnl"/>
        </w:rPr>
        <w:t>Lo</w:t>
      </w:r>
      <w:r>
        <w:rPr>
          <w:lang w:val="es-ES_tradnl"/>
        </w:rPr>
        <w:t>s resultados del experimento de la</w:t>
      </w:r>
      <w:r w:rsidRPr="00C06F5C">
        <w:rPr>
          <w:lang w:val="es-ES_tradnl"/>
        </w:rPr>
        <w:t xml:space="preserve"> CBO indicaron que, bajo la estadidad, el </w:t>
      </w:r>
      <w:r>
        <w:rPr>
          <w:lang w:val="es-ES_tradnl"/>
        </w:rPr>
        <w:t>PNB</w:t>
      </w:r>
      <w:r w:rsidRPr="00C06F5C">
        <w:rPr>
          <w:lang w:val="es-ES_tradnl"/>
        </w:rPr>
        <w:t xml:space="preserve"> real se reduciría entre un 10</w:t>
      </w:r>
      <w:r>
        <w:rPr>
          <w:lang w:val="es-ES_tradnl"/>
        </w:rPr>
        <w:t>%</w:t>
      </w:r>
      <w:r w:rsidRPr="00C06F5C">
        <w:rPr>
          <w:lang w:val="es-ES_tradnl"/>
        </w:rPr>
        <w:t xml:space="preserve"> </w:t>
      </w:r>
      <w:r>
        <w:rPr>
          <w:lang w:val="es-ES_tradnl"/>
        </w:rPr>
        <w:t>y</w:t>
      </w:r>
      <w:r w:rsidRPr="00C06F5C">
        <w:rPr>
          <w:lang w:val="es-ES_tradnl"/>
        </w:rPr>
        <w:t xml:space="preserve"> un 15</w:t>
      </w:r>
      <w:r>
        <w:rPr>
          <w:lang w:val="es-ES_tradnl"/>
        </w:rPr>
        <w:t>%</w:t>
      </w:r>
      <w:r w:rsidRPr="00C06F5C">
        <w:rPr>
          <w:lang w:val="es-ES_tradnl"/>
        </w:rPr>
        <w:t>,</w:t>
      </w:r>
      <w:r>
        <w:rPr>
          <w:lang w:val="es-ES_tradnl"/>
        </w:rPr>
        <w:t xml:space="preserve"> </w:t>
      </w:r>
      <w:r w:rsidRPr="00C06F5C">
        <w:rPr>
          <w:lang w:val="es-ES_tradnl"/>
        </w:rPr>
        <w:t>y que las inversiones qu</w:t>
      </w:r>
      <w:r>
        <w:rPr>
          <w:lang w:val="es-ES_tradnl"/>
        </w:rPr>
        <w:t xml:space="preserve">e reclaman beneficios </w:t>
      </w:r>
      <w:r w:rsidRPr="00C06F5C">
        <w:rPr>
          <w:lang w:val="es-ES_tradnl"/>
        </w:rPr>
        <w:t xml:space="preserve">bajo la </w:t>
      </w:r>
      <w:r>
        <w:rPr>
          <w:lang w:val="es-ES_tradnl"/>
        </w:rPr>
        <w:t xml:space="preserve">Sección </w:t>
      </w:r>
      <w:r w:rsidRPr="00C06F5C">
        <w:rPr>
          <w:lang w:val="es-ES_tradnl"/>
        </w:rPr>
        <w:t xml:space="preserve">936 podrían caer entre 62 y 73 puntos porcentuales. Además, se estimó un aumento en la tasa de desempleo de </w:t>
      </w:r>
      <w:r>
        <w:rPr>
          <w:lang w:val="es-ES_tradnl"/>
        </w:rPr>
        <w:t>4</w:t>
      </w:r>
      <w:r w:rsidRPr="00C06F5C">
        <w:rPr>
          <w:lang w:val="es-ES_tradnl"/>
        </w:rPr>
        <w:t xml:space="preserve"> a </w:t>
      </w:r>
      <w:r>
        <w:rPr>
          <w:lang w:val="es-ES_tradnl"/>
        </w:rPr>
        <w:t xml:space="preserve">7 </w:t>
      </w:r>
      <w:r w:rsidRPr="00C06F5C">
        <w:rPr>
          <w:lang w:val="es-ES_tradnl"/>
        </w:rPr>
        <w:t>puntos porcentuales. La extremidad de los resultados se debe no s</w:t>
      </w:r>
      <w:r>
        <w:rPr>
          <w:lang w:val="es-ES_tradnl"/>
        </w:rPr>
        <w:t>o</w:t>
      </w:r>
      <w:r w:rsidRPr="00C06F5C">
        <w:rPr>
          <w:lang w:val="es-ES_tradnl"/>
        </w:rPr>
        <w:t>lo a los supuestos poco realistas, sino tambi</w:t>
      </w:r>
      <w:r>
        <w:rPr>
          <w:lang w:val="es-ES_tradnl"/>
        </w:rPr>
        <w:t xml:space="preserve">én a </w:t>
      </w:r>
      <w:r w:rsidRPr="00C06F5C">
        <w:rPr>
          <w:lang w:val="es-ES_tradnl"/>
        </w:rPr>
        <w:t>las espe</w:t>
      </w:r>
      <w:r>
        <w:rPr>
          <w:lang w:val="es-ES_tradnl"/>
        </w:rPr>
        <w:t>cificaciones del modelo macroeconométrico que estimó la CBO.</w:t>
      </w:r>
    </w:p>
    <w:p w:rsidR="005A5E7D" w:rsidRDefault="005A5E7D" w:rsidP="005A5E7D">
      <w:pPr>
        <w:rPr>
          <w:lang w:val="es-ES_tradnl"/>
        </w:rPr>
      </w:pPr>
      <w:r w:rsidRPr="00C06F5C">
        <w:rPr>
          <w:lang w:val="es-ES_tradnl"/>
        </w:rPr>
        <w:t>Cuando el escenario idéntico se simula usando un modelo de equilibrio general computable (CGE</w:t>
      </w:r>
      <w:r>
        <w:rPr>
          <w:lang w:val="es-ES_tradnl"/>
        </w:rPr>
        <w:t>, por sus siglas en inglés), más sensible</w:t>
      </w:r>
      <w:r w:rsidRPr="00C06F5C">
        <w:rPr>
          <w:lang w:val="es-ES_tradnl"/>
        </w:rPr>
        <w:t xml:space="preserve"> y apropiado para las realidades de la economía de Puerto Rico, el impacto económico es mucho menos dramático. Sin tomar en cuenta ajustes en la política económica o en la inversión, el escenario idéntico </w:t>
      </w:r>
      <w:r>
        <w:rPr>
          <w:lang w:val="es-ES_tradnl"/>
        </w:rPr>
        <w:t>estim</w:t>
      </w:r>
      <w:r w:rsidRPr="00C06F5C">
        <w:rPr>
          <w:lang w:val="es-ES_tradnl"/>
        </w:rPr>
        <w:t xml:space="preserve">ado con el modelo CGE determina que el </w:t>
      </w:r>
      <w:r>
        <w:rPr>
          <w:lang w:val="es-ES_tradnl"/>
        </w:rPr>
        <w:t>PNB</w:t>
      </w:r>
      <w:r w:rsidRPr="00C06F5C">
        <w:rPr>
          <w:lang w:val="es-ES_tradnl"/>
        </w:rPr>
        <w:t xml:space="preserve"> real se reduciría en un 5.6</w:t>
      </w:r>
      <w:r>
        <w:rPr>
          <w:lang w:val="es-ES_tradnl"/>
        </w:rPr>
        <w:t>%</w:t>
      </w:r>
      <w:r w:rsidRPr="00C06F5C">
        <w:rPr>
          <w:lang w:val="es-ES_tradnl"/>
        </w:rPr>
        <w:t>, en lugar del 10</w:t>
      </w:r>
      <w:r>
        <w:rPr>
          <w:lang w:val="es-ES_tradnl"/>
        </w:rPr>
        <w:t>%</w:t>
      </w:r>
      <w:r w:rsidRPr="00C06F5C">
        <w:rPr>
          <w:lang w:val="es-ES_tradnl"/>
        </w:rPr>
        <w:t xml:space="preserve"> a</w:t>
      </w:r>
      <w:r>
        <w:rPr>
          <w:lang w:val="es-ES_tradnl"/>
        </w:rPr>
        <w:t>l</w:t>
      </w:r>
      <w:r w:rsidRPr="00C06F5C">
        <w:rPr>
          <w:lang w:val="es-ES_tradnl"/>
        </w:rPr>
        <w:t xml:space="preserve"> 15</w:t>
      </w:r>
      <w:r>
        <w:rPr>
          <w:lang w:val="es-ES_tradnl"/>
        </w:rPr>
        <w:t>%</w:t>
      </w:r>
      <w:r w:rsidRPr="00C06F5C">
        <w:rPr>
          <w:lang w:val="es-ES_tradnl"/>
        </w:rPr>
        <w:t xml:space="preserve"> estima</w:t>
      </w:r>
      <w:r>
        <w:rPr>
          <w:lang w:val="es-ES_tradnl"/>
        </w:rPr>
        <w:t xml:space="preserve">do por la CBO. </w:t>
      </w:r>
      <w:r w:rsidRPr="00C06F5C">
        <w:rPr>
          <w:lang w:val="es-ES_tradnl"/>
        </w:rPr>
        <w:t>Las inversiones bajo la</w:t>
      </w:r>
      <w:r>
        <w:rPr>
          <w:lang w:val="es-ES_tradnl"/>
        </w:rPr>
        <w:t xml:space="preserve"> </w:t>
      </w:r>
      <w:r w:rsidRPr="00C06F5C">
        <w:rPr>
          <w:lang w:val="es-ES_tradnl"/>
        </w:rPr>
        <w:t>Sección 936 caerían un 63.3</w:t>
      </w:r>
      <w:r>
        <w:rPr>
          <w:lang w:val="es-ES_tradnl"/>
        </w:rPr>
        <w:t>%</w:t>
      </w:r>
      <w:r w:rsidRPr="00C06F5C">
        <w:rPr>
          <w:lang w:val="es-ES_tradnl"/>
        </w:rPr>
        <w:t xml:space="preserve"> bajo el modelo CGE, lo cual es c</w:t>
      </w:r>
      <w:r>
        <w:rPr>
          <w:lang w:val="es-ES_tradnl"/>
        </w:rPr>
        <w:t>ongruente con el resultado de la</w:t>
      </w:r>
      <w:r w:rsidRPr="00C06F5C">
        <w:rPr>
          <w:lang w:val="es-ES_tradnl"/>
        </w:rPr>
        <w:t xml:space="preserve"> CBO. La tasa de desempleo disminuiría</w:t>
      </w:r>
      <w:r>
        <w:rPr>
          <w:lang w:val="es-ES_tradnl"/>
        </w:rPr>
        <w:t xml:space="preserve"> </w:t>
      </w:r>
      <w:r w:rsidRPr="00C06F5C">
        <w:rPr>
          <w:lang w:val="es-ES_tradnl"/>
        </w:rPr>
        <w:t>en 2.3 puntos porcentuales, cifra que es significativamente menor que de 4 a 7 punto</w:t>
      </w:r>
      <w:r>
        <w:rPr>
          <w:lang w:val="es-ES_tradnl"/>
        </w:rPr>
        <w:t>s</w:t>
      </w:r>
      <w:r w:rsidRPr="00C06F5C">
        <w:rPr>
          <w:lang w:val="es-ES_tradnl"/>
        </w:rPr>
        <w:t xml:space="preserve"> porcentuales de aumento estima</w:t>
      </w:r>
      <w:r>
        <w:rPr>
          <w:lang w:val="es-ES_tradnl"/>
        </w:rPr>
        <w:t>do por</w:t>
      </w:r>
      <w:r w:rsidRPr="00C06F5C">
        <w:rPr>
          <w:lang w:val="es-ES_tradnl"/>
        </w:rPr>
        <w:t xml:space="preserve"> </w:t>
      </w:r>
      <w:r>
        <w:rPr>
          <w:lang w:val="es-ES_tradnl"/>
        </w:rPr>
        <w:t>la</w:t>
      </w:r>
      <w:r w:rsidRPr="00C06F5C">
        <w:rPr>
          <w:lang w:val="es-ES_tradnl"/>
        </w:rPr>
        <w:t xml:space="preserve"> CBO. Si bien las simulaciones CGE todavía produce</w:t>
      </w:r>
      <w:r>
        <w:rPr>
          <w:lang w:val="es-ES_tradnl"/>
        </w:rPr>
        <w:t>n</w:t>
      </w:r>
      <w:r w:rsidRPr="00C06F5C">
        <w:rPr>
          <w:lang w:val="es-ES_tradnl"/>
        </w:rPr>
        <w:t xml:space="preserve"> impactos negativos, los resultados son mucho más modest</w:t>
      </w:r>
      <w:r>
        <w:rPr>
          <w:lang w:val="es-ES_tradnl"/>
        </w:rPr>
        <w:t>o</w:t>
      </w:r>
      <w:r w:rsidRPr="00C06F5C">
        <w:rPr>
          <w:lang w:val="es-ES_tradnl"/>
        </w:rPr>
        <w:t>s que las</w:t>
      </w:r>
      <w:r>
        <w:rPr>
          <w:lang w:val="es-ES_tradnl"/>
        </w:rPr>
        <w:t xml:space="preserve"> generados por el modelo macroeconométrico de la CBO.</w:t>
      </w:r>
    </w:p>
    <w:p w:rsidR="005A5E7D" w:rsidRPr="00C06F5C" w:rsidRDefault="005A5E7D" w:rsidP="005A5E7D">
      <w:pPr>
        <w:rPr>
          <w:lang w:val="es-ES_tradnl"/>
        </w:rPr>
      </w:pPr>
      <w:r w:rsidRPr="00C06F5C">
        <w:rPr>
          <w:lang w:val="es-ES_tradnl"/>
        </w:rPr>
        <w:t xml:space="preserve">Hexner y Jenkins </w:t>
      </w:r>
      <w:r>
        <w:rPr>
          <w:lang w:val="es-ES_tradnl"/>
        </w:rPr>
        <w:t>señal</w:t>
      </w:r>
      <w:r w:rsidRPr="00C06F5C">
        <w:rPr>
          <w:lang w:val="es-ES_tradnl"/>
        </w:rPr>
        <w:t>a</w:t>
      </w:r>
      <w:r>
        <w:rPr>
          <w:lang w:val="es-ES_tradnl"/>
        </w:rPr>
        <w:t>ron que l</w:t>
      </w:r>
      <w:r w:rsidRPr="00C06F5C">
        <w:rPr>
          <w:lang w:val="es-ES_tradnl"/>
        </w:rPr>
        <w:t>a resiliencia y</w:t>
      </w:r>
      <w:r>
        <w:rPr>
          <w:lang w:val="es-ES_tradnl"/>
        </w:rPr>
        <w:t xml:space="preserve"> l</w:t>
      </w:r>
      <w:r w:rsidRPr="00C06F5C">
        <w:rPr>
          <w:lang w:val="es-ES_tradnl"/>
        </w:rPr>
        <w:t>a capacidad de la eco</w:t>
      </w:r>
      <w:r>
        <w:rPr>
          <w:lang w:val="es-ES_tradnl"/>
        </w:rPr>
        <w:t>nomía de Puerto Rico no haría</w:t>
      </w:r>
      <w:r w:rsidRPr="00C06F5C">
        <w:rPr>
          <w:lang w:val="es-ES_tradnl"/>
        </w:rPr>
        <w:t xml:space="preserve"> que se derrumb</w:t>
      </w:r>
      <w:r>
        <w:rPr>
          <w:lang w:val="es-ES_tradnl"/>
        </w:rPr>
        <w:t>ara con la eliminación de la S</w:t>
      </w:r>
      <w:r w:rsidRPr="00C06F5C">
        <w:rPr>
          <w:lang w:val="es-ES_tradnl"/>
        </w:rPr>
        <w:t xml:space="preserve">ección 936. De hecho, el modelo de CGE sugiere que medidas políticas sensatas por parte del </w:t>
      </w:r>
      <w:r>
        <w:rPr>
          <w:lang w:val="es-ES_tradnl"/>
        </w:rPr>
        <w:t>Gobierno</w:t>
      </w:r>
      <w:r w:rsidRPr="00C06F5C">
        <w:rPr>
          <w:lang w:val="es-ES_tradnl"/>
        </w:rPr>
        <w:t xml:space="preserve"> de Puerto Rico podrían compensar fácilmente </w:t>
      </w:r>
      <w:r>
        <w:rPr>
          <w:lang w:val="es-ES_tradnl"/>
        </w:rPr>
        <w:t>por la pérdida de la Sección 936</w:t>
      </w:r>
      <w:r w:rsidRPr="00C06F5C">
        <w:rPr>
          <w:lang w:val="es-ES_tradnl"/>
        </w:rPr>
        <w:t>.</w:t>
      </w:r>
    </w:p>
    <w:p w:rsidR="005A5E7D" w:rsidRDefault="005A5E7D" w:rsidP="005A5E7D">
      <w:pPr>
        <w:rPr>
          <w:lang w:val="es-ES_tradnl"/>
        </w:rPr>
      </w:pPr>
      <w:r w:rsidRPr="00C06F5C">
        <w:rPr>
          <w:lang w:val="es-ES_tradnl"/>
        </w:rPr>
        <w:t>Bofil</w:t>
      </w:r>
      <w:r>
        <w:rPr>
          <w:lang w:val="es-ES_tradnl"/>
        </w:rPr>
        <w:t>l (1994) actualizó el modelo de la</w:t>
      </w:r>
      <w:r w:rsidRPr="00C06F5C">
        <w:rPr>
          <w:lang w:val="es-ES_tradnl"/>
        </w:rPr>
        <w:t xml:space="preserve"> CBO para estimar los impactos fiscales que podrían resultar de un cambio en el estatus político de la </w:t>
      </w:r>
      <w:r>
        <w:rPr>
          <w:lang w:val="es-ES_tradnl"/>
        </w:rPr>
        <w:t>I</w:t>
      </w:r>
      <w:r w:rsidRPr="00C06F5C">
        <w:rPr>
          <w:lang w:val="es-ES_tradnl"/>
        </w:rPr>
        <w:t>sla. Este autor también consider</w:t>
      </w:r>
      <w:r>
        <w:rPr>
          <w:lang w:val="es-ES_tradnl"/>
        </w:rPr>
        <w:t>ó</w:t>
      </w:r>
      <w:r w:rsidRPr="00C06F5C">
        <w:rPr>
          <w:lang w:val="es-ES_tradnl"/>
        </w:rPr>
        <w:t xml:space="preserve"> cómo las transferencias y contribuciones federales, y el grado de relocalización de las empresas 936, afecta</w:t>
      </w:r>
      <w:r>
        <w:rPr>
          <w:lang w:val="es-ES_tradnl"/>
        </w:rPr>
        <w:t>ría</w:t>
      </w:r>
      <w:r w:rsidRPr="00C06F5C">
        <w:rPr>
          <w:lang w:val="es-ES_tradnl"/>
        </w:rPr>
        <w:t xml:space="preserve">n variables macroeconómicas tales como las exportaciones o el </w:t>
      </w:r>
      <w:r>
        <w:rPr>
          <w:lang w:val="es-ES_tradnl"/>
        </w:rPr>
        <w:t>PNB</w:t>
      </w:r>
      <w:r w:rsidRPr="00C06F5C">
        <w:rPr>
          <w:lang w:val="es-ES_tradnl"/>
        </w:rPr>
        <w:t xml:space="preserve">. Bofill, como otros autores </w:t>
      </w:r>
      <w:r>
        <w:rPr>
          <w:lang w:val="es-ES_tradnl"/>
        </w:rPr>
        <w:t>reseñados en este capítulo, están</w:t>
      </w:r>
      <w:r w:rsidRPr="00C06F5C">
        <w:rPr>
          <w:lang w:val="es-ES_tradnl"/>
        </w:rPr>
        <w:t xml:space="preserve"> de acuerdo en que “la estadidad proveerá paridad en los programas federales de asistencia pública”. Esta inyección de transferencias proveer</w:t>
      </w:r>
      <w:r>
        <w:rPr>
          <w:lang w:val="es-ES_tradnl"/>
        </w:rPr>
        <w:t>ía</w:t>
      </w:r>
      <w:r w:rsidRPr="00C06F5C">
        <w:rPr>
          <w:lang w:val="es-ES_tradnl"/>
        </w:rPr>
        <w:t xml:space="preserve"> un subsidio a corto plazo que compensar</w:t>
      </w:r>
      <w:r>
        <w:rPr>
          <w:lang w:val="es-ES_tradnl"/>
        </w:rPr>
        <w:t>ía</w:t>
      </w:r>
      <w:r w:rsidRPr="00C06F5C">
        <w:rPr>
          <w:lang w:val="es-ES_tradnl"/>
        </w:rPr>
        <w:t xml:space="preserve"> por la posible reducción en actividad económica inducida por la eliminación gradual de los beneficios de la Sección 936. Por otro lado, lograr paridad en la asignación de fondos federales constituye un reto para el ELA. Si bien es cierto que la mayor parte de los programas de beneficencia federales</w:t>
      </w:r>
      <w:r>
        <w:rPr>
          <w:lang w:val="es-ES_tradnl"/>
        </w:rPr>
        <w:t xml:space="preserve"> se ha</w:t>
      </w:r>
      <w:r w:rsidRPr="00C06F5C">
        <w:rPr>
          <w:lang w:val="es-ES_tradnl"/>
        </w:rPr>
        <w:t xml:space="preserve"> extendido a Puerto Rico, aún existe disparidad </w:t>
      </w:r>
      <w:r w:rsidRPr="008B456C">
        <w:t>—</w:t>
      </w:r>
      <w:r>
        <w:rPr>
          <w:lang w:val="es-ES_tradnl"/>
        </w:rPr>
        <w:t xml:space="preserve">en cuatro </w:t>
      </w:r>
      <w:r w:rsidRPr="00C06F5C">
        <w:rPr>
          <w:lang w:val="es-ES_tradnl"/>
        </w:rPr>
        <w:t xml:space="preserve">en aquel </w:t>
      </w:r>
      <w:r>
        <w:rPr>
          <w:lang w:val="es-ES_tradnl"/>
        </w:rPr>
        <w:t>momento</w:t>
      </w:r>
      <w:r w:rsidRPr="008B456C">
        <w:t>—</w:t>
      </w:r>
      <w:r>
        <w:rPr>
          <w:lang w:val="es-ES_tradnl"/>
        </w:rPr>
        <w:t xml:space="preserve"> en</w:t>
      </w:r>
      <w:r w:rsidRPr="00C06F5C">
        <w:rPr>
          <w:lang w:val="es-ES_tradnl"/>
        </w:rPr>
        <w:t xml:space="preserve"> los programas más importantes. La situación actual es de disparidad en la asignación de fondos</w:t>
      </w:r>
      <w:r>
        <w:rPr>
          <w:lang w:val="es-ES_tradnl"/>
        </w:rPr>
        <w:t xml:space="preserve"> para algunos programas claves.</w:t>
      </w:r>
    </w:p>
    <w:p w:rsidR="005A5E7D" w:rsidRDefault="005A5E7D" w:rsidP="005A5E7D">
      <w:pPr>
        <w:rPr>
          <w:lang w:val="es-ES_tradnl" w:eastAsia="ja-JP"/>
        </w:rPr>
      </w:pPr>
      <w:r w:rsidRPr="00C06F5C">
        <w:rPr>
          <w:lang w:val="es-ES_tradnl"/>
        </w:rPr>
        <w:t>Según Bofill</w:t>
      </w:r>
      <w:r>
        <w:rPr>
          <w:lang w:val="es-ES_tradnl"/>
        </w:rPr>
        <w:t>,</w:t>
      </w:r>
      <w:r w:rsidRPr="00C06F5C">
        <w:rPr>
          <w:lang w:val="es-ES_tradnl"/>
        </w:rPr>
        <w:t xml:space="preserve"> </w:t>
      </w:r>
      <w:r w:rsidRPr="000C4F93">
        <w:rPr>
          <w:lang w:val="es-ES_tradnl"/>
        </w:rPr>
        <w:t>“</w:t>
      </w:r>
      <w:r>
        <w:rPr>
          <w:lang w:val="es-ES_tradnl" w:eastAsia="ja-JP"/>
        </w:rPr>
        <w:t>b</w:t>
      </w:r>
      <w:r w:rsidRPr="00C06F5C">
        <w:rPr>
          <w:lang w:val="es-ES_tradnl" w:eastAsia="ja-JP"/>
        </w:rPr>
        <w:t>ajo la estadidad</w:t>
      </w:r>
      <w:r>
        <w:rPr>
          <w:lang w:val="es-ES_tradnl" w:eastAsia="ja-JP"/>
        </w:rPr>
        <w:t>,</w:t>
      </w:r>
      <w:r w:rsidRPr="00C06F5C">
        <w:rPr>
          <w:lang w:val="es-ES_tradnl" w:eastAsia="ja-JP"/>
        </w:rPr>
        <w:t xml:space="preserve"> la pérdida de ingresos causada por un pago mayor de impuestos al Tesoro de EE.UU</w:t>
      </w:r>
      <w:r>
        <w:rPr>
          <w:lang w:val="es-ES_tradnl" w:eastAsia="ja-JP"/>
        </w:rPr>
        <w:t xml:space="preserve">. </w:t>
      </w:r>
      <w:r w:rsidRPr="00C06F5C">
        <w:rPr>
          <w:lang w:val="es-ES_tradnl" w:eastAsia="ja-JP"/>
        </w:rPr>
        <w:t>por los individuos y las corpo</w:t>
      </w:r>
      <w:r>
        <w:rPr>
          <w:lang w:val="es-ES_tradnl" w:eastAsia="ja-JP"/>
        </w:rPr>
        <w:t>raciones localizadas en la Isla</w:t>
      </w:r>
      <w:r w:rsidRPr="00C06F5C">
        <w:rPr>
          <w:lang w:val="es-ES_tradnl" w:eastAsia="ja-JP"/>
        </w:rPr>
        <w:t xml:space="preserve"> serían más que compensadas por el pago de transferencias federales a los residentes de Puerto Rico y sus agencias de </w:t>
      </w:r>
      <w:r>
        <w:rPr>
          <w:lang w:val="es-ES_tradnl" w:eastAsia="ja-JP"/>
        </w:rPr>
        <w:t>gobierno”</w:t>
      </w:r>
      <w:r w:rsidRPr="00C06F5C">
        <w:rPr>
          <w:lang w:val="es-ES_tradnl" w:eastAsia="ja-JP"/>
        </w:rPr>
        <w:t>. A</w:t>
      </w:r>
      <w:r>
        <w:rPr>
          <w:lang w:val="es-ES_tradnl" w:eastAsia="ja-JP"/>
        </w:rPr>
        <w:t>legó que si se pre</w:t>
      </w:r>
      <w:r w:rsidRPr="00C06F5C">
        <w:rPr>
          <w:lang w:val="es-ES_tradnl" w:eastAsia="ja-JP"/>
        </w:rPr>
        <w:t>sum</w:t>
      </w:r>
      <w:r>
        <w:rPr>
          <w:lang w:val="es-ES_tradnl" w:eastAsia="ja-JP"/>
        </w:rPr>
        <w:t>e</w:t>
      </w:r>
      <w:r w:rsidRPr="00C06F5C">
        <w:rPr>
          <w:lang w:val="es-ES_tradnl" w:eastAsia="ja-JP"/>
        </w:rPr>
        <w:t xml:space="preserve"> que no ocurran eventos económicos exógenos mayores y que las compañías </w:t>
      </w:r>
      <w:r>
        <w:rPr>
          <w:lang w:val="es-ES_tradnl" w:eastAsia="ja-JP"/>
        </w:rPr>
        <w:t>bajo</w:t>
      </w:r>
      <w:r w:rsidRPr="00C06F5C">
        <w:rPr>
          <w:lang w:val="es-ES_tradnl" w:eastAsia="ja-JP"/>
        </w:rPr>
        <w:t xml:space="preserve"> la Sección 936 se quedasen en la Isla, el beneficio fiscal neto, en términos </w:t>
      </w:r>
      <w:r>
        <w:rPr>
          <w:lang w:val="es-ES_tradnl" w:eastAsia="ja-JP"/>
        </w:rPr>
        <w:t xml:space="preserve">de crecimiento económico, sería mayor bajo la estadidad que </w:t>
      </w:r>
      <w:r w:rsidRPr="00C06F5C">
        <w:rPr>
          <w:lang w:val="es-ES_tradnl" w:eastAsia="ja-JP"/>
        </w:rPr>
        <w:t xml:space="preserve">bajo independencia o </w:t>
      </w:r>
      <w:r>
        <w:rPr>
          <w:lang w:val="es-ES_tradnl" w:eastAsia="ja-JP"/>
        </w:rPr>
        <w:t>el ELA</w:t>
      </w:r>
      <w:r w:rsidRPr="00C06F5C">
        <w:rPr>
          <w:lang w:val="es-ES_tradnl" w:eastAsia="ja-JP"/>
        </w:rPr>
        <w:t xml:space="preserve">. Sin embargo, </w:t>
      </w:r>
      <w:r>
        <w:rPr>
          <w:lang w:val="es-ES_tradnl" w:eastAsia="ja-JP"/>
        </w:rPr>
        <w:t xml:space="preserve">advirtió que </w:t>
      </w:r>
      <w:r w:rsidRPr="00C06F5C">
        <w:rPr>
          <w:lang w:val="es-ES_tradnl" w:eastAsia="ja-JP"/>
        </w:rPr>
        <w:t xml:space="preserve">el incremento en las </w:t>
      </w:r>
      <w:r>
        <w:rPr>
          <w:lang w:val="es-ES_tradnl" w:eastAsia="ja-JP"/>
        </w:rPr>
        <w:t>transferencias federales podría</w:t>
      </w:r>
      <w:r w:rsidRPr="00C06F5C">
        <w:rPr>
          <w:lang w:val="es-ES_tradnl" w:eastAsia="ja-JP"/>
        </w:rPr>
        <w:t xml:space="preserve"> verse s</w:t>
      </w:r>
      <w:r>
        <w:rPr>
          <w:lang w:val="es-ES_tradnl" w:eastAsia="ja-JP"/>
        </w:rPr>
        <w:t>uperado</w:t>
      </w:r>
      <w:r w:rsidRPr="00C06F5C">
        <w:rPr>
          <w:lang w:val="es-ES_tradnl" w:eastAsia="ja-JP"/>
        </w:rPr>
        <w:t xml:space="preserve"> por un efecto decreciente por parte de los impuestos federales y la pérdida de ingresos causada por la relocali</w:t>
      </w:r>
      <w:r>
        <w:rPr>
          <w:lang w:val="es-ES_tradnl" w:eastAsia="ja-JP"/>
        </w:rPr>
        <w:t>zación de las corporaciones 936</w:t>
      </w:r>
      <w:r w:rsidRPr="00C06F5C">
        <w:rPr>
          <w:lang w:val="es-ES_tradnl" w:eastAsia="ja-JP"/>
        </w:rPr>
        <w:t>. El factor crítico es el número y la importancia de las</w:t>
      </w:r>
      <w:r>
        <w:rPr>
          <w:lang w:val="es-ES_tradnl" w:eastAsia="ja-JP"/>
        </w:rPr>
        <w:t xml:space="preserve"> corporaciones 936 que relocalizaría</w:t>
      </w:r>
      <w:r w:rsidRPr="00C06F5C">
        <w:rPr>
          <w:lang w:val="es-ES_tradnl" w:eastAsia="ja-JP"/>
        </w:rPr>
        <w:t>n sus operaciones o pospusier</w:t>
      </w:r>
      <w:r>
        <w:rPr>
          <w:lang w:val="es-ES_tradnl" w:eastAsia="ja-JP"/>
        </w:rPr>
        <w:t>an inversiones futuras en la I</w:t>
      </w:r>
      <w:r w:rsidRPr="00C06F5C">
        <w:rPr>
          <w:lang w:val="es-ES_tradnl" w:eastAsia="ja-JP"/>
        </w:rPr>
        <w:t xml:space="preserve">sla. Las respuestas del </w:t>
      </w:r>
      <w:r>
        <w:rPr>
          <w:lang w:val="es-ES_tradnl" w:eastAsia="ja-JP"/>
        </w:rPr>
        <w:t>Gobierno</w:t>
      </w:r>
      <w:r w:rsidRPr="00C06F5C">
        <w:rPr>
          <w:lang w:val="es-ES_tradnl" w:eastAsia="ja-JP"/>
        </w:rPr>
        <w:t xml:space="preserve"> y el sector privado diseñadas para aplacar</w:t>
      </w:r>
      <w:r>
        <w:rPr>
          <w:lang w:val="es-ES_tradnl" w:eastAsia="ja-JP"/>
        </w:rPr>
        <w:t xml:space="preserve"> la incertidumbre de las </w:t>
      </w:r>
      <w:r w:rsidRPr="00C06F5C">
        <w:rPr>
          <w:lang w:val="es-ES_tradnl" w:eastAsia="ja-JP"/>
        </w:rPr>
        <w:t>corporaciones 9</w:t>
      </w:r>
      <w:r>
        <w:rPr>
          <w:lang w:val="es-ES_tradnl" w:eastAsia="ja-JP"/>
        </w:rPr>
        <w:t>36 serán de vital importancia, según el autor.</w:t>
      </w:r>
    </w:p>
    <w:p w:rsidR="005A5E7D" w:rsidRPr="00C06F5C" w:rsidRDefault="005A5E7D" w:rsidP="005A5E7D">
      <w:pPr>
        <w:rPr>
          <w:lang w:val="es-ES_tradnl" w:eastAsia="ja-JP"/>
        </w:rPr>
      </w:pPr>
      <w:r w:rsidRPr="00C06F5C">
        <w:rPr>
          <w:lang w:val="es-ES_tradnl" w:eastAsia="ja-JP"/>
        </w:rPr>
        <w:t xml:space="preserve">Bofill </w:t>
      </w:r>
      <w:r>
        <w:rPr>
          <w:lang w:val="es-ES_tradnl" w:eastAsia="ja-JP"/>
        </w:rPr>
        <w:t>partió de la premisa de</w:t>
      </w:r>
      <w:r w:rsidRPr="00C06F5C">
        <w:rPr>
          <w:lang w:val="es-ES_tradnl" w:eastAsia="ja-JP"/>
        </w:rPr>
        <w:t xml:space="preserve"> que ambas opciones, independencia y estadidad</w:t>
      </w:r>
      <w:r>
        <w:rPr>
          <w:lang w:val="es-ES_tradnl" w:eastAsia="ja-JP"/>
        </w:rPr>
        <w:t>,</w:t>
      </w:r>
      <w:r w:rsidRPr="00C06F5C">
        <w:rPr>
          <w:lang w:val="es-ES_tradnl" w:eastAsia="ja-JP"/>
        </w:rPr>
        <w:t xml:space="preserve"> comenzarían en 1994. </w:t>
      </w:r>
      <w:r>
        <w:rPr>
          <w:lang w:val="es-ES_tradnl" w:eastAsia="ja-JP"/>
        </w:rPr>
        <w:t>T</w:t>
      </w:r>
      <w:r w:rsidRPr="00C06F5C">
        <w:rPr>
          <w:lang w:val="es-ES_tradnl" w:eastAsia="ja-JP"/>
        </w:rPr>
        <w:t>odos los impuestos y programas federales se extend</w:t>
      </w:r>
      <w:r>
        <w:rPr>
          <w:lang w:val="es-ES_tradnl" w:eastAsia="ja-JP"/>
        </w:rPr>
        <w:t>e</w:t>
      </w:r>
      <w:r w:rsidRPr="00C06F5C">
        <w:rPr>
          <w:lang w:val="es-ES_tradnl" w:eastAsia="ja-JP"/>
        </w:rPr>
        <w:t>r</w:t>
      </w:r>
      <w:r>
        <w:rPr>
          <w:lang w:val="es-ES_tradnl" w:eastAsia="ja-JP"/>
        </w:rPr>
        <w:t>í</w:t>
      </w:r>
      <w:r w:rsidRPr="00C06F5C">
        <w:rPr>
          <w:lang w:val="es-ES_tradnl" w:eastAsia="ja-JP"/>
        </w:rPr>
        <w:t>an a Puerto Rico</w:t>
      </w:r>
      <w:r>
        <w:rPr>
          <w:lang w:val="es-ES_tradnl" w:eastAsia="ja-JP"/>
        </w:rPr>
        <w:t xml:space="preserve"> b</w:t>
      </w:r>
      <w:r w:rsidRPr="00C06F5C">
        <w:rPr>
          <w:lang w:val="es-ES_tradnl" w:eastAsia="ja-JP"/>
        </w:rPr>
        <w:t>ajo la estadidad, excepto la Sección 936, que se</w:t>
      </w:r>
      <w:r>
        <w:rPr>
          <w:lang w:val="es-ES_tradnl" w:eastAsia="ja-JP"/>
        </w:rPr>
        <w:t xml:space="preserve"> eliminaría por fases en un perí</w:t>
      </w:r>
      <w:r w:rsidRPr="00C06F5C">
        <w:rPr>
          <w:lang w:val="es-ES_tradnl" w:eastAsia="ja-JP"/>
        </w:rPr>
        <w:t xml:space="preserve">odo de </w:t>
      </w:r>
      <w:r>
        <w:rPr>
          <w:lang w:val="es-ES_tradnl" w:eastAsia="ja-JP"/>
        </w:rPr>
        <w:t xml:space="preserve">cinco años. </w:t>
      </w:r>
      <w:r w:rsidRPr="00C06F5C">
        <w:rPr>
          <w:lang w:val="es-ES_tradnl" w:eastAsia="ja-JP"/>
        </w:rPr>
        <w:t xml:space="preserve">Bajo </w:t>
      </w:r>
      <w:r>
        <w:rPr>
          <w:lang w:val="es-ES_tradnl" w:eastAsia="ja-JP"/>
        </w:rPr>
        <w:t xml:space="preserve">la </w:t>
      </w:r>
      <w:r w:rsidRPr="00C06F5C">
        <w:rPr>
          <w:lang w:val="es-ES_tradnl" w:eastAsia="ja-JP"/>
        </w:rPr>
        <w:t>independencia</w:t>
      </w:r>
      <w:r>
        <w:rPr>
          <w:lang w:val="es-ES_tradnl" w:eastAsia="ja-JP"/>
        </w:rPr>
        <w:t>,</w:t>
      </w:r>
      <w:r w:rsidRPr="00C06F5C">
        <w:rPr>
          <w:lang w:val="es-ES_tradnl" w:eastAsia="ja-JP"/>
        </w:rPr>
        <w:t xml:space="preserve"> Puerto Rico recibiría una serie de tran</w:t>
      </w:r>
      <w:r>
        <w:rPr>
          <w:lang w:val="es-ES_tradnl" w:eastAsia="ja-JP"/>
        </w:rPr>
        <w:t>sferencias federales por un perí</w:t>
      </w:r>
      <w:r w:rsidRPr="00C06F5C">
        <w:rPr>
          <w:lang w:val="es-ES_tradnl" w:eastAsia="ja-JP"/>
        </w:rPr>
        <w:t xml:space="preserve">odo de </w:t>
      </w:r>
      <w:r>
        <w:rPr>
          <w:lang w:val="es-ES_tradnl" w:eastAsia="ja-JP"/>
        </w:rPr>
        <w:t xml:space="preserve">nueve </w:t>
      </w:r>
      <w:r w:rsidRPr="00C06F5C">
        <w:rPr>
          <w:lang w:val="es-ES_tradnl" w:eastAsia="ja-JP"/>
        </w:rPr>
        <w:t>años</w:t>
      </w:r>
      <w:r>
        <w:rPr>
          <w:lang w:val="es-ES_tradnl" w:eastAsia="ja-JP"/>
        </w:rPr>
        <w:t xml:space="preserve"> y la</w:t>
      </w:r>
      <w:r w:rsidRPr="00C06F5C">
        <w:rPr>
          <w:lang w:val="es-ES_tradnl" w:eastAsia="ja-JP"/>
        </w:rPr>
        <w:t xml:space="preserve"> asignación de fondos sería igual a la cantidad asignada el año posterior a la </w:t>
      </w:r>
      <w:r>
        <w:rPr>
          <w:lang w:val="es-ES_tradnl" w:eastAsia="ja-JP"/>
        </w:rPr>
        <w:t>declaración de la independencia</w:t>
      </w:r>
      <w:r w:rsidRPr="00C06F5C">
        <w:rPr>
          <w:lang w:val="es-ES_tradnl" w:eastAsia="ja-JP"/>
        </w:rPr>
        <w:t xml:space="preserve">. </w:t>
      </w:r>
      <w:r>
        <w:rPr>
          <w:lang w:val="es-ES_tradnl" w:eastAsia="ja-JP"/>
        </w:rPr>
        <w:t>A continuación se</w:t>
      </w:r>
      <w:r w:rsidRPr="00C06F5C">
        <w:rPr>
          <w:lang w:val="es-ES_tradnl" w:eastAsia="ja-JP"/>
        </w:rPr>
        <w:t xml:space="preserve"> resu</w:t>
      </w:r>
      <w:r>
        <w:rPr>
          <w:lang w:val="es-ES_tradnl" w:eastAsia="ja-JP"/>
        </w:rPr>
        <w:t xml:space="preserve">men </w:t>
      </w:r>
      <w:r w:rsidRPr="00C06F5C">
        <w:rPr>
          <w:lang w:val="es-ES_tradnl" w:eastAsia="ja-JP"/>
        </w:rPr>
        <w:t>las estim</w:t>
      </w:r>
      <w:r>
        <w:rPr>
          <w:lang w:val="es-ES_tradnl" w:eastAsia="ja-JP"/>
        </w:rPr>
        <w:t>aciones bajo sus dos escenarios.</w:t>
      </w:r>
    </w:p>
    <w:p w:rsidR="005A5E7D" w:rsidRPr="00C06F5C" w:rsidRDefault="005A5E7D" w:rsidP="005A5E7D">
      <w:pPr>
        <w:rPr>
          <w:b/>
          <w:lang w:val="es-ES_tradnl" w:eastAsia="ja-JP"/>
        </w:rPr>
      </w:pPr>
      <w:r w:rsidRPr="00C06F5C">
        <w:rPr>
          <w:b/>
          <w:lang w:val="es-ES_tradnl" w:eastAsia="ja-JP"/>
        </w:rPr>
        <w:t>Escenario 1</w:t>
      </w:r>
      <w:r>
        <w:rPr>
          <w:b/>
          <w:lang w:val="es-ES_tradnl" w:eastAsia="ja-JP"/>
        </w:rPr>
        <w:t>:</w:t>
      </w:r>
    </w:p>
    <w:p w:rsidR="005A5E7D" w:rsidRDefault="005A5E7D" w:rsidP="005A5E7D">
      <w:pPr>
        <w:rPr>
          <w:lang w:val="es-ES_tradnl" w:eastAsia="ja-JP"/>
        </w:rPr>
      </w:pPr>
      <w:r w:rsidRPr="00C06F5C">
        <w:rPr>
          <w:lang w:val="es-ES_tradnl" w:eastAsia="ja-JP"/>
        </w:rPr>
        <w:t>Las corporaciones 936 continuarían operaciones en Puerto Rico sin importar el estatus político y la p</w:t>
      </w:r>
      <w:r>
        <w:rPr>
          <w:lang w:val="es-ES_tradnl" w:eastAsia="ja-JP"/>
        </w:rPr>
        <w:t>é</w:t>
      </w:r>
      <w:r w:rsidRPr="00C06F5C">
        <w:rPr>
          <w:lang w:val="es-ES_tradnl" w:eastAsia="ja-JP"/>
        </w:rPr>
        <w:t>rdida de exenciones fiscales federales. Por lo tanto</w:t>
      </w:r>
      <w:r>
        <w:rPr>
          <w:lang w:val="es-ES_tradnl" w:eastAsia="ja-JP"/>
        </w:rPr>
        <w:t>,</w:t>
      </w:r>
      <w:r w:rsidRPr="00C06F5C">
        <w:rPr>
          <w:lang w:val="es-ES_tradnl" w:eastAsia="ja-JP"/>
        </w:rPr>
        <w:t xml:space="preserve"> las tasas de crecimiento de exportacion</w:t>
      </w:r>
      <w:r>
        <w:rPr>
          <w:lang w:val="es-ES_tradnl" w:eastAsia="ja-JP"/>
        </w:rPr>
        <w:t>es y</w:t>
      </w:r>
      <w:r w:rsidRPr="00C06F5C">
        <w:rPr>
          <w:lang w:val="es-ES_tradnl" w:eastAsia="ja-JP"/>
        </w:rPr>
        <w:t xml:space="preserve"> la inversión en maquinaria, equipo y construcción serían las mismas para las tres opciones políticas de estatus.</w:t>
      </w:r>
    </w:p>
    <w:p w:rsidR="005A5E7D" w:rsidRPr="00F350C3" w:rsidRDefault="005A5E7D" w:rsidP="005A5E7D">
      <w:pPr>
        <w:rPr>
          <w:b/>
          <w:lang w:val="es-ES_tradnl" w:eastAsia="ja-JP"/>
        </w:rPr>
      </w:pPr>
      <w:r w:rsidRPr="00F350C3">
        <w:rPr>
          <w:b/>
          <w:lang w:val="es-ES_tradnl" w:eastAsia="ja-JP"/>
        </w:rPr>
        <w:t>Escenario 2:</w:t>
      </w:r>
    </w:p>
    <w:p w:rsidR="005A5E7D" w:rsidRDefault="005A5E7D" w:rsidP="005A5E7D">
      <w:pPr>
        <w:rPr>
          <w:lang w:val="es-ES_tradnl" w:eastAsia="ja-JP"/>
        </w:rPr>
      </w:pPr>
      <w:r>
        <w:rPr>
          <w:lang w:val="es-ES_tradnl" w:eastAsia="ja-JP"/>
        </w:rPr>
        <w:t>Podría</w:t>
      </w:r>
      <w:r w:rsidRPr="00C06F5C">
        <w:rPr>
          <w:lang w:val="es-ES_tradnl" w:eastAsia="ja-JP"/>
        </w:rPr>
        <w:t xml:space="preserve"> variar </w:t>
      </w:r>
      <w:r>
        <w:rPr>
          <w:lang w:val="es-ES_tradnl" w:eastAsia="ja-JP"/>
        </w:rPr>
        <w:t>e</w:t>
      </w:r>
      <w:r w:rsidRPr="00C06F5C">
        <w:rPr>
          <w:lang w:val="es-ES_tradnl" w:eastAsia="ja-JP"/>
        </w:rPr>
        <w:t xml:space="preserve">l nivel de relocalizaciones de las corporaciones 936 bajo </w:t>
      </w:r>
      <w:r>
        <w:rPr>
          <w:lang w:val="es-ES_tradnl" w:eastAsia="ja-JP"/>
        </w:rPr>
        <w:t xml:space="preserve">la </w:t>
      </w:r>
      <w:r w:rsidRPr="00C06F5C">
        <w:rPr>
          <w:lang w:val="es-ES_tradnl" w:eastAsia="ja-JP"/>
        </w:rPr>
        <w:t xml:space="preserve">independencia y </w:t>
      </w:r>
      <w:r>
        <w:rPr>
          <w:lang w:val="es-ES_tradnl" w:eastAsia="ja-JP"/>
        </w:rPr>
        <w:t xml:space="preserve">la </w:t>
      </w:r>
      <w:r w:rsidRPr="00C06F5C">
        <w:rPr>
          <w:lang w:val="es-ES_tradnl" w:eastAsia="ja-JP"/>
        </w:rPr>
        <w:t>estadidad</w:t>
      </w:r>
      <w:r>
        <w:rPr>
          <w:lang w:val="es-ES_tradnl" w:eastAsia="ja-JP"/>
        </w:rPr>
        <w:t>,</w:t>
      </w:r>
      <w:r w:rsidRPr="00C06F5C">
        <w:rPr>
          <w:lang w:val="es-ES_tradnl" w:eastAsia="ja-JP"/>
        </w:rPr>
        <w:t xml:space="preserve"> relativas al Estado Libre Asociado</w:t>
      </w:r>
      <w:r>
        <w:rPr>
          <w:lang w:val="es-ES_tradnl" w:eastAsia="ja-JP"/>
        </w:rPr>
        <w:t>;</w:t>
      </w:r>
      <w:r w:rsidRPr="00C06F5C">
        <w:rPr>
          <w:lang w:val="es-ES_tradnl" w:eastAsia="ja-JP"/>
        </w:rPr>
        <w:t xml:space="preserve"> por lo que e</w:t>
      </w:r>
      <w:r>
        <w:rPr>
          <w:lang w:val="es-ES_tradnl" w:eastAsia="ja-JP"/>
        </w:rPr>
        <w:t xml:space="preserve">n este escenario la disparidad se </w:t>
      </w:r>
      <w:r w:rsidRPr="00C06F5C">
        <w:rPr>
          <w:lang w:val="es-ES_tradnl" w:eastAsia="ja-JP"/>
        </w:rPr>
        <w:t>m</w:t>
      </w:r>
      <w:r>
        <w:rPr>
          <w:lang w:val="es-ES_tradnl" w:eastAsia="ja-JP"/>
        </w:rPr>
        <w:t>ide</w:t>
      </w:r>
      <w:r w:rsidRPr="00C06F5C">
        <w:rPr>
          <w:lang w:val="es-ES_tradnl" w:eastAsia="ja-JP"/>
        </w:rPr>
        <w:t xml:space="preserve"> mediante los cambios en el PNB </w:t>
      </w:r>
      <w:r>
        <w:rPr>
          <w:lang w:val="es-ES_tradnl" w:eastAsia="ja-JP"/>
        </w:rPr>
        <w:t>y en las exportaciones que se</w:t>
      </w:r>
      <w:r w:rsidRPr="00C06F5C">
        <w:rPr>
          <w:lang w:val="es-ES_tradnl" w:eastAsia="ja-JP"/>
        </w:rPr>
        <w:t xml:space="preserve"> requeri</w:t>
      </w:r>
      <w:r>
        <w:rPr>
          <w:lang w:val="es-ES_tradnl" w:eastAsia="ja-JP"/>
        </w:rPr>
        <w:t>rían</w:t>
      </w:r>
      <w:r w:rsidRPr="00C06F5C">
        <w:rPr>
          <w:lang w:val="es-ES_tradnl" w:eastAsia="ja-JP"/>
        </w:rPr>
        <w:t xml:space="preserve"> para sostener </w:t>
      </w:r>
      <w:r>
        <w:rPr>
          <w:lang w:val="es-ES_tradnl" w:eastAsia="ja-JP"/>
        </w:rPr>
        <w:t>e</w:t>
      </w:r>
      <w:r w:rsidRPr="00C06F5C">
        <w:rPr>
          <w:lang w:val="es-ES_tradnl" w:eastAsia="ja-JP"/>
        </w:rPr>
        <w:t xml:space="preserve">l </w:t>
      </w:r>
      <w:r>
        <w:rPr>
          <w:lang w:val="es-ES_tradnl" w:eastAsia="ja-JP"/>
        </w:rPr>
        <w:t>ELA</w:t>
      </w:r>
      <w:r w:rsidRPr="00C06F5C">
        <w:rPr>
          <w:lang w:val="es-ES_tradnl" w:eastAsia="ja-JP"/>
        </w:rPr>
        <w:t>.</w:t>
      </w:r>
    </w:p>
    <w:p w:rsidR="005A5E7D" w:rsidRDefault="005A5E7D" w:rsidP="005A5E7D">
      <w:pPr>
        <w:rPr>
          <w:lang w:val="es-ES_tradnl" w:eastAsia="ja-JP"/>
        </w:rPr>
      </w:pPr>
      <w:r>
        <w:rPr>
          <w:lang w:val="es-ES_tradnl" w:eastAsia="ja-JP"/>
        </w:rPr>
        <w:t>“</w:t>
      </w:r>
      <w:r w:rsidRPr="00C06F5C">
        <w:rPr>
          <w:lang w:val="es-ES_tradnl" w:eastAsia="ja-JP"/>
        </w:rPr>
        <w:t>Los resultados que se desprenden de estas simulaciones son reveladores</w:t>
      </w:r>
      <w:r>
        <w:rPr>
          <w:lang w:val="es-ES_tradnl" w:eastAsia="ja-JP"/>
        </w:rPr>
        <w:t>”, aseguró Bofill</w:t>
      </w:r>
      <w:r w:rsidRPr="00C06F5C">
        <w:rPr>
          <w:lang w:val="es-ES_tradnl" w:eastAsia="ja-JP"/>
        </w:rPr>
        <w:t xml:space="preserve">. </w:t>
      </w:r>
      <w:r>
        <w:rPr>
          <w:lang w:val="es-ES_tradnl" w:eastAsia="ja-JP"/>
        </w:rPr>
        <w:t>Señaló que, e</w:t>
      </w:r>
      <w:r w:rsidRPr="00C06F5C">
        <w:rPr>
          <w:lang w:val="es-ES_tradnl" w:eastAsia="ja-JP"/>
        </w:rPr>
        <w:t xml:space="preserve">n el </w:t>
      </w:r>
      <w:r>
        <w:rPr>
          <w:lang w:val="es-ES_tradnl" w:eastAsia="ja-JP"/>
        </w:rPr>
        <w:t>primer escenario</w:t>
      </w:r>
      <w:r w:rsidRPr="00C06F5C">
        <w:rPr>
          <w:lang w:val="es-ES_tradnl" w:eastAsia="ja-JP"/>
        </w:rPr>
        <w:t>, las tres alternativas políticas</w:t>
      </w:r>
      <w:r>
        <w:rPr>
          <w:lang w:val="es-ES_tradnl" w:eastAsia="ja-JP"/>
        </w:rPr>
        <w:t xml:space="preserve"> alcanzaron un PNB comparado de</w:t>
      </w:r>
      <w:r w:rsidRPr="00C06F5C">
        <w:rPr>
          <w:lang w:val="es-ES_tradnl" w:eastAsia="ja-JP"/>
        </w:rPr>
        <w:t xml:space="preserve"> </w:t>
      </w:r>
      <w:r>
        <w:rPr>
          <w:lang w:val="es-ES_tradnl" w:eastAsia="ja-JP"/>
        </w:rPr>
        <w:t>$21,000 millones bajo la estadidad,</w:t>
      </w:r>
      <w:r w:rsidRPr="00C06F5C">
        <w:rPr>
          <w:lang w:val="es-ES_tradnl" w:eastAsia="ja-JP"/>
        </w:rPr>
        <w:t xml:space="preserve"> $20,000 millones bajo </w:t>
      </w:r>
      <w:r>
        <w:rPr>
          <w:lang w:val="es-ES_tradnl" w:eastAsia="ja-JP"/>
        </w:rPr>
        <w:t xml:space="preserve">el </w:t>
      </w:r>
      <w:r w:rsidRPr="00C06F5C">
        <w:rPr>
          <w:lang w:val="es-ES_tradnl" w:eastAsia="ja-JP"/>
        </w:rPr>
        <w:t xml:space="preserve">Estado Libre Asociado </w:t>
      </w:r>
      <w:r>
        <w:rPr>
          <w:lang w:val="es-ES_tradnl" w:eastAsia="ja-JP"/>
        </w:rPr>
        <w:t>y</w:t>
      </w:r>
      <w:r w:rsidRPr="00C06F5C">
        <w:rPr>
          <w:lang w:val="es-ES_tradnl" w:eastAsia="ja-JP"/>
        </w:rPr>
        <w:t xml:space="preserve"> $19,700 millones bajo </w:t>
      </w:r>
      <w:r>
        <w:rPr>
          <w:lang w:val="es-ES_tradnl" w:eastAsia="ja-JP"/>
        </w:rPr>
        <w:t xml:space="preserve">la </w:t>
      </w:r>
      <w:r w:rsidRPr="00C06F5C">
        <w:rPr>
          <w:lang w:val="es-ES_tradnl" w:eastAsia="ja-JP"/>
        </w:rPr>
        <w:t xml:space="preserve">independencia. </w:t>
      </w:r>
      <w:r>
        <w:rPr>
          <w:lang w:val="es-ES_tradnl" w:eastAsia="ja-JP"/>
        </w:rPr>
        <w:t>Además, informó que en ese ejercicio de simulación l</w:t>
      </w:r>
      <w:r w:rsidRPr="00C06F5C">
        <w:rPr>
          <w:lang w:val="es-ES_tradnl" w:eastAsia="ja-JP"/>
        </w:rPr>
        <w:t xml:space="preserve">a estadidad </w:t>
      </w:r>
      <w:r>
        <w:rPr>
          <w:lang w:val="es-ES_tradnl" w:eastAsia="ja-JP"/>
        </w:rPr>
        <w:t>ob</w:t>
      </w:r>
      <w:r w:rsidRPr="00C06F5C">
        <w:rPr>
          <w:lang w:val="es-ES_tradnl" w:eastAsia="ja-JP"/>
        </w:rPr>
        <w:t>t</w:t>
      </w:r>
      <w:r>
        <w:rPr>
          <w:lang w:val="es-ES_tradnl" w:eastAsia="ja-JP"/>
        </w:rPr>
        <w:t>uvo</w:t>
      </w:r>
      <w:r w:rsidRPr="00C06F5C">
        <w:rPr>
          <w:lang w:val="es-ES_tradnl" w:eastAsia="ja-JP"/>
        </w:rPr>
        <w:t xml:space="preserve"> una ventaja de $198 millones en transferencias feder</w:t>
      </w:r>
      <w:r>
        <w:rPr>
          <w:lang w:val="es-ES_tradnl" w:eastAsia="ja-JP"/>
        </w:rPr>
        <w:t>ales netas sobre el ELA</w:t>
      </w:r>
      <w:r w:rsidRPr="00C06F5C">
        <w:rPr>
          <w:lang w:val="es-ES_tradnl" w:eastAsia="ja-JP"/>
        </w:rPr>
        <w:t xml:space="preserve">; </w:t>
      </w:r>
      <w:r>
        <w:rPr>
          <w:lang w:val="es-ES_tradnl" w:eastAsia="ja-JP"/>
        </w:rPr>
        <w:t xml:space="preserve">mientras que </w:t>
      </w:r>
      <w:r w:rsidRPr="00C06F5C">
        <w:rPr>
          <w:lang w:val="es-ES_tradnl" w:eastAsia="ja-JP"/>
        </w:rPr>
        <w:t xml:space="preserve">la independencia </w:t>
      </w:r>
      <w:r>
        <w:rPr>
          <w:lang w:val="es-ES_tradnl" w:eastAsia="ja-JP"/>
        </w:rPr>
        <w:t>presentó</w:t>
      </w:r>
      <w:r w:rsidRPr="00C06F5C">
        <w:rPr>
          <w:lang w:val="es-ES_tradnl" w:eastAsia="ja-JP"/>
        </w:rPr>
        <w:t xml:space="preserve"> una desventaja </w:t>
      </w:r>
      <w:r>
        <w:rPr>
          <w:lang w:val="es-ES_tradnl" w:eastAsia="ja-JP"/>
        </w:rPr>
        <w:t>de</w:t>
      </w:r>
      <w:r w:rsidRPr="00C06F5C">
        <w:rPr>
          <w:lang w:val="es-ES_tradnl" w:eastAsia="ja-JP"/>
        </w:rPr>
        <w:t xml:space="preserve"> $1,260 millones menos que </w:t>
      </w:r>
      <w:r>
        <w:rPr>
          <w:lang w:val="es-ES_tradnl" w:eastAsia="ja-JP"/>
        </w:rPr>
        <w:t>bajo el</w:t>
      </w:r>
      <w:r w:rsidRPr="00C06F5C">
        <w:rPr>
          <w:lang w:val="es-ES_tradnl" w:eastAsia="ja-JP"/>
        </w:rPr>
        <w:t xml:space="preserve"> </w:t>
      </w:r>
      <w:r>
        <w:rPr>
          <w:lang w:val="es-ES_tradnl" w:eastAsia="ja-JP"/>
        </w:rPr>
        <w:t>ELA</w:t>
      </w:r>
      <w:r w:rsidRPr="00C06F5C">
        <w:rPr>
          <w:lang w:val="es-ES_tradnl" w:eastAsia="ja-JP"/>
        </w:rPr>
        <w:t>. Sin embargo</w:t>
      </w:r>
      <w:r>
        <w:rPr>
          <w:lang w:val="es-ES_tradnl" w:eastAsia="ja-JP"/>
        </w:rPr>
        <w:t>,</w:t>
      </w:r>
      <w:r w:rsidRPr="00C06F5C">
        <w:rPr>
          <w:lang w:val="es-ES_tradnl" w:eastAsia="ja-JP"/>
        </w:rPr>
        <w:t xml:space="preserve"> bajo la estadidad el crecimiento más rápido se dar</w:t>
      </w:r>
      <w:r>
        <w:rPr>
          <w:lang w:val="es-ES_tradnl" w:eastAsia="ja-JP"/>
        </w:rPr>
        <w:t>ía en el primer año cuando</w:t>
      </w:r>
      <w:r w:rsidRPr="00C06F5C">
        <w:rPr>
          <w:lang w:val="es-ES_tradnl" w:eastAsia="ja-JP"/>
        </w:rPr>
        <w:t xml:space="preserve"> el </w:t>
      </w:r>
      <w:r>
        <w:rPr>
          <w:lang w:val="es-ES_tradnl" w:eastAsia="ja-JP"/>
        </w:rPr>
        <w:t>Gobierno federal extendería</w:t>
      </w:r>
      <w:r w:rsidRPr="00C06F5C">
        <w:rPr>
          <w:lang w:val="es-ES_tradnl" w:eastAsia="ja-JP"/>
        </w:rPr>
        <w:t xml:space="preserve"> la paridad en todos los programas federales</w:t>
      </w:r>
      <w:r>
        <w:rPr>
          <w:lang w:val="es-ES_tradnl" w:eastAsia="ja-JP"/>
        </w:rPr>
        <w:t>,</w:t>
      </w:r>
      <w:r w:rsidRPr="00C06F5C">
        <w:rPr>
          <w:lang w:val="es-ES_tradnl" w:eastAsia="ja-JP"/>
        </w:rPr>
        <w:t xml:space="preserve"> pero a</w:t>
      </w:r>
      <w:r>
        <w:rPr>
          <w:lang w:val="es-ES_tradnl" w:eastAsia="ja-JP"/>
        </w:rPr>
        <w:t>ú</w:t>
      </w:r>
      <w:r w:rsidRPr="00C06F5C">
        <w:rPr>
          <w:lang w:val="es-ES_tradnl" w:eastAsia="ja-JP"/>
        </w:rPr>
        <w:t>n no habr</w:t>
      </w:r>
      <w:r>
        <w:rPr>
          <w:lang w:val="es-ES_tradnl" w:eastAsia="ja-JP"/>
        </w:rPr>
        <w:t>ía</w:t>
      </w:r>
      <w:r w:rsidRPr="00C06F5C">
        <w:rPr>
          <w:lang w:val="es-ES_tradnl" w:eastAsia="ja-JP"/>
        </w:rPr>
        <w:t xml:space="preserve"> iniciado </w:t>
      </w:r>
      <w:r>
        <w:rPr>
          <w:lang w:val="es-ES_tradnl" w:eastAsia="ja-JP"/>
        </w:rPr>
        <w:t>el pago de impuestos federales. Señaló que l</w:t>
      </w:r>
      <w:r w:rsidRPr="00C06F5C">
        <w:rPr>
          <w:lang w:val="es-ES_tradnl" w:eastAsia="ja-JP"/>
        </w:rPr>
        <w:t>a economía de la Isla expe</w:t>
      </w:r>
      <w:r>
        <w:rPr>
          <w:lang w:val="es-ES_tradnl" w:eastAsia="ja-JP"/>
        </w:rPr>
        <w:t>rimentaría una desaceleración c</w:t>
      </w:r>
      <w:r w:rsidRPr="00C06F5C">
        <w:rPr>
          <w:lang w:val="es-ES_tradnl" w:eastAsia="ja-JP"/>
        </w:rPr>
        <w:t>uando el nuevo estado com</w:t>
      </w:r>
      <w:r>
        <w:rPr>
          <w:lang w:val="es-ES_tradnl" w:eastAsia="ja-JP"/>
        </w:rPr>
        <w:t>enzara</w:t>
      </w:r>
      <w:r w:rsidRPr="00C06F5C">
        <w:rPr>
          <w:lang w:val="es-ES_tradnl" w:eastAsia="ja-JP"/>
        </w:rPr>
        <w:t xml:space="preserve"> a</w:t>
      </w:r>
      <w:r>
        <w:rPr>
          <w:lang w:val="es-ES_tradnl" w:eastAsia="ja-JP"/>
        </w:rPr>
        <w:t xml:space="preserve"> pagar los impuestos federales.</w:t>
      </w:r>
    </w:p>
    <w:p w:rsidR="005A5E7D" w:rsidRPr="00C06F5C" w:rsidRDefault="005A5E7D" w:rsidP="005A5E7D">
      <w:pPr>
        <w:rPr>
          <w:lang w:val="es-ES_tradnl" w:eastAsia="ja-JP"/>
        </w:rPr>
      </w:pPr>
      <w:r w:rsidRPr="00C06F5C">
        <w:rPr>
          <w:lang w:val="es-ES_tradnl"/>
        </w:rPr>
        <w:t xml:space="preserve">En el </w:t>
      </w:r>
      <w:r>
        <w:rPr>
          <w:lang w:val="es-ES_tradnl"/>
        </w:rPr>
        <w:t xml:space="preserve">segundo escenario </w:t>
      </w:r>
      <w:r w:rsidRPr="00C06F5C">
        <w:rPr>
          <w:lang w:val="es-ES_tradnl"/>
        </w:rPr>
        <w:t>se mid</w:t>
      </w:r>
      <w:r>
        <w:rPr>
          <w:lang w:val="es-ES_tradnl"/>
        </w:rPr>
        <w:t>ió</w:t>
      </w:r>
      <w:r w:rsidRPr="00C06F5C">
        <w:rPr>
          <w:lang w:val="es-ES_tradnl"/>
        </w:rPr>
        <w:t xml:space="preserve"> la disparidad en el comportamiento de las corporaciones 936 bajo cada opción de estatus</w:t>
      </w:r>
      <w:r>
        <w:rPr>
          <w:lang w:val="es-ES_tradnl"/>
        </w:rPr>
        <w:t>,</w:t>
      </w:r>
      <w:r w:rsidRPr="00C06F5C">
        <w:rPr>
          <w:lang w:val="es-ES_tradnl"/>
        </w:rPr>
        <w:t xml:space="preserve"> en términos d</w:t>
      </w:r>
      <w:r>
        <w:rPr>
          <w:lang w:val="es-ES_tradnl"/>
        </w:rPr>
        <w:t xml:space="preserve">el </w:t>
      </w:r>
      <w:r w:rsidRPr="00C06F5C">
        <w:rPr>
          <w:lang w:val="es-ES_tradnl"/>
        </w:rPr>
        <w:t xml:space="preserve">nivel de exportaciones que requeriría la opción de independencia </w:t>
      </w:r>
      <w:r>
        <w:rPr>
          <w:lang w:val="es-ES_tradnl"/>
        </w:rPr>
        <w:t>y</w:t>
      </w:r>
      <w:r w:rsidRPr="00C06F5C">
        <w:rPr>
          <w:lang w:val="es-ES_tradnl"/>
        </w:rPr>
        <w:t xml:space="preserve"> la de estadidad para obtener un PNB similar al del Estado Libre Asociado. </w:t>
      </w:r>
      <w:r>
        <w:rPr>
          <w:lang w:val="es-ES_tradnl"/>
        </w:rPr>
        <w:t>Los</w:t>
      </w:r>
      <w:r w:rsidRPr="00C06F5C">
        <w:rPr>
          <w:lang w:val="es-ES_tradnl"/>
        </w:rPr>
        <w:t xml:space="preserve"> resultados indica</w:t>
      </w:r>
      <w:r>
        <w:rPr>
          <w:lang w:val="es-ES_tradnl"/>
        </w:rPr>
        <w:t>ro</w:t>
      </w:r>
      <w:r w:rsidRPr="00C06F5C">
        <w:rPr>
          <w:lang w:val="es-ES_tradnl"/>
        </w:rPr>
        <w:t>n que</w:t>
      </w:r>
      <w:r>
        <w:rPr>
          <w:lang w:val="es-ES_tradnl"/>
        </w:rPr>
        <w:t>,</w:t>
      </w:r>
      <w:r w:rsidRPr="00C06F5C">
        <w:rPr>
          <w:lang w:val="es-ES_tradnl"/>
        </w:rPr>
        <w:t xml:space="preserve"> en el año 2000</w:t>
      </w:r>
      <w:r>
        <w:rPr>
          <w:lang w:val="es-ES_tradnl"/>
        </w:rPr>
        <w:t>, la estadidad obtuvo</w:t>
      </w:r>
      <w:r w:rsidRPr="00C06F5C">
        <w:rPr>
          <w:lang w:val="es-ES_tradnl"/>
        </w:rPr>
        <w:t xml:space="preserve"> un margen de $796 millones en el PNB sobre el obtenido bajo el E</w:t>
      </w:r>
      <w:r>
        <w:rPr>
          <w:lang w:val="es-ES_tradnl"/>
        </w:rPr>
        <w:t>LA; l</w:t>
      </w:r>
      <w:r w:rsidRPr="00C06F5C">
        <w:rPr>
          <w:lang w:val="es-ES_tradnl"/>
        </w:rPr>
        <w:t>o que representa aproximadamente un margen del 10.8</w:t>
      </w:r>
      <w:r>
        <w:rPr>
          <w:lang w:val="es-ES_tradnl"/>
        </w:rPr>
        <w:t xml:space="preserve">% </w:t>
      </w:r>
      <w:r w:rsidRPr="00C06F5C">
        <w:rPr>
          <w:lang w:val="es-ES_tradnl"/>
        </w:rPr>
        <w:t>del PNB. Esta estimación es sustancialment</w:t>
      </w:r>
      <w:r>
        <w:rPr>
          <w:lang w:val="es-ES_tradnl"/>
        </w:rPr>
        <w:t>e más baja a la reportada por la</w:t>
      </w:r>
      <w:r w:rsidRPr="00C06F5C">
        <w:rPr>
          <w:lang w:val="es-ES_tradnl"/>
        </w:rPr>
        <w:t xml:space="preserve"> CBO y otros estudios. La </w:t>
      </w:r>
      <w:r>
        <w:rPr>
          <w:lang w:val="es-ES_tradnl"/>
        </w:rPr>
        <w:t>r</w:t>
      </w:r>
      <w:r w:rsidRPr="00C06F5C">
        <w:rPr>
          <w:lang w:val="es-ES_tradnl"/>
        </w:rPr>
        <w:t>ep</w:t>
      </w:r>
      <w:r>
        <w:rPr>
          <w:lang w:val="es-ES_tradnl"/>
        </w:rPr>
        <w:t>ú</w:t>
      </w:r>
      <w:r w:rsidRPr="00C06F5C">
        <w:rPr>
          <w:lang w:val="es-ES_tradnl"/>
        </w:rPr>
        <w:t>blica, por otro lado</w:t>
      </w:r>
      <w:r>
        <w:rPr>
          <w:lang w:val="es-ES_tradnl"/>
        </w:rPr>
        <w:t>,</w:t>
      </w:r>
      <w:r w:rsidRPr="00C06F5C">
        <w:rPr>
          <w:lang w:val="es-ES_tradnl"/>
        </w:rPr>
        <w:t xml:space="preserve"> necesitaría incrementar sus recursos destinados al PNB por casi $342 millones o el equivalente a</w:t>
      </w:r>
      <w:r>
        <w:rPr>
          <w:lang w:val="es-ES_tradnl"/>
        </w:rPr>
        <w:t>l</w:t>
      </w:r>
      <w:r w:rsidRPr="00C06F5C">
        <w:rPr>
          <w:lang w:val="es-ES_tradnl"/>
        </w:rPr>
        <w:t xml:space="preserve"> 4.7</w:t>
      </w:r>
      <w:r>
        <w:rPr>
          <w:lang w:val="es-ES_tradnl"/>
        </w:rPr>
        <w:t>%</w:t>
      </w:r>
      <w:r w:rsidRPr="00C06F5C">
        <w:rPr>
          <w:lang w:val="es-ES_tradnl"/>
        </w:rPr>
        <w:t xml:space="preserve"> del PNB del E</w:t>
      </w:r>
      <w:r>
        <w:rPr>
          <w:lang w:val="es-ES_tradnl"/>
        </w:rPr>
        <w:t>LA</w:t>
      </w:r>
      <w:r w:rsidRPr="00C06F5C">
        <w:rPr>
          <w:lang w:val="es-ES_tradnl"/>
        </w:rPr>
        <w:t xml:space="preserve">. </w:t>
      </w:r>
    </w:p>
    <w:p w:rsidR="005A5E7D" w:rsidRDefault="005A5E7D" w:rsidP="005A5E7D">
      <w:pPr>
        <w:rPr>
          <w:rFonts w:cs="&gt;Æ&quot;®Êˇø•'12—"/>
          <w:color w:val="000000"/>
          <w:lang w:val="es-ES_tradnl"/>
        </w:rPr>
      </w:pPr>
      <w:r>
        <w:rPr>
          <w:lang w:val="es-ES_tradnl"/>
        </w:rPr>
        <w:t>Má</w:t>
      </w:r>
      <w:r w:rsidRPr="00C06F5C">
        <w:rPr>
          <w:lang w:val="es-ES_tradnl"/>
        </w:rPr>
        <w:t>s recientemente</w:t>
      </w:r>
      <w:r>
        <w:rPr>
          <w:lang w:val="es-ES_tradnl"/>
        </w:rPr>
        <w:t xml:space="preserve">, </w:t>
      </w:r>
      <w:r w:rsidRPr="00C06F5C">
        <w:rPr>
          <w:lang w:val="es-ES_tradnl"/>
        </w:rPr>
        <w:t>Don</w:t>
      </w:r>
      <w:r>
        <w:rPr>
          <w:lang w:val="es-ES_tradnl"/>
        </w:rPr>
        <w:t xml:space="preserve"> Soifer del Instituto Lexington</w:t>
      </w:r>
      <w:r w:rsidRPr="00C06F5C">
        <w:rPr>
          <w:lang w:val="es-ES_tradnl"/>
        </w:rPr>
        <w:t xml:space="preserve"> coment</w:t>
      </w:r>
      <w:r>
        <w:rPr>
          <w:lang w:val="es-ES_tradnl"/>
        </w:rPr>
        <w:t>ó</w:t>
      </w:r>
      <w:r w:rsidRPr="00C06F5C">
        <w:rPr>
          <w:lang w:val="es-ES_tradnl"/>
        </w:rPr>
        <w:t xml:space="preserve"> sobre el impacto fiscal para el </w:t>
      </w:r>
      <w:r>
        <w:rPr>
          <w:lang w:val="es-ES_tradnl"/>
        </w:rPr>
        <w:t>Gobierno</w:t>
      </w:r>
      <w:r w:rsidRPr="00C06F5C">
        <w:rPr>
          <w:lang w:val="es-ES_tradnl"/>
        </w:rPr>
        <w:t xml:space="preserve"> federal de Puerto Rico convertirse en estado</w:t>
      </w:r>
      <w:r>
        <w:rPr>
          <w:lang w:val="es-ES_tradnl"/>
        </w:rPr>
        <w:t>,</w:t>
      </w:r>
      <w:r w:rsidRPr="00C06F5C">
        <w:rPr>
          <w:lang w:val="es-ES_tradnl"/>
        </w:rPr>
        <w:t xml:space="preserve"> en un trabajo que m</w:t>
      </w:r>
      <w:r>
        <w:rPr>
          <w:lang w:val="es-ES_tradnl"/>
        </w:rPr>
        <w:t>á</w:t>
      </w:r>
      <w:r w:rsidRPr="00C06F5C">
        <w:rPr>
          <w:lang w:val="es-ES_tradnl"/>
        </w:rPr>
        <w:t>s bien se dedica a estimar los costos p</w:t>
      </w:r>
      <w:r>
        <w:rPr>
          <w:lang w:val="es-ES_tradnl"/>
        </w:rPr>
        <w:t>otenciales de establecer en la I</w:t>
      </w:r>
      <w:r w:rsidRPr="00C06F5C">
        <w:rPr>
          <w:lang w:val="es-ES_tradnl"/>
        </w:rPr>
        <w:t xml:space="preserve">sla un tipo de bilingüismo como el existente en </w:t>
      </w:r>
      <w:r>
        <w:rPr>
          <w:lang w:val="es-ES_tradnl"/>
        </w:rPr>
        <w:t>Canadá</w:t>
      </w:r>
      <w:r w:rsidRPr="00C06F5C">
        <w:rPr>
          <w:lang w:val="es-ES_tradnl"/>
        </w:rPr>
        <w:t>. Según</w:t>
      </w:r>
      <w:r>
        <w:rPr>
          <w:lang w:val="es-ES_tradnl"/>
        </w:rPr>
        <w:t xml:space="preserve"> Soifer (</w:t>
      </w:r>
      <w:r w:rsidRPr="00C06F5C">
        <w:rPr>
          <w:lang w:val="es-ES_tradnl"/>
        </w:rPr>
        <w:t>2010)</w:t>
      </w:r>
      <w:r>
        <w:rPr>
          <w:lang w:val="es-ES_tradnl"/>
        </w:rPr>
        <w:t>,</w:t>
      </w:r>
      <w:r w:rsidRPr="00C06F5C">
        <w:rPr>
          <w:lang w:val="es-ES_tradnl"/>
        </w:rPr>
        <w:t xml:space="preserve"> “la cuestión de un potencial paso a la estadidad conlleva una serie impl</w:t>
      </w:r>
      <w:r>
        <w:rPr>
          <w:lang w:val="es-ES_tradnl"/>
        </w:rPr>
        <w:t xml:space="preserve">icaciones políticas, de costos </w:t>
      </w:r>
      <w:r w:rsidRPr="00C06F5C">
        <w:rPr>
          <w:lang w:val="es-ES_tradnl"/>
        </w:rPr>
        <w:t>y contributivas</w:t>
      </w:r>
      <w:r>
        <w:rPr>
          <w:lang w:val="es-ES_tradnl"/>
        </w:rPr>
        <w:t>”</w:t>
      </w:r>
      <w:r w:rsidRPr="00C06F5C">
        <w:rPr>
          <w:lang w:val="es-ES_tradnl"/>
        </w:rPr>
        <w:t>, tanto para Puerto Rico como para E</w:t>
      </w:r>
      <w:r>
        <w:rPr>
          <w:lang w:val="es-ES_tradnl"/>
        </w:rPr>
        <w:t xml:space="preserve">stados Unidos. Si </w:t>
      </w:r>
      <w:r w:rsidRPr="00C06F5C">
        <w:rPr>
          <w:lang w:val="es-ES_tradnl"/>
        </w:rPr>
        <w:t>bien muchos de los detalles esenciales para la estimación de costos precisos depende</w:t>
      </w:r>
      <w:r>
        <w:rPr>
          <w:lang w:val="es-ES_tradnl"/>
        </w:rPr>
        <w:t>ría</w:t>
      </w:r>
      <w:r w:rsidRPr="00C06F5C">
        <w:rPr>
          <w:lang w:val="es-ES_tradnl"/>
        </w:rPr>
        <w:t>n de decisiones políticas y factores que a</w:t>
      </w:r>
      <w:r>
        <w:rPr>
          <w:lang w:val="es-ES_tradnl"/>
        </w:rPr>
        <w:t>ú</w:t>
      </w:r>
      <w:r w:rsidRPr="00C06F5C">
        <w:rPr>
          <w:lang w:val="es-ES_tradnl"/>
        </w:rPr>
        <w:t>n no han sido deliberados, el conocimiento existente es suficiente para demostrar que estos costos serán sustanciales</w:t>
      </w:r>
      <w:r>
        <w:rPr>
          <w:lang w:val="es-ES_tradnl"/>
        </w:rPr>
        <w:t>, afirmó</w:t>
      </w:r>
      <w:r w:rsidRPr="00C06F5C">
        <w:rPr>
          <w:lang w:val="es-ES_tradnl"/>
        </w:rPr>
        <w:t>. Por ejemplo, el</w:t>
      </w:r>
      <w:r>
        <w:rPr>
          <w:lang w:val="es-ES_tradnl"/>
        </w:rPr>
        <w:t xml:space="preserve"> Comité Conjunto del Congreso (co</w:t>
      </w:r>
      <w:r w:rsidRPr="00C06F5C">
        <w:rPr>
          <w:lang w:val="es-ES_tradnl"/>
        </w:rPr>
        <w:t xml:space="preserve">n relación a contribuciones) proyectó en 2006 que el posible impacto </w:t>
      </w:r>
      <w:r>
        <w:rPr>
          <w:lang w:val="es-ES_tradnl"/>
        </w:rPr>
        <w:t>del impuesto a las ganancias sobre ingresos</w:t>
      </w:r>
      <w:r w:rsidRPr="00C06F5C">
        <w:rPr>
          <w:lang w:val="es-ES_tradnl"/>
        </w:rPr>
        <w:t xml:space="preserve"> para los individuos de Puerto Rico ser</w:t>
      </w:r>
      <w:r>
        <w:rPr>
          <w:lang w:val="es-ES_tradnl"/>
        </w:rPr>
        <w:t>ía de $2,</w:t>
      </w:r>
      <w:r w:rsidRPr="00C06F5C">
        <w:rPr>
          <w:lang w:val="es-ES_tradnl"/>
        </w:rPr>
        <w:t>7</w:t>
      </w:r>
      <w:r>
        <w:rPr>
          <w:lang w:val="es-ES_tradnl"/>
        </w:rPr>
        <w:t>00 m</w:t>
      </w:r>
      <w:r w:rsidRPr="00C06F5C">
        <w:rPr>
          <w:lang w:val="es-ES_tradnl"/>
        </w:rPr>
        <w:t xml:space="preserve">illones para cada uno de los primeros </w:t>
      </w:r>
      <w:r>
        <w:rPr>
          <w:lang w:val="es-ES_tradnl"/>
        </w:rPr>
        <w:t>cinco</w:t>
      </w:r>
      <w:r w:rsidRPr="00C06F5C">
        <w:rPr>
          <w:lang w:val="es-ES_tradnl"/>
        </w:rPr>
        <w:t xml:space="preserve"> años siguientes a </w:t>
      </w:r>
      <w:r>
        <w:rPr>
          <w:lang w:val="es-ES_tradnl"/>
        </w:rPr>
        <w:t>la estadidad, y $5,</w:t>
      </w:r>
      <w:r w:rsidRPr="00C06F5C">
        <w:rPr>
          <w:lang w:val="es-ES_tradnl"/>
        </w:rPr>
        <w:t>2</w:t>
      </w:r>
      <w:r>
        <w:rPr>
          <w:lang w:val="es-ES_tradnl"/>
        </w:rPr>
        <w:t>00 m</w:t>
      </w:r>
      <w:r w:rsidRPr="00C06F5C">
        <w:rPr>
          <w:lang w:val="es-ES_tradnl"/>
        </w:rPr>
        <w:t xml:space="preserve">illones para cada año subsiguiente. </w:t>
      </w:r>
      <w:r>
        <w:rPr>
          <w:lang w:val="es-ES_tradnl"/>
        </w:rPr>
        <w:t>Además</w:t>
      </w:r>
      <w:r w:rsidRPr="00C06F5C">
        <w:rPr>
          <w:lang w:val="es-ES_tradnl"/>
        </w:rPr>
        <w:t xml:space="preserve">, </w:t>
      </w:r>
      <w:r>
        <w:rPr>
          <w:lang w:val="es-ES_tradnl"/>
        </w:rPr>
        <w:t xml:space="preserve">argumentó que </w:t>
      </w:r>
      <w:r w:rsidRPr="00C06F5C">
        <w:rPr>
          <w:lang w:val="es-ES_tradnl"/>
        </w:rPr>
        <w:t>el posible</w:t>
      </w:r>
      <w:r>
        <w:rPr>
          <w:rFonts w:cs="&gt;Æ&quot;®Êˇø•'12—"/>
          <w:color w:val="000000"/>
          <w:lang w:val="es-ES_tradnl"/>
        </w:rPr>
        <w:t xml:space="preserve"> </w:t>
      </w:r>
      <w:r w:rsidRPr="00C06F5C">
        <w:rPr>
          <w:rFonts w:cs="&gt;Æ&quot;®Êˇø•'12—"/>
          <w:color w:val="000000"/>
          <w:lang w:val="es-ES_tradnl"/>
        </w:rPr>
        <w:t>ajuste al Programa de Asistencia Federal para Puerto Rico po</w:t>
      </w:r>
      <w:r>
        <w:rPr>
          <w:rFonts w:cs="&gt;Æ&quot;®Êˇø•'12—"/>
          <w:color w:val="000000"/>
          <w:lang w:val="es-ES_tradnl"/>
        </w:rPr>
        <w:t>dría fácilmente duplicar los $1,</w:t>
      </w:r>
      <w:r w:rsidRPr="00C06F5C">
        <w:rPr>
          <w:rFonts w:cs="&gt;Æ&quot;®Êˇø•'12—"/>
          <w:color w:val="000000"/>
          <w:lang w:val="es-ES_tradnl"/>
        </w:rPr>
        <w:t>76</w:t>
      </w:r>
      <w:r>
        <w:rPr>
          <w:rFonts w:cs="&gt;Æ&quot;®Êˇø•'12—"/>
          <w:color w:val="000000"/>
          <w:lang w:val="es-ES_tradnl"/>
        </w:rPr>
        <w:t>0 m</w:t>
      </w:r>
      <w:r w:rsidRPr="00C06F5C">
        <w:rPr>
          <w:rFonts w:cs="&gt;Æ&quot;®Êˇø•'12—"/>
          <w:color w:val="000000"/>
          <w:lang w:val="es-ES_tradnl"/>
        </w:rPr>
        <w:t xml:space="preserve">illones </w:t>
      </w:r>
      <w:r>
        <w:rPr>
          <w:rFonts w:cs="&gt;Æ&quot;®Êˇø•'12—"/>
          <w:color w:val="000000"/>
          <w:lang w:val="es-ES_tradnl"/>
        </w:rPr>
        <w:t>recibidos en el año fiscal 2009.</w:t>
      </w:r>
    </w:p>
    <w:p w:rsidR="005A5E7D" w:rsidRPr="00C06F5C" w:rsidRDefault="005A5E7D" w:rsidP="005A5E7D">
      <w:pPr>
        <w:rPr>
          <w:rFonts w:cs="&gt;Æ&quot;®Êˇø•'12—"/>
          <w:color w:val="000000"/>
          <w:lang w:val="es-ES_tradnl"/>
        </w:rPr>
      </w:pPr>
      <w:r>
        <w:rPr>
          <w:lang w:val="es-ES_tradnl"/>
        </w:rPr>
        <w:t>Soifer</w:t>
      </w:r>
      <w:r>
        <w:rPr>
          <w:rFonts w:cs="&gt;Æ&quot;®Êˇø•'12—"/>
          <w:color w:val="000000"/>
          <w:lang w:val="es-ES_tradnl"/>
        </w:rPr>
        <w:t xml:space="preserve"> advirtió que también </w:t>
      </w:r>
      <w:r w:rsidRPr="00C06F5C">
        <w:rPr>
          <w:rFonts w:cs="&gt;Æ&quot;®Êˇø•'12—"/>
          <w:color w:val="000000"/>
          <w:lang w:val="es-ES_tradnl"/>
        </w:rPr>
        <w:t>debe</w:t>
      </w:r>
      <w:r>
        <w:rPr>
          <w:rFonts w:cs="&gt;Æ&quot;®Êˇø•'12—"/>
          <w:color w:val="000000"/>
          <w:lang w:val="es-ES_tradnl"/>
        </w:rPr>
        <w:t>n</w:t>
      </w:r>
      <w:r w:rsidRPr="00C06F5C">
        <w:rPr>
          <w:rFonts w:cs="&gt;Æ&quot;®Êˇø•'12—"/>
          <w:color w:val="000000"/>
          <w:lang w:val="es-ES_tradnl"/>
        </w:rPr>
        <w:t xml:space="preserve"> tomar</w:t>
      </w:r>
      <w:r>
        <w:rPr>
          <w:rFonts w:cs="&gt;Æ&quot;®Êˇø•'12—"/>
          <w:color w:val="000000"/>
          <w:lang w:val="es-ES_tradnl"/>
        </w:rPr>
        <w:t>se</w:t>
      </w:r>
      <w:r w:rsidRPr="00C06F5C">
        <w:rPr>
          <w:rFonts w:cs="&gt;Æ&quot;®Êˇø•'12—"/>
          <w:color w:val="000000"/>
          <w:lang w:val="es-ES_tradnl"/>
        </w:rPr>
        <w:t xml:space="preserve"> en cuenta los costos potenciales relacionados con la expansión de un idioma bilingüe oficial en </w:t>
      </w:r>
      <w:r>
        <w:rPr>
          <w:rFonts w:cs="&gt;Æ&quot;®Êˇø•'12—"/>
          <w:color w:val="000000"/>
          <w:lang w:val="es-ES_tradnl"/>
        </w:rPr>
        <w:t>Estados Unidos</w:t>
      </w:r>
      <w:r w:rsidRPr="00C06F5C">
        <w:rPr>
          <w:rFonts w:cs="&gt;Æ&quot;®Êˇø•'12—"/>
          <w:color w:val="000000"/>
          <w:lang w:val="es-ES_tradnl"/>
        </w:rPr>
        <w:t>.</w:t>
      </w:r>
      <w:r>
        <w:rPr>
          <w:rFonts w:cs="&gt;Æ&quot;®Êˇø•'12—"/>
          <w:color w:val="000000"/>
          <w:lang w:val="es-ES_tradnl"/>
        </w:rPr>
        <w:t xml:space="preserve"> </w:t>
      </w:r>
      <w:r w:rsidRPr="00C06F5C">
        <w:rPr>
          <w:rFonts w:cs="&gt;Æ&quot;®Êˇø•'12—"/>
          <w:color w:val="000000"/>
          <w:lang w:val="es-ES_tradnl"/>
        </w:rPr>
        <w:t>Un movimiento hacia el modelo canadiense parece la dirección política más lógica</w:t>
      </w:r>
      <w:r>
        <w:rPr>
          <w:rFonts w:cs="&gt;Æ&quot;®Êˇø•'12—"/>
          <w:color w:val="000000"/>
          <w:lang w:val="es-ES_tradnl"/>
        </w:rPr>
        <w:t>,</w:t>
      </w:r>
      <w:r w:rsidRPr="00C06F5C">
        <w:rPr>
          <w:rFonts w:cs="&gt;Æ&quot;®Êˇø•'12—"/>
          <w:color w:val="000000"/>
          <w:lang w:val="es-ES_tradnl"/>
        </w:rPr>
        <w:t xml:space="preserve"> tomando en cuent</w:t>
      </w:r>
      <w:r>
        <w:rPr>
          <w:rFonts w:cs="&gt;Æ&quot;®Êˇø•'12—"/>
          <w:color w:val="000000"/>
          <w:lang w:val="es-ES_tradnl"/>
        </w:rPr>
        <w:t>a las circunstancias presentes; p</w:t>
      </w:r>
      <w:r w:rsidRPr="00C06F5C">
        <w:rPr>
          <w:rFonts w:cs="&gt;Æ&quot;®Êˇø•'12—"/>
          <w:color w:val="000000"/>
          <w:lang w:val="es-ES_tradnl"/>
        </w:rPr>
        <w:t>ero el bilingüismo canadiense est</w:t>
      </w:r>
      <w:r>
        <w:rPr>
          <w:rFonts w:cs="&gt;Æ&quot;®Êˇø•'12—"/>
          <w:color w:val="000000"/>
          <w:lang w:val="es-ES_tradnl"/>
        </w:rPr>
        <w:t>á</w:t>
      </w:r>
      <w:r w:rsidRPr="00C06F5C">
        <w:rPr>
          <w:rFonts w:cs="&gt;Æ&quot;®Êˇø•'12—"/>
          <w:color w:val="000000"/>
          <w:lang w:val="es-ES_tradnl"/>
        </w:rPr>
        <w:t xml:space="preserve"> basado en un marco legal y regulatorio muy complejo, construido</w:t>
      </w:r>
      <w:r>
        <w:rPr>
          <w:rFonts w:cs="&gt;Æ&quot;®Êˇø•'12—"/>
          <w:color w:val="000000"/>
          <w:lang w:val="es-ES_tradnl"/>
        </w:rPr>
        <w:t xml:space="preserve"> a lo largo de varias décadas. L</w:t>
      </w:r>
      <w:r w:rsidRPr="00C06F5C">
        <w:rPr>
          <w:rFonts w:cs="&gt;Æ&quot;®Êˇø•'12—"/>
          <w:color w:val="000000"/>
          <w:lang w:val="es-ES_tradnl"/>
        </w:rPr>
        <w:t>os costos potenciales de un sistema similar en E</w:t>
      </w:r>
      <w:r>
        <w:rPr>
          <w:rFonts w:cs="&gt;Æ&quot;®Êˇø•'12—"/>
          <w:color w:val="000000"/>
          <w:lang w:val="es-ES_tradnl"/>
        </w:rPr>
        <w:t>stados Unidos alcanzarían los $27,700 millones, unos $85 por persona,</w:t>
      </w:r>
      <w:r w:rsidRPr="00C06F5C">
        <w:rPr>
          <w:rFonts w:cs="&gt;Æ&quot;®Êˇø•'12—"/>
          <w:color w:val="000000"/>
          <w:lang w:val="es-ES_tradnl"/>
        </w:rPr>
        <w:t xml:space="preserve"> </w:t>
      </w:r>
      <w:r>
        <w:rPr>
          <w:rFonts w:cs="&gt;Æ&quot;®Êˇø•'12—"/>
          <w:color w:val="000000"/>
          <w:lang w:val="es-ES_tradnl"/>
        </w:rPr>
        <w:t xml:space="preserve">lo que </w:t>
      </w:r>
      <w:r>
        <w:rPr>
          <w:lang w:val="es-ES_tradnl"/>
        </w:rPr>
        <w:t>Soifer</w:t>
      </w:r>
      <w:r w:rsidRPr="00C06F5C">
        <w:rPr>
          <w:rFonts w:cs="&gt;Æ&quot;®Êˇø•'12—"/>
          <w:color w:val="000000"/>
          <w:lang w:val="es-ES_tradnl"/>
        </w:rPr>
        <w:t xml:space="preserve"> </w:t>
      </w:r>
      <w:r>
        <w:rPr>
          <w:rFonts w:cs="&gt;Æ&quot;®Êˇø•'12—"/>
          <w:color w:val="000000"/>
          <w:lang w:val="es-ES_tradnl"/>
        </w:rPr>
        <w:t>planteó como un asunto</w:t>
      </w:r>
      <w:r w:rsidRPr="00C06F5C">
        <w:rPr>
          <w:rFonts w:cs="&gt;Æ&quot;®Êˇø•'12—"/>
          <w:color w:val="000000"/>
          <w:lang w:val="es-ES_tradnl"/>
        </w:rPr>
        <w:t xml:space="preserve"> importante </w:t>
      </w:r>
      <w:r>
        <w:rPr>
          <w:rFonts w:cs="&gt;Æ&quot;®Êˇø•'12—"/>
          <w:color w:val="000000"/>
          <w:lang w:val="es-ES_tradnl"/>
        </w:rPr>
        <w:t xml:space="preserve">a </w:t>
      </w:r>
      <w:r w:rsidRPr="00C06F5C">
        <w:rPr>
          <w:rFonts w:cs="&gt;Æ&quot;®Êˇø•'12—"/>
          <w:color w:val="000000"/>
          <w:lang w:val="es-ES_tradnl"/>
        </w:rPr>
        <w:t xml:space="preserve">tomar en cuenta. </w:t>
      </w:r>
    </w:p>
    <w:p w:rsidR="005A5E7D" w:rsidRPr="00B23349" w:rsidRDefault="005A5E7D" w:rsidP="005A5E7D">
      <w:pPr>
        <w:rPr>
          <w:rFonts w:cs="&gt;Æ&quot;®Êˇø•'12—"/>
          <w:color w:val="000000"/>
          <w:lang w:val="es-ES_tradnl"/>
        </w:rPr>
      </w:pPr>
      <w:r w:rsidRPr="00C06F5C">
        <w:rPr>
          <w:rFonts w:cs="&gt;Æ&quot;®Êˇø•'12—"/>
          <w:color w:val="000000"/>
          <w:lang w:val="es-ES_tradnl"/>
        </w:rPr>
        <w:t>En ot</w:t>
      </w:r>
      <w:r>
        <w:rPr>
          <w:rFonts w:cs="&gt;Æ&quot;®Êˇø•'12—"/>
          <w:color w:val="000000"/>
          <w:lang w:val="es-ES_tradnl"/>
        </w:rPr>
        <w:t xml:space="preserve">ro estudio realizado por la </w:t>
      </w:r>
      <w:r w:rsidRPr="00B17386">
        <w:rPr>
          <w:rFonts w:cs="&gt;Æ&quot;®Êˇø•'12—"/>
          <w:i/>
          <w:color w:val="000000"/>
          <w:lang w:val="es-ES_tradnl"/>
        </w:rPr>
        <w:t>Government Accountability Office</w:t>
      </w:r>
      <w:r w:rsidRPr="00C06F5C">
        <w:rPr>
          <w:rFonts w:cs="&gt;Æ&quot;®Êˇø•'12—"/>
          <w:color w:val="000000"/>
          <w:lang w:val="es-ES_tradnl"/>
        </w:rPr>
        <w:t xml:space="preserve"> (GAO, 1996) se estima</w:t>
      </w:r>
      <w:r>
        <w:rPr>
          <w:rFonts w:cs="&gt;Æ&quot;®Êˇø•'12—"/>
          <w:color w:val="000000"/>
          <w:lang w:val="es-ES_tradnl"/>
        </w:rPr>
        <w:t>ro</w:t>
      </w:r>
      <w:r w:rsidRPr="00C06F5C">
        <w:rPr>
          <w:rFonts w:cs="&gt;Æ&quot;®Êˇø•'12—"/>
          <w:color w:val="000000"/>
          <w:lang w:val="es-ES_tradnl"/>
        </w:rPr>
        <w:t>n impactos fiscales y se enfatiza</w:t>
      </w:r>
      <w:r>
        <w:rPr>
          <w:rFonts w:cs="&gt;Æ&quot;®Êˇø•'12—"/>
          <w:color w:val="000000"/>
          <w:lang w:val="es-ES_tradnl"/>
        </w:rPr>
        <w:t>ro</w:t>
      </w:r>
      <w:r w:rsidRPr="00C06F5C">
        <w:rPr>
          <w:rFonts w:cs="&gt;Æ&quot;®Êˇø•'12—"/>
          <w:color w:val="000000"/>
          <w:lang w:val="es-ES_tradnl"/>
        </w:rPr>
        <w:t xml:space="preserve">n los </w:t>
      </w:r>
      <w:r>
        <w:rPr>
          <w:rFonts w:cs="&gt;Æ&quot;®Êˇø•'12—"/>
          <w:color w:val="000000"/>
          <w:lang w:val="es-ES_tradnl"/>
        </w:rPr>
        <w:t>créditos c</w:t>
      </w:r>
      <w:r w:rsidRPr="00C06F5C">
        <w:rPr>
          <w:rFonts w:cs="&gt;Æ&quot;®Êˇø•'12—"/>
          <w:color w:val="000000"/>
          <w:lang w:val="es-ES_tradnl"/>
        </w:rPr>
        <w:t xml:space="preserve">ontributivos </w:t>
      </w:r>
      <w:r>
        <w:rPr>
          <w:rFonts w:cs="&gt;Æ&quot;®Êˇø•'12—"/>
          <w:color w:val="000000"/>
          <w:lang w:val="es-ES_tradnl"/>
        </w:rPr>
        <w:t>g</w:t>
      </w:r>
      <w:r w:rsidRPr="00C06F5C">
        <w:rPr>
          <w:rFonts w:cs="&gt;Æ&quot;®Êˇø•'12—"/>
          <w:color w:val="000000"/>
          <w:lang w:val="es-ES_tradnl"/>
        </w:rPr>
        <w:t>anados (</w:t>
      </w:r>
      <w:r w:rsidRPr="004B00D9">
        <w:rPr>
          <w:rFonts w:cs="&gt;Æ&quot;®Êˇø•'12—"/>
          <w:i/>
          <w:color w:val="000000"/>
          <w:lang w:val="es-ES_tradnl"/>
        </w:rPr>
        <w:t>Earned Income Tax Credit</w:t>
      </w:r>
      <w:r>
        <w:rPr>
          <w:rFonts w:cs="&gt;Æ&quot;®Êˇø•'12—"/>
          <w:color w:val="000000"/>
          <w:lang w:val="es-ES_tradnl"/>
        </w:rPr>
        <w:t>, EITC, por sus siglas en inglé</w:t>
      </w:r>
      <w:r w:rsidRPr="00C06F5C">
        <w:rPr>
          <w:rFonts w:cs="&gt;Æ&quot;®Êˇø•'12—"/>
          <w:color w:val="000000"/>
          <w:lang w:val="es-ES_tradnl"/>
        </w:rPr>
        <w:t xml:space="preserve">s). </w:t>
      </w:r>
      <w:r w:rsidRPr="00B23349">
        <w:rPr>
          <w:lang w:val="es-ES_tradnl"/>
        </w:rPr>
        <w:t>Si las características de la población de contribuyentes de Puerto Rico fuesen las mismas en el año 1995 como las de 1992, se estimó que el conjunto de sus obligaciones impositivas federales netas, después de restar los EITC, habría sido alrededor de $49 millones en virtud de las normas fiscales estadounidenses que se habían adoptado a partir de finales de 1995, según este estudio. La deuda tributaria total, en ausencia del EITC, habría sido alrededor de $623 millones, pero los contribuyentes puertorriqueños habrían cualificado y obtenido un total de alrededor de $574 millones del EITC.</w:t>
      </w:r>
    </w:p>
    <w:p w:rsidR="005A5E7D" w:rsidRDefault="005A5E7D" w:rsidP="005A5E7D">
      <w:pPr>
        <w:rPr>
          <w:lang w:val="es-ES_tradnl"/>
        </w:rPr>
      </w:pPr>
      <w:r w:rsidRPr="00C06F5C">
        <w:rPr>
          <w:lang w:val="es-ES_tradnl"/>
        </w:rPr>
        <w:t>Se estimó que alrededor del 59</w:t>
      </w:r>
      <w:r>
        <w:rPr>
          <w:lang w:val="es-ES_tradnl"/>
        </w:rPr>
        <w:t>%</w:t>
      </w:r>
      <w:r w:rsidRPr="00C06F5C">
        <w:rPr>
          <w:lang w:val="es-ES_tradnl"/>
        </w:rPr>
        <w:t xml:space="preserve"> de los </w:t>
      </w:r>
      <w:r>
        <w:rPr>
          <w:lang w:val="es-ES_tradnl"/>
        </w:rPr>
        <w:t xml:space="preserve">contribuyentes </w:t>
      </w:r>
      <w:r w:rsidRPr="00C06F5C">
        <w:rPr>
          <w:lang w:val="es-ES_tradnl"/>
        </w:rPr>
        <w:t>en Puerto Rico</w:t>
      </w:r>
      <w:r>
        <w:rPr>
          <w:lang w:val="es-ES_tradnl"/>
        </w:rPr>
        <w:t xml:space="preserve"> que presentaron</w:t>
      </w:r>
      <w:r w:rsidRPr="00C06F5C">
        <w:rPr>
          <w:lang w:val="es-ES_tradnl"/>
        </w:rPr>
        <w:t xml:space="preserve"> declaraciones de impuestos sobre ingreso individual en 1992 habrían ganado créditos tributarios por la contribución sobre ingreso (EITC</w:t>
      </w:r>
      <w:r>
        <w:rPr>
          <w:lang w:val="es-ES_tradnl"/>
        </w:rPr>
        <w:t>)</w:t>
      </w:r>
      <w:r w:rsidRPr="00C06F5C">
        <w:rPr>
          <w:lang w:val="es-ES_tradnl"/>
        </w:rPr>
        <w:t>. El EITC promedio ganado por los contribuyentes elegibles habría sido alrededor de</w:t>
      </w:r>
      <w:r>
        <w:rPr>
          <w:lang w:val="es-ES_tradnl"/>
        </w:rPr>
        <w:t xml:space="preserve"> </w:t>
      </w:r>
      <w:r w:rsidRPr="00C06F5C">
        <w:rPr>
          <w:lang w:val="es-ES_tradnl"/>
        </w:rPr>
        <w:t>$1,494</w:t>
      </w:r>
      <w:r>
        <w:rPr>
          <w:lang w:val="es-ES_tradnl"/>
        </w:rPr>
        <w:t xml:space="preserve"> millones y</w:t>
      </w:r>
      <w:r w:rsidRPr="00C06F5C">
        <w:rPr>
          <w:lang w:val="es-ES_tradnl"/>
        </w:rPr>
        <w:t xml:space="preserve"> el monto promedio h</w:t>
      </w:r>
      <w:r>
        <w:rPr>
          <w:lang w:val="es-ES_tradnl"/>
        </w:rPr>
        <w:t>abría sido de aproximadamente $</w:t>
      </w:r>
      <w:r w:rsidRPr="00C06F5C">
        <w:rPr>
          <w:lang w:val="es-ES_tradnl"/>
        </w:rPr>
        <w:t>1,623. Más de la mi</w:t>
      </w:r>
      <w:r>
        <w:rPr>
          <w:lang w:val="es-ES_tradnl"/>
        </w:rPr>
        <w:t>tad de la contribuyentes habría</w:t>
      </w:r>
      <w:r w:rsidRPr="00C06F5C">
        <w:rPr>
          <w:lang w:val="es-ES_tradnl"/>
        </w:rPr>
        <w:t xml:space="preserve"> recibido transferencias netas del </w:t>
      </w:r>
      <w:r>
        <w:rPr>
          <w:lang w:val="es-ES_tradnl"/>
        </w:rPr>
        <w:t>Gobierno</w:t>
      </w:r>
      <w:r w:rsidRPr="00C06F5C">
        <w:rPr>
          <w:lang w:val="es-ES_tradnl"/>
        </w:rPr>
        <w:t xml:space="preserve"> federal porque su EITC habr</w:t>
      </w:r>
      <w:r>
        <w:rPr>
          <w:lang w:val="es-ES_tradnl"/>
        </w:rPr>
        <w:t>ía sido mayor que sus pre</w:t>
      </w:r>
      <w:r w:rsidRPr="00C06F5C">
        <w:rPr>
          <w:lang w:val="es-ES_tradnl"/>
        </w:rPr>
        <w:t>créditos pasivos por impuesto sobre ingreso federal. E</w:t>
      </w:r>
      <w:r>
        <w:rPr>
          <w:lang w:val="es-ES_tradnl"/>
        </w:rPr>
        <w:t xml:space="preserve">l </w:t>
      </w:r>
      <w:r w:rsidRPr="00C06F5C">
        <w:rPr>
          <w:lang w:val="es-ES_tradnl"/>
        </w:rPr>
        <w:t xml:space="preserve">estudio </w:t>
      </w:r>
      <w:r>
        <w:rPr>
          <w:lang w:val="es-ES_tradnl"/>
        </w:rPr>
        <w:t>e</w:t>
      </w:r>
      <w:r w:rsidRPr="00C06F5C">
        <w:rPr>
          <w:lang w:val="es-ES_tradnl"/>
        </w:rPr>
        <w:t>stim</w:t>
      </w:r>
      <w:r>
        <w:rPr>
          <w:lang w:val="es-ES_tradnl"/>
        </w:rPr>
        <w:t>ó</w:t>
      </w:r>
      <w:r w:rsidRPr="00C06F5C">
        <w:rPr>
          <w:lang w:val="es-ES_tradnl"/>
        </w:rPr>
        <w:t xml:space="preserve"> que alrededor del 41</w:t>
      </w:r>
      <w:r>
        <w:rPr>
          <w:lang w:val="es-ES_tradnl"/>
        </w:rPr>
        <w:t>%</w:t>
      </w:r>
      <w:r w:rsidRPr="00C06F5C">
        <w:rPr>
          <w:lang w:val="es-ES_tradnl"/>
        </w:rPr>
        <w:t xml:space="preserve"> de los contribuyentes</w:t>
      </w:r>
      <w:r>
        <w:rPr>
          <w:lang w:val="es-ES_tradnl"/>
        </w:rPr>
        <w:t xml:space="preserve"> puertorriqueños habría</w:t>
      </w:r>
      <w:r w:rsidRPr="00C06F5C">
        <w:rPr>
          <w:lang w:val="es-ES_tradnl"/>
        </w:rPr>
        <w:t xml:space="preserve"> tenido pasivos por impuestos sobre ingreso federal positivos, incluyendo el EITC</w:t>
      </w:r>
      <w:r>
        <w:rPr>
          <w:lang w:val="es-ES_tradnl"/>
        </w:rPr>
        <w:t>.</w:t>
      </w:r>
    </w:p>
    <w:p w:rsidR="005A5E7D" w:rsidRDefault="005A5E7D" w:rsidP="005A5E7D">
      <w:pPr>
        <w:rPr>
          <w:lang w:val="es-ES_tradnl"/>
        </w:rPr>
      </w:pPr>
      <w:r w:rsidRPr="00C06F5C">
        <w:rPr>
          <w:lang w:val="es-ES_tradnl"/>
        </w:rPr>
        <w:t>Si las normas fiscales federales actuales hubie</w:t>
      </w:r>
      <w:r>
        <w:rPr>
          <w:lang w:val="es-ES_tradnl"/>
        </w:rPr>
        <w:t>se</w:t>
      </w:r>
      <w:r w:rsidRPr="00C06F5C">
        <w:rPr>
          <w:lang w:val="es-ES_tradnl"/>
        </w:rPr>
        <w:t>n estado en vigor en Puerto Rico en el momento, es probable que algunos de los residentes de Puerto Rico que no presentaron declaraciones de impuestos de Puerto Rico en 1992 habrían tenido un incentivo para presentar declaraciones de impuestos federales porque podrían haber c</w:t>
      </w:r>
      <w:r>
        <w:rPr>
          <w:lang w:val="es-ES_tradnl"/>
        </w:rPr>
        <w:t>u</w:t>
      </w:r>
      <w:r w:rsidRPr="00C06F5C">
        <w:rPr>
          <w:lang w:val="es-ES_tradnl"/>
        </w:rPr>
        <w:t>alificado para el EITC reembolsable. Est</w:t>
      </w:r>
      <w:r>
        <w:rPr>
          <w:lang w:val="es-ES_tradnl"/>
        </w:rPr>
        <w:t>e</w:t>
      </w:r>
      <w:r w:rsidRPr="00C06F5C">
        <w:rPr>
          <w:lang w:val="es-ES_tradnl"/>
        </w:rPr>
        <w:t xml:space="preserve"> estudio plantea que no tienen forma de saber con certeza</w:t>
      </w:r>
      <w:r>
        <w:rPr>
          <w:lang w:val="es-ES_tradnl"/>
        </w:rPr>
        <w:t xml:space="preserve"> cuántos de estos residentes (</w:t>
      </w:r>
      <w:r w:rsidRPr="00F06156">
        <w:rPr>
          <w:i/>
          <w:lang w:val="es-ES_tradnl"/>
        </w:rPr>
        <w:t>non–filer</w:t>
      </w:r>
      <w:r>
        <w:rPr>
          <w:i/>
          <w:lang w:val="es-ES_tradnl"/>
        </w:rPr>
        <w:t>s</w:t>
      </w:r>
      <w:r w:rsidRPr="00C06F5C">
        <w:rPr>
          <w:lang w:val="es-ES_tradnl"/>
        </w:rPr>
        <w:t>) recl</w:t>
      </w:r>
      <w:r>
        <w:rPr>
          <w:lang w:val="es-ES_tradnl"/>
        </w:rPr>
        <w:t>amarían el EITC. Sin embargo, la</w:t>
      </w:r>
      <w:r w:rsidRPr="00C06F5C">
        <w:rPr>
          <w:lang w:val="es-ES_tradnl"/>
        </w:rPr>
        <w:t xml:space="preserve"> GAO deriv</w:t>
      </w:r>
      <w:r>
        <w:rPr>
          <w:lang w:val="es-ES_tradnl"/>
        </w:rPr>
        <w:t>ó</w:t>
      </w:r>
      <w:r w:rsidRPr="00C06F5C">
        <w:rPr>
          <w:lang w:val="es-ES_tradnl"/>
        </w:rPr>
        <w:t xml:space="preserve"> un</w:t>
      </w:r>
      <w:r>
        <w:rPr>
          <w:lang w:val="es-ES_tradnl"/>
        </w:rPr>
        <w:t xml:space="preserve"> </w:t>
      </w:r>
      <w:r w:rsidRPr="00C06F5C">
        <w:rPr>
          <w:lang w:val="es-ES_tradnl"/>
        </w:rPr>
        <w:t>estimado de la cantidad de EITC que podrían haber sido reclamado</w:t>
      </w:r>
      <w:r>
        <w:rPr>
          <w:lang w:val="es-ES_tradnl"/>
        </w:rPr>
        <w:t>s</w:t>
      </w:r>
      <w:r w:rsidRPr="00C06F5C">
        <w:rPr>
          <w:lang w:val="es-ES_tradnl"/>
        </w:rPr>
        <w:t xml:space="preserve"> por los residentes que no estaban legalmente obligados a presentar declaraciones de impuestos en 1992. Se consideró que el número de personas que tenían los niveles de ingresos por debajo del umbral del impuesto sobre el ingreso y estaban exentos de la retención como un límite superior en el número de los declarantes potenciales adicionales. Si todos esos residentes reclamar</w:t>
      </w:r>
      <w:r>
        <w:rPr>
          <w:lang w:val="es-ES_tradnl"/>
        </w:rPr>
        <w:t>a</w:t>
      </w:r>
      <w:r w:rsidRPr="00C06F5C">
        <w:rPr>
          <w:lang w:val="es-ES_tradnl"/>
        </w:rPr>
        <w:t>n el EITC</w:t>
      </w:r>
      <w:r>
        <w:rPr>
          <w:lang w:val="es-ES_tradnl"/>
        </w:rPr>
        <w:t>,</w:t>
      </w:r>
      <w:r w:rsidRPr="00C06F5C">
        <w:rPr>
          <w:lang w:val="es-ES_tradnl"/>
        </w:rPr>
        <w:t xml:space="preserve"> se calcul</w:t>
      </w:r>
      <w:r>
        <w:rPr>
          <w:lang w:val="es-ES_tradnl"/>
        </w:rPr>
        <w:t>ó</w:t>
      </w:r>
      <w:r w:rsidRPr="00C06F5C">
        <w:rPr>
          <w:lang w:val="es-ES_tradnl"/>
        </w:rPr>
        <w:t xml:space="preserve"> que habrían c</w:t>
      </w:r>
      <w:r>
        <w:rPr>
          <w:lang w:val="es-ES_tradnl"/>
        </w:rPr>
        <w:t xml:space="preserve">ualificado para unos $64 millones. </w:t>
      </w:r>
      <w:r w:rsidRPr="00C06F5C">
        <w:rPr>
          <w:lang w:val="es-ES_tradnl"/>
        </w:rPr>
        <w:t>Si el EITC adicional que podría haber</w:t>
      </w:r>
      <w:r>
        <w:rPr>
          <w:lang w:val="es-ES_tradnl"/>
        </w:rPr>
        <w:t>se</w:t>
      </w:r>
      <w:r w:rsidRPr="00C06F5C">
        <w:rPr>
          <w:lang w:val="es-ES_tradnl"/>
        </w:rPr>
        <w:t xml:space="preserve"> reclamado por los residentes clasificados como </w:t>
      </w:r>
      <w:r w:rsidRPr="008462D4">
        <w:rPr>
          <w:i/>
          <w:lang w:val="es-ES_tradnl"/>
        </w:rPr>
        <w:t>non-filer</w:t>
      </w:r>
      <w:r>
        <w:rPr>
          <w:i/>
          <w:lang w:val="es-ES_tradnl"/>
        </w:rPr>
        <w:t>s</w:t>
      </w:r>
      <w:r w:rsidRPr="00C06F5C">
        <w:rPr>
          <w:lang w:val="es-ES_tradnl"/>
        </w:rPr>
        <w:t xml:space="preserve"> fueron </w:t>
      </w:r>
      <w:r>
        <w:rPr>
          <w:lang w:val="es-ES_tradnl"/>
        </w:rPr>
        <w:t>unos $64 millones, la</w:t>
      </w:r>
      <w:r w:rsidRPr="00C06F5C">
        <w:rPr>
          <w:lang w:val="es-ES_tradnl"/>
        </w:rPr>
        <w:t xml:space="preserve"> GAO estim</w:t>
      </w:r>
      <w:r>
        <w:rPr>
          <w:lang w:val="es-ES_tradnl"/>
        </w:rPr>
        <w:t xml:space="preserve">ó </w:t>
      </w:r>
      <w:r w:rsidRPr="00C06F5C">
        <w:rPr>
          <w:lang w:val="es-ES_tradnl"/>
        </w:rPr>
        <w:t>que cantidad agregada total de EITC que se habría ganado h</w:t>
      </w:r>
      <w:r>
        <w:rPr>
          <w:lang w:val="es-ES_tradnl"/>
        </w:rPr>
        <w:t>ubiese</w:t>
      </w:r>
      <w:r w:rsidRPr="00C06F5C">
        <w:rPr>
          <w:lang w:val="es-ES_tradnl"/>
        </w:rPr>
        <w:t xml:space="preserve"> aumentado de cerca </w:t>
      </w:r>
      <w:r>
        <w:rPr>
          <w:lang w:val="es-ES_tradnl"/>
        </w:rPr>
        <w:t>$</w:t>
      </w:r>
      <w:r w:rsidRPr="00C06F5C">
        <w:rPr>
          <w:lang w:val="es-ES_tradnl"/>
        </w:rPr>
        <w:t xml:space="preserve">574 millones </w:t>
      </w:r>
      <w:r>
        <w:rPr>
          <w:lang w:val="es-ES_tradnl"/>
        </w:rPr>
        <w:t>a aproximadamente $</w:t>
      </w:r>
      <w:r w:rsidRPr="00C06F5C">
        <w:rPr>
          <w:lang w:val="es-ES_tradnl"/>
        </w:rPr>
        <w:t>638 millones.</w:t>
      </w:r>
      <w:r>
        <w:rPr>
          <w:lang w:val="es-ES_tradnl"/>
        </w:rPr>
        <w:t xml:space="preserve"> </w:t>
      </w:r>
      <w:r w:rsidRPr="00C06F5C">
        <w:rPr>
          <w:lang w:val="es-ES_tradnl"/>
        </w:rPr>
        <w:t>Este crédito ganado adicional (EITC) sería suficiente para elimi</w:t>
      </w:r>
      <w:r>
        <w:rPr>
          <w:lang w:val="es-ES_tradnl"/>
        </w:rPr>
        <w:t>nar los $</w:t>
      </w:r>
      <w:r w:rsidRPr="00C06F5C">
        <w:rPr>
          <w:lang w:val="es-ES_tradnl"/>
        </w:rPr>
        <w:t>49 millones de pasivo neto total de impuestos federales que se estimó ex</w:t>
      </w:r>
      <w:r>
        <w:rPr>
          <w:lang w:val="es-ES_tradnl"/>
        </w:rPr>
        <w:t>istiría para la población que sí</w:t>
      </w:r>
      <w:r w:rsidRPr="00C06F5C">
        <w:rPr>
          <w:lang w:val="es-ES_tradnl"/>
        </w:rPr>
        <w:t xml:space="preserve"> llenó la planilla. Según este estudio</w:t>
      </w:r>
      <w:r>
        <w:rPr>
          <w:lang w:val="es-ES_tradnl"/>
        </w:rPr>
        <w:t>,</w:t>
      </w:r>
      <w:r w:rsidRPr="00C06F5C">
        <w:rPr>
          <w:lang w:val="es-ES_tradnl"/>
        </w:rPr>
        <w:t xml:space="preserve"> “una vez más, es importante tener en cuenta que nuestras estimaciones no reflejan otras respuestas de comportamiento potencial a la disponibilidad del crédito o de la imposición de el impuesto federal sobre el ingreso”.</w:t>
      </w:r>
    </w:p>
    <w:p w:rsidR="005A5E7D" w:rsidRPr="00012080" w:rsidRDefault="005A5E7D" w:rsidP="005A5E7D">
      <w:pPr>
        <w:spacing w:line="240" w:lineRule="auto"/>
        <w:rPr>
          <w:sz w:val="28"/>
          <w:lang w:val="es-ES_tradnl"/>
        </w:rPr>
      </w:pPr>
    </w:p>
    <w:p w:rsidR="005A5E7D" w:rsidRDefault="005A5E7D" w:rsidP="005A5E7D">
      <w:pPr>
        <w:pStyle w:val="Heading2"/>
        <w:ind w:left="426" w:hanging="426"/>
      </w:pPr>
      <w:bookmarkStart w:id="28" w:name="_Toc384769730"/>
      <w:r>
        <w:t>Las opciones polí</w:t>
      </w:r>
      <w:r w:rsidRPr="00A6463D">
        <w:t xml:space="preserve">ticas </w:t>
      </w:r>
      <w:r>
        <w:t>y su relación con el desarrollo económico</w:t>
      </w:r>
      <w:bookmarkEnd w:id="28"/>
    </w:p>
    <w:p w:rsidR="005A5E7D" w:rsidRPr="00012080" w:rsidRDefault="005A5E7D" w:rsidP="005A5E7D">
      <w:pPr>
        <w:spacing w:line="360" w:lineRule="auto"/>
      </w:pPr>
    </w:p>
    <w:p w:rsidR="005A5E7D" w:rsidRDefault="005A5E7D" w:rsidP="005A5E7D">
      <w:pPr>
        <w:rPr>
          <w:lang w:val="es-ES_tradnl"/>
        </w:rPr>
      </w:pPr>
      <w:r w:rsidRPr="00F07F9C">
        <w:rPr>
          <w:lang w:val="es-ES_tradnl"/>
        </w:rPr>
        <w:t>Javier Col</w:t>
      </w:r>
      <w:r>
        <w:rPr>
          <w:lang w:val="es-ES_tradnl"/>
        </w:rPr>
        <w:t>ó</w:t>
      </w:r>
      <w:r w:rsidRPr="00F07F9C">
        <w:rPr>
          <w:lang w:val="es-ES_tradnl"/>
        </w:rPr>
        <w:t>n (1998)</w:t>
      </w:r>
      <w:r>
        <w:rPr>
          <w:lang w:val="es-ES_tradnl"/>
        </w:rPr>
        <w:t>,</w:t>
      </w:r>
      <w:r w:rsidRPr="00F07F9C">
        <w:rPr>
          <w:lang w:val="es-ES_tradnl"/>
        </w:rPr>
        <w:t xml:space="preserve"> y Edwin Meléndez y Ángel Ruiz </w:t>
      </w:r>
      <w:r>
        <w:rPr>
          <w:lang w:val="es-ES_tradnl"/>
        </w:rPr>
        <w:t>(1998) resumen algunos de los argumentos mas importantes que se han planteado por los diferentes propulsores de las tres alternativas de estatus político que se discutieron en los años noventa.</w:t>
      </w:r>
    </w:p>
    <w:p w:rsidR="005A5E7D" w:rsidRDefault="005A5E7D" w:rsidP="005A5E7D">
      <w:pPr>
        <w:rPr>
          <w:lang w:val="es-ES_tradnl"/>
        </w:rPr>
      </w:pPr>
      <w:r>
        <w:rPr>
          <w:lang w:val="es-ES_tradnl"/>
        </w:rPr>
        <w:t>Otros hallazgos mencionados por</w:t>
      </w:r>
      <w:r w:rsidRPr="00004049">
        <w:rPr>
          <w:lang w:val="es-ES_tradnl"/>
        </w:rPr>
        <w:t xml:space="preserve"> Ángel Ruiz y Edwin Meléndez (1998) tienen que ver con la posición de los partidos políticos. Por ejemplo, bajo el escenario de la estadidad, la salida de ingresos de Puerto Rico a causa del pago </w:t>
      </w:r>
      <w:r>
        <w:rPr>
          <w:lang w:val="es-ES_tradnl"/>
        </w:rPr>
        <w:t xml:space="preserve">de contribuciones al Tesoro de </w:t>
      </w:r>
      <w:r w:rsidRPr="00004049">
        <w:rPr>
          <w:lang w:val="es-ES_tradnl"/>
        </w:rPr>
        <w:t xml:space="preserve">Estados Unidos por los individuos y compañías </w:t>
      </w:r>
      <w:r>
        <w:rPr>
          <w:lang w:val="es-ES_tradnl"/>
        </w:rPr>
        <w:t>locales</w:t>
      </w:r>
      <w:r w:rsidRPr="00004049">
        <w:rPr>
          <w:lang w:val="es-ES_tradnl"/>
        </w:rPr>
        <w:t xml:space="preserve"> podría ser más que compensada por el pago de las transferencias federales que recibirán los residentes de la Isla y las agencias del </w:t>
      </w:r>
      <w:r>
        <w:rPr>
          <w:lang w:val="es-ES_tradnl"/>
        </w:rPr>
        <w:t>Gobierno</w:t>
      </w:r>
      <w:r w:rsidRPr="00004049">
        <w:rPr>
          <w:lang w:val="es-ES_tradnl"/>
        </w:rPr>
        <w:t xml:space="preserve">. </w:t>
      </w:r>
      <w:r>
        <w:rPr>
          <w:lang w:val="es-ES_tradnl"/>
        </w:rPr>
        <w:t>Part</w:t>
      </w:r>
      <w:r w:rsidRPr="00004049">
        <w:rPr>
          <w:lang w:val="es-ES_tradnl"/>
        </w:rPr>
        <w:t xml:space="preserve">iendo </w:t>
      </w:r>
      <w:r>
        <w:rPr>
          <w:lang w:val="es-ES_tradnl"/>
        </w:rPr>
        <w:t xml:space="preserve">de la premisa de </w:t>
      </w:r>
      <w:r w:rsidRPr="00004049">
        <w:rPr>
          <w:lang w:val="es-ES_tradnl"/>
        </w:rPr>
        <w:t>que no ocurr</w:t>
      </w:r>
      <w:r>
        <w:rPr>
          <w:lang w:val="es-ES_tradnl"/>
        </w:rPr>
        <w:t>iera</w:t>
      </w:r>
      <w:r w:rsidRPr="00004049">
        <w:rPr>
          <w:lang w:val="es-ES_tradnl"/>
        </w:rPr>
        <w:t xml:space="preserve"> ningún otro evento económico de importancia y que las compañías 936 decid</w:t>
      </w:r>
      <w:r>
        <w:rPr>
          <w:lang w:val="es-ES_tradnl"/>
        </w:rPr>
        <w:t>iera</w:t>
      </w:r>
      <w:r w:rsidRPr="00004049">
        <w:rPr>
          <w:lang w:val="es-ES_tradnl"/>
        </w:rPr>
        <w:t>n no reubicar sus operaciones fuera de Puerto Rico, el beneficio fisc</w:t>
      </w:r>
      <w:r>
        <w:rPr>
          <w:lang w:val="es-ES_tradnl"/>
        </w:rPr>
        <w:t>al neto</w:t>
      </w:r>
      <w:r w:rsidRPr="00004049">
        <w:rPr>
          <w:lang w:val="es-ES_tradnl"/>
        </w:rPr>
        <w:t xml:space="preserve"> </w:t>
      </w:r>
      <w:r w:rsidRPr="008B456C">
        <w:t>—</w:t>
      </w:r>
      <w:r w:rsidRPr="00004049">
        <w:rPr>
          <w:lang w:val="es-ES_tradnl"/>
        </w:rPr>
        <w:t>medido en términos de</w:t>
      </w:r>
      <w:r>
        <w:rPr>
          <w:lang w:val="es-ES_tradnl"/>
        </w:rPr>
        <w:t xml:space="preserve"> un mayor crecimiento económico</w:t>
      </w:r>
      <w:r w:rsidRPr="008B456C">
        <w:t>—</w:t>
      </w:r>
      <w:r w:rsidRPr="00004049">
        <w:rPr>
          <w:lang w:val="es-ES_tradnl"/>
        </w:rPr>
        <w:t xml:space="preserve"> sería mayor para la estadidad que para la independencia o el ELA. Sin embargo, el </w:t>
      </w:r>
      <w:r w:rsidRPr="00583822">
        <w:rPr>
          <w:lang w:val="es-ES_tradnl"/>
        </w:rPr>
        <w:t>incremento en las transferencias podría contrarresta</w:t>
      </w:r>
      <w:r>
        <w:rPr>
          <w:lang w:val="es-ES_tradnl"/>
        </w:rPr>
        <w:t>rse</w:t>
      </w:r>
      <w:r w:rsidRPr="00583822">
        <w:rPr>
          <w:lang w:val="es-ES_tradnl"/>
        </w:rPr>
        <w:t xml:space="preserve"> por el efecto negativo de los pagos contributivos federales y por la pérdida que la reubicación de empresas 936 causaría en los ingresos públicos. Por lo tanto, el punto determinante reside en el número y la importancia de las empresas 936 que decid</w:t>
      </w:r>
      <w:r>
        <w:rPr>
          <w:lang w:val="es-ES_tradnl"/>
        </w:rPr>
        <w:t>ier</w:t>
      </w:r>
      <w:r w:rsidRPr="00583822">
        <w:rPr>
          <w:lang w:val="es-ES_tradnl"/>
        </w:rPr>
        <w:t xml:space="preserve">an reubicar sus operaciones o posponer sus inversiones futuras en la Isla. </w:t>
      </w:r>
      <w:r>
        <w:rPr>
          <w:lang w:val="es-ES_tradnl"/>
        </w:rPr>
        <w:t>T</w:t>
      </w:r>
      <w:r w:rsidRPr="00583822">
        <w:rPr>
          <w:lang w:val="es-ES_tradnl"/>
        </w:rPr>
        <w:t>ambién cobrar</w:t>
      </w:r>
      <w:r>
        <w:rPr>
          <w:lang w:val="es-ES_tradnl"/>
        </w:rPr>
        <w:t xml:space="preserve">ían </w:t>
      </w:r>
      <w:r w:rsidRPr="00583822">
        <w:rPr>
          <w:lang w:val="es-ES_tradnl"/>
        </w:rPr>
        <w:t xml:space="preserve">importancia </w:t>
      </w:r>
      <w:r>
        <w:rPr>
          <w:lang w:val="es-ES_tradnl"/>
        </w:rPr>
        <w:t>l</w:t>
      </w:r>
      <w:r w:rsidRPr="00583822">
        <w:rPr>
          <w:lang w:val="es-ES_tradnl"/>
        </w:rPr>
        <w:t>as acciones que tom</w:t>
      </w:r>
      <w:r>
        <w:rPr>
          <w:lang w:val="es-ES_tradnl"/>
        </w:rPr>
        <w:t>as</w:t>
      </w:r>
      <w:r w:rsidRPr="00583822">
        <w:rPr>
          <w:lang w:val="es-ES_tradnl"/>
        </w:rPr>
        <w:t xml:space="preserve">en el </w:t>
      </w:r>
      <w:r>
        <w:rPr>
          <w:lang w:val="es-ES_tradnl"/>
        </w:rPr>
        <w:t>Gobierno</w:t>
      </w:r>
      <w:r w:rsidRPr="00583822">
        <w:rPr>
          <w:lang w:val="es-ES_tradnl"/>
        </w:rPr>
        <w:t xml:space="preserve"> y el sector privado para compensar por la incertidumbre </w:t>
      </w:r>
      <w:r>
        <w:rPr>
          <w:lang w:val="es-ES_tradnl"/>
        </w:rPr>
        <w:t>en torno</w:t>
      </w:r>
      <w:r w:rsidRPr="00583822">
        <w:rPr>
          <w:lang w:val="es-ES_tradnl"/>
        </w:rPr>
        <w:t xml:space="preserve"> al comportamiento de las empresas 936</w:t>
      </w:r>
      <w:r>
        <w:rPr>
          <w:lang w:val="es-ES_tradnl"/>
        </w:rPr>
        <w:t>.</w:t>
      </w:r>
    </w:p>
    <w:p w:rsidR="005A5E7D" w:rsidRDefault="005A5E7D" w:rsidP="005A5E7D">
      <w:pPr>
        <w:rPr>
          <w:lang w:val="es-ES_tradnl"/>
        </w:rPr>
      </w:pPr>
      <w:r>
        <w:rPr>
          <w:lang w:val="es-ES_tradnl"/>
        </w:rPr>
        <w:t xml:space="preserve">Además, </w:t>
      </w:r>
      <w:r w:rsidRPr="00583822">
        <w:rPr>
          <w:lang w:val="es-ES_tradnl"/>
        </w:rPr>
        <w:t xml:space="preserve">este estudio especifica que </w:t>
      </w:r>
      <w:r>
        <w:rPr>
          <w:lang w:val="es-ES_tradnl"/>
        </w:rPr>
        <w:t>l</w:t>
      </w:r>
      <w:r w:rsidRPr="00583822">
        <w:rPr>
          <w:lang w:val="es-ES_tradnl"/>
        </w:rPr>
        <w:t xml:space="preserve">a </w:t>
      </w:r>
      <w:r>
        <w:rPr>
          <w:lang w:val="es-ES_tradnl"/>
        </w:rPr>
        <w:t>aplicación de</w:t>
      </w:r>
      <w:r w:rsidRPr="00583822">
        <w:rPr>
          <w:lang w:val="es-ES_tradnl"/>
        </w:rPr>
        <w:t xml:space="preserve"> impuestos a los individuos afectaría no s</w:t>
      </w:r>
      <w:r>
        <w:rPr>
          <w:lang w:val="es-ES_tradnl"/>
        </w:rPr>
        <w:t>o</w:t>
      </w:r>
      <w:r w:rsidRPr="00583822">
        <w:rPr>
          <w:lang w:val="es-ES_tradnl"/>
        </w:rPr>
        <w:t>lo el ingreso personal disponible de los consumidores</w:t>
      </w:r>
      <w:r>
        <w:rPr>
          <w:lang w:val="es-ES_tradnl"/>
        </w:rPr>
        <w:t>,</w:t>
      </w:r>
      <w:r w:rsidRPr="00583822">
        <w:rPr>
          <w:lang w:val="es-ES_tradnl"/>
        </w:rPr>
        <w:t xml:space="preserve"> sino </w:t>
      </w:r>
      <w:r>
        <w:rPr>
          <w:lang w:val="es-ES_tradnl"/>
        </w:rPr>
        <w:t>también</w:t>
      </w:r>
      <w:r w:rsidRPr="00583822">
        <w:rPr>
          <w:lang w:val="es-ES_tradnl"/>
        </w:rPr>
        <w:t xml:space="preserve"> los ingresos del </w:t>
      </w:r>
      <w:r>
        <w:rPr>
          <w:lang w:val="es-ES_tradnl"/>
        </w:rPr>
        <w:t>Gobierno</w:t>
      </w:r>
      <w:r w:rsidRPr="00583822">
        <w:rPr>
          <w:lang w:val="es-ES_tradnl"/>
        </w:rPr>
        <w:t xml:space="preserve"> estatal. Por lo tanto, también se afecta</w:t>
      </w:r>
      <w:r>
        <w:rPr>
          <w:lang w:val="es-ES_tradnl"/>
        </w:rPr>
        <w:t>rían</w:t>
      </w:r>
      <w:r w:rsidRPr="00583822">
        <w:rPr>
          <w:lang w:val="es-ES_tradnl"/>
        </w:rPr>
        <w:t xml:space="preserve"> los servicios provistos por los </w:t>
      </w:r>
      <w:r>
        <w:rPr>
          <w:lang w:val="es-ES_tradnl"/>
        </w:rPr>
        <w:t>G</w:t>
      </w:r>
      <w:r w:rsidRPr="00583822">
        <w:rPr>
          <w:lang w:val="es-ES_tradnl"/>
        </w:rPr>
        <w:t xml:space="preserve">obiernos locales a los contribuyentes. </w:t>
      </w:r>
      <w:r>
        <w:rPr>
          <w:lang w:val="es-ES_tradnl"/>
        </w:rPr>
        <w:t>También</w:t>
      </w:r>
      <w:r w:rsidRPr="00583822">
        <w:rPr>
          <w:lang w:val="es-ES_tradnl"/>
        </w:rPr>
        <w:t xml:space="preserve"> debemos suponer, por </w:t>
      </w:r>
      <w:r>
        <w:rPr>
          <w:lang w:val="es-ES_tradnl"/>
        </w:rPr>
        <w:t>su razonabilidad</w:t>
      </w:r>
      <w:r w:rsidRPr="00583822">
        <w:rPr>
          <w:lang w:val="es-ES_tradnl"/>
        </w:rPr>
        <w:t>, que la economía de Puerto Rico tiene una capacidad máxima de absorber impuestos</w:t>
      </w:r>
      <w:r>
        <w:rPr>
          <w:lang w:val="es-ES_tradnl"/>
        </w:rPr>
        <w:t>;</w:t>
      </w:r>
      <w:r w:rsidRPr="00583822">
        <w:rPr>
          <w:lang w:val="es-ES_tradnl"/>
        </w:rPr>
        <w:t xml:space="preserve"> y</w:t>
      </w:r>
      <w:r>
        <w:rPr>
          <w:lang w:val="es-ES_tradnl"/>
        </w:rPr>
        <w:t>,</w:t>
      </w:r>
      <w:r w:rsidRPr="00583822">
        <w:rPr>
          <w:lang w:val="es-ES_tradnl"/>
        </w:rPr>
        <w:t xml:space="preserve"> por lo tanto, que el total de los tributos pagados al </w:t>
      </w:r>
      <w:r>
        <w:rPr>
          <w:lang w:val="es-ES_tradnl"/>
        </w:rPr>
        <w:t>Gobierno</w:t>
      </w:r>
      <w:r w:rsidRPr="00583822">
        <w:rPr>
          <w:lang w:val="es-ES_tradnl"/>
        </w:rPr>
        <w:t>, federal</w:t>
      </w:r>
      <w:r>
        <w:rPr>
          <w:lang w:val="es-ES_tradnl"/>
        </w:rPr>
        <w:t xml:space="preserve"> o</w:t>
      </w:r>
      <w:r w:rsidRPr="00583822">
        <w:rPr>
          <w:lang w:val="es-ES_tradnl"/>
        </w:rPr>
        <w:t xml:space="preserve"> </w:t>
      </w:r>
      <w:r>
        <w:rPr>
          <w:lang w:val="es-ES_tradnl"/>
        </w:rPr>
        <w:t>de la Isla</w:t>
      </w:r>
      <w:r w:rsidRPr="00583822">
        <w:rPr>
          <w:lang w:val="es-ES_tradnl"/>
        </w:rPr>
        <w:t>, tiene un máximo que de exced</w:t>
      </w:r>
      <w:r>
        <w:rPr>
          <w:lang w:val="es-ES_tradnl"/>
        </w:rPr>
        <w:t>erse</w:t>
      </w:r>
      <w:r w:rsidRPr="00583822">
        <w:rPr>
          <w:lang w:val="es-ES_tradnl"/>
        </w:rPr>
        <w:t xml:space="preserve"> afectaría seriamente la economía.</w:t>
      </w:r>
    </w:p>
    <w:p w:rsidR="005A5E7D" w:rsidRPr="00E41D9F" w:rsidRDefault="005A5E7D" w:rsidP="005A5E7D">
      <w:pPr>
        <w:rPr>
          <w:lang w:val="es-ES_tradnl"/>
        </w:rPr>
      </w:pPr>
      <w:r>
        <w:rPr>
          <w:lang w:val="es-ES_tradnl"/>
        </w:rPr>
        <w:t>Ese</w:t>
      </w:r>
      <w:r w:rsidRPr="00583822">
        <w:rPr>
          <w:lang w:val="es-ES_tradnl"/>
        </w:rPr>
        <w:t xml:space="preserve"> máximo debería ser comparable al </w:t>
      </w:r>
      <w:r>
        <w:rPr>
          <w:lang w:val="es-ES_tradnl"/>
        </w:rPr>
        <w:t>de</w:t>
      </w:r>
      <w:r w:rsidRPr="00583822">
        <w:rPr>
          <w:lang w:val="es-ES_tradnl"/>
        </w:rPr>
        <w:t xml:space="preserve"> otros estados de </w:t>
      </w:r>
      <w:r>
        <w:rPr>
          <w:lang w:val="es-ES_tradnl"/>
        </w:rPr>
        <w:t>Estados Unidos</w:t>
      </w:r>
      <w:r w:rsidRPr="00583822">
        <w:rPr>
          <w:lang w:val="es-ES_tradnl"/>
        </w:rPr>
        <w:t xml:space="preserve"> con</w:t>
      </w:r>
      <w:r>
        <w:rPr>
          <w:lang w:val="es-ES_tradnl"/>
        </w:rPr>
        <w:t xml:space="preserve"> población, ingreso por persona</w:t>
      </w:r>
      <w:r w:rsidRPr="00583822">
        <w:rPr>
          <w:lang w:val="es-ES_tradnl"/>
        </w:rPr>
        <w:t xml:space="preserve"> y nivel de actividad económica similares a Puerto Rico. Es de conocimiento general que Puerto Rico se compara en población y volumen de actividad económica con muchos estados, pero que</w:t>
      </w:r>
      <w:r>
        <w:rPr>
          <w:lang w:val="es-ES_tradnl"/>
        </w:rPr>
        <w:t xml:space="preserve"> el ingreso por persona esta sustancialmente por debajo </w:t>
      </w:r>
      <w:r w:rsidRPr="00583822">
        <w:rPr>
          <w:lang w:val="es-ES_tradnl"/>
        </w:rPr>
        <w:t>del estado más pobre</w:t>
      </w:r>
      <w:r>
        <w:rPr>
          <w:lang w:val="es-ES_tradnl"/>
        </w:rPr>
        <w:t>, lo que</w:t>
      </w:r>
      <w:r w:rsidRPr="00583822">
        <w:rPr>
          <w:lang w:val="es-ES_tradnl"/>
        </w:rPr>
        <w:t xml:space="preserve"> dif</w:t>
      </w:r>
      <w:r>
        <w:rPr>
          <w:lang w:val="es-ES_tradnl"/>
        </w:rPr>
        <w:t>iculta</w:t>
      </w:r>
      <w:r w:rsidRPr="00583822">
        <w:rPr>
          <w:lang w:val="es-ES_tradnl"/>
        </w:rPr>
        <w:t xml:space="preserve"> cualquier comparación. Sin embargo, podemos especular que el ELA ya impone a la ciudadanía cerca del máximo de tributo permisible bajo cualquier fórmula política, y que un aumento en tributación federal conllevaría por necesidad una reducción comparable en los impuestos recaudados por el ELA.</w:t>
      </w:r>
    </w:p>
    <w:p w:rsidR="005A5E7D" w:rsidRPr="00583822" w:rsidRDefault="005A5E7D" w:rsidP="005A5E7D">
      <w:pPr>
        <w:rPr>
          <w:lang w:val="es-ES_tradnl"/>
        </w:rPr>
      </w:pPr>
      <w:r w:rsidRPr="00583822">
        <w:rPr>
          <w:lang w:val="es-ES_tradnl"/>
        </w:rPr>
        <w:t xml:space="preserve">Bajo el escenario de la independencia, el Congreso crearía un fondo donde se centralizarían todas las transferencias actuales al ELA. E1 </w:t>
      </w:r>
      <w:r>
        <w:rPr>
          <w:lang w:val="es-ES_tradnl"/>
        </w:rPr>
        <w:t>Gobierno</w:t>
      </w:r>
      <w:r w:rsidRPr="00583822">
        <w:rPr>
          <w:lang w:val="es-ES_tradnl"/>
        </w:rPr>
        <w:t xml:space="preserve"> de la </w:t>
      </w:r>
      <w:r>
        <w:rPr>
          <w:lang w:val="es-ES_tradnl"/>
        </w:rPr>
        <w:t>r</w:t>
      </w:r>
      <w:r w:rsidRPr="00583822">
        <w:rPr>
          <w:lang w:val="es-ES_tradnl"/>
        </w:rPr>
        <w:t>epública podría dispo</w:t>
      </w:r>
      <w:r>
        <w:rPr>
          <w:lang w:val="es-ES_tradnl"/>
        </w:rPr>
        <w:t>ner de estos fondos de acuerdo con</w:t>
      </w:r>
      <w:r w:rsidRPr="00583822">
        <w:rPr>
          <w:lang w:val="es-ES_tradnl"/>
        </w:rPr>
        <w:t xml:space="preserve"> su programa de gobierno. Estos fondos permanecerían fijos por un período de nueve años. El estudio </w:t>
      </w:r>
      <w:r>
        <w:rPr>
          <w:lang w:val="es-ES_tradnl"/>
        </w:rPr>
        <w:t xml:space="preserve">de </w:t>
      </w:r>
      <w:r w:rsidRPr="00004049">
        <w:rPr>
          <w:lang w:val="es-ES_tradnl"/>
        </w:rPr>
        <w:t xml:space="preserve">Ángel Ruiz y Edwin Meléndez (1998) </w:t>
      </w:r>
      <w:r w:rsidRPr="00583822">
        <w:rPr>
          <w:lang w:val="es-ES_tradnl"/>
        </w:rPr>
        <w:t xml:space="preserve">adoptó el punto de vista de que bajo el ELA “se continuarán extendiendo las transferencias aunque con algunas restricciones; que en el escenario de la independencia se establecerá un fondo especial por un período de nueve años”. </w:t>
      </w:r>
    </w:p>
    <w:p w:rsidR="005A5E7D" w:rsidRPr="001232FA" w:rsidRDefault="005A5E7D" w:rsidP="005A5E7D">
      <w:pPr>
        <w:spacing w:line="240" w:lineRule="auto"/>
        <w:rPr>
          <w:sz w:val="20"/>
          <w:lang w:val="es-ES_tradnl"/>
        </w:rPr>
      </w:pPr>
    </w:p>
    <w:p w:rsidR="005A5E7D" w:rsidRPr="00583822" w:rsidRDefault="005A5E7D" w:rsidP="005A5E7D">
      <w:pPr>
        <w:pStyle w:val="Heading2"/>
        <w:ind w:left="426" w:hanging="426"/>
      </w:pPr>
      <w:bookmarkStart w:id="29" w:name="_Toc384769731"/>
      <w:r w:rsidRPr="00583822">
        <w:t>Cuantificación de</w:t>
      </w:r>
      <w:r>
        <w:t xml:space="preserve"> i</w:t>
      </w:r>
      <w:r w:rsidRPr="00583822">
        <w:t>mpactos</w:t>
      </w:r>
      <w:bookmarkEnd w:id="29"/>
    </w:p>
    <w:p w:rsidR="005A5E7D" w:rsidRDefault="005A5E7D" w:rsidP="005A5E7D">
      <w:pPr>
        <w:pStyle w:val="Heading2"/>
        <w:numPr>
          <w:ilvl w:val="0"/>
          <w:numId w:val="0"/>
        </w:numPr>
        <w:ind w:left="360"/>
      </w:pPr>
    </w:p>
    <w:p w:rsidR="005A5E7D" w:rsidRDefault="005A5E7D" w:rsidP="005A5E7D">
      <w:pPr>
        <w:rPr>
          <w:lang w:val="es-ES_tradnl"/>
        </w:rPr>
      </w:pPr>
      <w:r w:rsidRPr="005B5FEE">
        <w:t xml:space="preserve">En la literatura revisada existen algunos trabajos que ofrecen estimados sobre el posible costo a Estados Unidos de concedérsele a Puerto Rico igualdad en los programas de asistencia </w:t>
      </w:r>
      <w:r>
        <w:t>federal. Uno de los estudios má</w:t>
      </w:r>
      <w:r w:rsidRPr="005B5FEE">
        <w:t>s importantes es el de Keifer (Keifer, Donald W., 1977)</w:t>
      </w:r>
      <w:r>
        <w:t>, basado</w:t>
      </w:r>
      <w:r w:rsidRPr="005B5FEE">
        <w:t xml:space="preserve"> en datos </w:t>
      </w:r>
      <w:r>
        <w:t xml:space="preserve">de 1975. </w:t>
      </w:r>
      <w:r w:rsidRPr="003C298E">
        <w:rPr>
          <w:lang w:val="es-ES_tradnl"/>
        </w:rPr>
        <w:t>Según este autor</w:t>
      </w:r>
      <w:r>
        <w:rPr>
          <w:lang w:val="es-ES_tradnl"/>
        </w:rPr>
        <w:t>, el único</w:t>
      </w:r>
      <w:r w:rsidRPr="003C298E">
        <w:rPr>
          <w:lang w:val="es-ES_tradnl"/>
        </w:rPr>
        <w:t xml:space="preserve"> de los reseñados que trata los impactos de la estadidad</w:t>
      </w:r>
      <w:r w:rsidRPr="003C298E">
        <w:t xml:space="preserve"> </w:t>
      </w:r>
      <w:r w:rsidRPr="003C298E">
        <w:rPr>
          <w:lang w:val="es-ES_tradnl"/>
        </w:rPr>
        <w:t>sobre la distribución del ingreso</w:t>
      </w:r>
      <w:r>
        <w:rPr>
          <w:lang w:val="es-ES_tradnl"/>
        </w:rPr>
        <w:t>:</w:t>
      </w:r>
    </w:p>
    <w:p w:rsidR="005A5E7D" w:rsidRPr="005300BC" w:rsidRDefault="005A5E7D" w:rsidP="005A5E7D">
      <w:pPr>
        <w:widowControl w:val="0"/>
        <w:autoSpaceDE w:val="0"/>
        <w:autoSpaceDN w:val="0"/>
        <w:spacing w:line="240" w:lineRule="auto"/>
        <w:ind w:left="720" w:firstLine="0"/>
        <w:rPr>
          <w:rFonts w:eastAsia="Times New Roman"/>
          <w:szCs w:val="24"/>
        </w:rPr>
      </w:pPr>
      <w:r w:rsidRPr="003C298E">
        <w:rPr>
          <w:lang w:val="es-ES_tradnl"/>
        </w:rPr>
        <w:t>“</w:t>
      </w:r>
      <w:r>
        <w:rPr>
          <w:lang w:val="es-ES_tradnl"/>
        </w:rPr>
        <w:t>E</w:t>
      </w:r>
      <w:r w:rsidRPr="003C298E">
        <w:rPr>
          <w:lang w:val="es-ES_tradnl"/>
        </w:rPr>
        <w:t>l presente análisis revela dos preocupaciones sobre políticas que resultarían de un completo trato fiscal como Estado a Puerto Rico: 1) mientras los sectores individual y gubernamental de la economía puertorriqueña, en balance, ganarían tanto por el aumento en transferencias federales como perderían por el aumento en impuestos federales, la distribución de ganancias versus pérdidas causaría una redistribución del  ingreso personal de grupos de alto ingreso a grupos de bajo ingreso y puede forzar la reordenación de programas de gastos del gobierno, y 2) el tema más crucial para la viabilidad de la economía bajo trato fiscal completo como Estado es la reacción del sector empresarial  a la pérdida de su total exención contributiva en sus operaciones puertorriqueñas. Estos dos ámbitos políticos requieren de mayor estudio antes de que los efectos económicos de un completo trato fiscal como Estado puedan ser completamente entendidos</w:t>
      </w:r>
      <w:r>
        <w:rPr>
          <w:lang w:val="es-ES_tradnl"/>
        </w:rPr>
        <w:t>”</w:t>
      </w:r>
      <w:r w:rsidRPr="003C298E">
        <w:rPr>
          <w:lang w:val="es-ES_tradnl"/>
        </w:rPr>
        <w:t>.</w:t>
      </w:r>
      <w:r w:rsidRPr="005300BC">
        <w:rPr>
          <w:rFonts w:eastAsia="Times New Roman"/>
          <w:szCs w:val="24"/>
        </w:rPr>
        <w:t xml:space="preserve"> </w:t>
      </w:r>
    </w:p>
    <w:p w:rsidR="005A5E7D" w:rsidRPr="003C298E" w:rsidRDefault="005A5E7D" w:rsidP="005A5E7D">
      <w:pPr>
        <w:spacing w:line="360" w:lineRule="auto"/>
      </w:pPr>
    </w:p>
    <w:p w:rsidR="005A5E7D" w:rsidRDefault="005A5E7D" w:rsidP="005A5E7D">
      <w:r>
        <w:t>E</w:t>
      </w:r>
      <w:r w:rsidRPr="005B5FEE">
        <w:t>n su estudio del 1990 (</w:t>
      </w:r>
      <w:r>
        <w:t>CBO</w:t>
      </w:r>
      <w:r w:rsidRPr="005B5FEE">
        <w:t>, 1990)</w:t>
      </w:r>
      <w:r>
        <w:t xml:space="preserve">, la Oficina de Presupuesto del Congreso </w:t>
      </w:r>
      <w:r w:rsidRPr="005B5FEE">
        <w:t>también realizó estimados</w:t>
      </w:r>
      <w:r>
        <w:t xml:space="preserve"> relacionados con</w:t>
      </w:r>
      <w:r w:rsidRPr="005B5FEE">
        <w:t xml:space="preserve"> este tema. En el estudio </w:t>
      </w:r>
      <w:r>
        <w:t>d</w:t>
      </w:r>
      <w:r w:rsidRPr="005B5FEE">
        <w:t>el 1987 se estim</w:t>
      </w:r>
      <w:r>
        <w:t>ó</w:t>
      </w:r>
      <w:r w:rsidRPr="005B5FEE">
        <w:t xml:space="preserve"> que la paridad en estos programas le costaría a Estados Unidos </w:t>
      </w:r>
      <w:r>
        <w:t>$1,000 millon</w:t>
      </w:r>
      <w:r w:rsidRPr="005B5FEE">
        <w:t>es, lo que para ese año (1983) hubiese significado un 30% del total de las transferencias netas recibidas por Puerto Rico. En el estudio del 1990 (</w:t>
      </w:r>
      <w:r>
        <w:t>CB</w:t>
      </w:r>
      <w:r w:rsidRPr="005B5FEE">
        <w:t>O, 1990</w:t>
      </w:r>
      <w:r>
        <w:t>, 14), esta oficina estimó que</w:t>
      </w:r>
      <w:r w:rsidRPr="005B5FEE">
        <w:t xml:space="preserve"> </w:t>
      </w:r>
      <w:r w:rsidRPr="008B456C">
        <w:t>—</w:t>
      </w:r>
      <w:r w:rsidRPr="005B5FEE">
        <w:t>en ausencia de cambios</w:t>
      </w:r>
      <w:r>
        <w:t xml:space="preserve"> en el comportamiento económico</w:t>
      </w:r>
      <w:r w:rsidRPr="008B456C">
        <w:t>—</w:t>
      </w:r>
      <w:r w:rsidRPr="005B5FEE">
        <w:t xml:space="preserve"> los pagos efectuados por Estados Unidos a Puerto Rico relacionados </w:t>
      </w:r>
      <w:r>
        <w:t>con</w:t>
      </w:r>
      <w:r w:rsidRPr="005B5FEE">
        <w:t xml:space="preserve"> los pagos de transf</w:t>
      </w:r>
      <w:r>
        <w:t>erencias netas aumentarían a $1,</w:t>
      </w:r>
      <w:r w:rsidRPr="005B5FEE">
        <w:t>7</w:t>
      </w:r>
      <w:r>
        <w:t>00 m</w:t>
      </w:r>
      <w:r w:rsidRPr="005B5FEE">
        <w:t>illones en el año fiscal 1992 y a $3</w:t>
      </w:r>
      <w:r>
        <w:t>,000 millones en 1995.</w:t>
      </w:r>
    </w:p>
    <w:p w:rsidR="005A5E7D" w:rsidRDefault="005A5E7D" w:rsidP="005A5E7D">
      <w:r w:rsidRPr="005B5FEE">
        <w:t>En términos del presupuesto federal</w:t>
      </w:r>
      <w:r>
        <w:t>,</w:t>
      </w:r>
      <w:r w:rsidRPr="005B5FEE">
        <w:t xml:space="preserve"> estos pagos podrían compensa</w:t>
      </w:r>
      <w:r>
        <w:t>rse</w:t>
      </w:r>
      <w:r w:rsidRPr="005B5FEE">
        <w:t xml:space="preserve"> parcialmente por los impuestos recibidos de Puerto Rico y por las corporaciones de Estados Unidos</w:t>
      </w:r>
      <w:r>
        <w:t>,</w:t>
      </w:r>
      <w:r w:rsidRPr="005B5FEE">
        <w:t xml:space="preserve"> como resultado de la pérdida de lo</w:t>
      </w:r>
      <w:r>
        <w:t>s beneficios recibidos bajo la S</w:t>
      </w:r>
      <w:r w:rsidRPr="005B5FEE">
        <w:t>ección 936</w:t>
      </w:r>
      <w:r>
        <w:t>.</w:t>
      </w:r>
      <w:r>
        <w:rPr>
          <w:rStyle w:val="FootnoteReference"/>
        </w:rPr>
        <w:footnoteReference w:id="14"/>
      </w:r>
      <w:r>
        <w:t xml:space="preserve"> También se especifica </w:t>
      </w:r>
      <w:r w:rsidRPr="008B456C">
        <w:t>—</w:t>
      </w:r>
      <w:r w:rsidRPr="005B5FEE">
        <w:t xml:space="preserve">aunque </w:t>
      </w:r>
      <w:r>
        <w:t>la GAO no lo estudia en su trabajo</w:t>
      </w:r>
      <w:r w:rsidRPr="008B456C">
        <w:t>—</w:t>
      </w:r>
      <w:r w:rsidRPr="005B5FEE">
        <w:t xml:space="preserve"> que </w:t>
      </w:r>
      <w:r>
        <w:t xml:space="preserve">varios elementos </w:t>
      </w:r>
      <w:r w:rsidRPr="005B5FEE">
        <w:t>podría</w:t>
      </w:r>
      <w:r>
        <w:t>n</w:t>
      </w:r>
      <w:r w:rsidRPr="005B5FEE">
        <w:t xml:space="preserve"> reducir el incentivo al trabajo</w:t>
      </w:r>
      <w:r>
        <w:t>, tales como</w:t>
      </w:r>
      <w:r w:rsidRPr="005B5FEE">
        <w:t xml:space="preserve"> aumentos en fondos para pr</w:t>
      </w:r>
      <w:r>
        <w:t>ogramas de bienestar social y en</w:t>
      </w:r>
      <w:r w:rsidRPr="005B5FEE">
        <w:t xml:space="preserve"> tasas marginales de impuestos</w:t>
      </w:r>
      <w:r>
        <w:t>,</w:t>
      </w:r>
      <w:r w:rsidRPr="005B5FEE">
        <w:t xml:space="preserve"> </w:t>
      </w:r>
      <w:r>
        <w:t>y</w:t>
      </w:r>
      <w:r w:rsidRPr="005B5FEE">
        <w:t xml:space="preserve"> a</w:t>
      </w:r>
      <w:r>
        <w:t xml:space="preserve"> que </w:t>
      </w:r>
      <w:r w:rsidRPr="005B5FEE">
        <w:t xml:space="preserve">migrantes potenciales </w:t>
      </w:r>
      <w:r>
        <w:t>podrían</w:t>
      </w:r>
      <w:r w:rsidRPr="005B5FEE">
        <w:t xml:space="preserve"> permanece</w:t>
      </w:r>
      <w:r>
        <w:t>r en la I</w:t>
      </w:r>
      <w:r w:rsidRPr="005B5FEE">
        <w:t>sla</w:t>
      </w:r>
      <w:r>
        <w:t>,</w:t>
      </w:r>
      <w:r w:rsidRPr="005B5FEE">
        <w:t xml:space="preserve"> en vez de emigrar a Estado</w:t>
      </w:r>
      <w:r>
        <w:t>s Unidos (GAO, 1990, 15).</w:t>
      </w:r>
    </w:p>
    <w:p w:rsidR="005A5E7D" w:rsidRPr="005B5FEE" w:rsidRDefault="005A5E7D" w:rsidP="005A5E7D">
      <w:r w:rsidRPr="005B5FEE">
        <w:t xml:space="preserve">Otra implicación de la estadidad bajo el S. 917, según este estudio, </w:t>
      </w:r>
      <w:r>
        <w:t xml:space="preserve">es que </w:t>
      </w:r>
      <w:r w:rsidRPr="005B5FEE">
        <w:t xml:space="preserve">el aumento en </w:t>
      </w:r>
      <w:r>
        <w:t xml:space="preserve">las </w:t>
      </w:r>
      <w:r w:rsidRPr="005B5FEE">
        <w:t xml:space="preserve">transferencias netas a Puerto Rico excedería el aumento en el pago de impuestos de residentes y corporaciones </w:t>
      </w:r>
      <w:r>
        <w:t>de la Isla</w:t>
      </w:r>
      <w:r w:rsidRPr="005B5FEE">
        <w:t xml:space="preserve"> recibidos por Estados Unidos</w:t>
      </w:r>
      <w:r>
        <w:t>. P</w:t>
      </w:r>
      <w:r w:rsidRPr="005B5FEE">
        <w:t>or el contrario</w:t>
      </w:r>
      <w:r>
        <w:t>,</w:t>
      </w:r>
      <w:r w:rsidRPr="005B5FEE">
        <w:t xml:space="preserve"> </w:t>
      </w:r>
      <w:r>
        <w:t xml:space="preserve">Hexner </w:t>
      </w:r>
      <w:r w:rsidRPr="005B5FEE">
        <w:t>argument</w:t>
      </w:r>
      <w:r>
        <w:t>ó que el concepto d</w:t>
      </w:r>
      <w:r w:rsidRPr="005B5FEE">
        <w:t xml:space="preserve">e </w:t>
      </w:r>
      <w:r>
        <w:t>la</w:t>
      </w:r>
      <w:r w:rsidRPr="005B5FEE">
        <w:t xml:space="preserve"> CBO </w:t>
      </w:r>
      <w:r>
        <w:t>sobr</w:t>
      </w:r>
      <w:r w:rsidRPr="005B5FEE">
        <w:t>e la economía de Puert</w:t>
      </w:r>
      <w:r>
        <w:t>o Rico bajo la estadidad se basó,</w:t>
      </w:r>
      <w:r w:rsidRPr="005B5FEE">
        <w:t xml:space="preserve"> primeramente</w:t>
      </w:r>
      <w:r>
        <w:t>,</w:t>
      </w:r>
      <w:r w:rsidRPr="005B5FEE">
        <w:t xml:space="preserve"> en la eliminación de l</w:t>
      </w:r>
      <w:r>
        <w:t>os beneficios otorgados a la fir</w:t>
      </w:r>
      <w:r w:rsidRPr="005B5FEE">
        <w:t xml:space="preserve">mas 936 y </w:t>
      </w:r>
      <w:r>
        <w:t>en</w:t>
      </w:r>
      <w:r w:rsidRPr="005B5FEE">
        <w:t xml:space="preserve"> los cambios en las transferencias federales a la</w:t>
      </w:r>
      <w:r>
        <w:t xml:space="preserve"> I</w:t>
      </w:r>
      <w:r w:rsidRPr="005B5FEE">
        <w:t xml:space="preserve">sla (T. Hexner y G. Jenkins, 1993). </w:t>
      </w:r>
      <w:r>
        <w:t>S</w:t>
      </w:r>
      <w:r w:rsidRPr="005B5FEE">
        <w:t>egún expresa</w:t>
      </w:r>
      <w:r>
        <w:t>do</w:t>
      </w:r>
      <w:r w:rsidRPr="005B5FEE">
        <w:t xml:space="preserve"> ante</w:t>
      </w:r>
      <w:r>
        <w:t>s, para este autor</w:t>
      </w:r>
      <w:r w:rsidRPr="005B5FEE">
        <w:t xml:space="preserve"> los supuestos qu</w:t>
      </w:r>
      <w:r>
        <w:t>e respaldan las proyecciones de la</w:t>
      </w:r>
      <w:r w:rsidRPr="005B5FEE">
        <w:t xml:space="preserve"> CBO “son irreales en vari</w:t>
      </w:r>
      <w:r>
        <w:t>o</w:t>
      </w:r>
      <w:r w:rsidRPr="005B5FEE">
        <w:t>s de los supuestos claves”. El estudio concluy</w:t>
      </w:r>
      <w:r>
        <w:t>ó</w:t>
      </w:r>
      <w:r w:rsidRPr="005B5FEE">
        <w:t xml:space="preserve"> que las áreas económicas que consideraron </w:t>
      </w:r>
      <w:r>
        <w:t xml:space="preserve">que se </w:t>
      </w:r>
      <w:r w:rsidRPr="005B5FEE">
        <w:t>afectarían</w:t>
      </w:r>
      <w:r>
        <w:t xml:space="preserve"> </w:t>
      </w:r>
      <w:r w:rsidRPr="005B5FEE">
        <w:t xml:space="preserve">más con cada cambio político propuesto ante el Congreso de Estados Unidos </w:t>
      </w:r>
      <w:r>
        <w:t>fueron</w:t>
      </w:r>
      <w:r w:rsidRPr="005B5FEE">
        <w:t xml:space="preserve"> el crédito contributivo extendido por la Sección 936 del Códi</w:t>
      </w:r>
      <w:r>
        <w:t>go de Rentas Internas federal</w:t>
      </w:r>
      <w:r w:rsidRPr="005B5FEE">
        <w:t>; los impuestos y las transferencias federales al ELA y a las personas; la migración; y el impacto de estos cambios en la economía de Estados Unidos.</w:t>
      </w:r>
    </w:p>
    <w:p w:rsidR="005A5E7D" w:rsidRPr="00583822" w:rsidRDefault="005A5E7D" w:rsidP="005A5E7D">
      <w:pPr>
        <w:rPr>
          <w:lang w:val="es-ES_tradnl"/>
        </w:rPr>
      </w:pPr>
      <w:r w:rsidRPr="00583822">
        <w:rPr>
          <w:lang w:val="es-ES_tradnl"/>
        </w:rPr>
        <w:t>Mucho del debate sobre el modelo de desarrollo ha girado en torno al costo-benefici</w:t>
      </w:r>
      <w:r>
        <w:rPr>
          <w:lang w:val="es-ES_tradnl"/>
        </w:rPr>
        <w:t>o de las alternativas políticas</w:t>
      </w:r>
      <w:r w:rsidRPr="00583822">
        <w:rPr>
          <w:lang w:val="es-ES_tradnl"/>
        </w:rPr>
        <w:t xml:space="preserve"> y la exención contributiva federal como eje de la políticas de promoción industrial. Sin embargo, este estudio demuestra que ninguna de las </w:t>
      </w:r>
      <w:r>
        <w:rPr>
          <w:lang w:val="es-ES_tradnl"/>
        </w:rPr>
        <w:t>fórmulas goza de una ventaja su</w:t>
      </w:r>
      <w:r w:rsidRPr="00583822">
        <w:rPr>
          <w:lang w:val="es-ES_tradnl"/>
        </w:rPr>
        <w:t>stancial sobre las otras, y que cualquier percepción de tal ventaja realmente depende de los supuestos que soslayan el análisis. E1 impacto relativo de cada fórmula depend</w:t>
      </w:r>
      <w:r>
        <w:rPr>
          <w:lang w:val="es-ES_tradnl"/>
        </w:rPr>
        <w:t>e de, entre otros, los supuestos sobre</w:t>
      </w:r>
      <w:r w:rsidRPr="00583822">
        <w:rPr>
          <w:lang w:val="es-ES_tradnl"/>
        </w:rPr>
        <w:t xml:space="preserve"> las transferencias y contribuciones federales, </w:t>
      </w:r>
      <w:r>
        <w:rPr>
          <w:lang w:val="es-ES_tradnl"/>
        </w:rPr>
        <w:t xml:space="preserve">el </w:t>
      </w:r>
      <w:r w:rsidRPr="00583822">
        <w:rPr>
          <w:lang w:val="es-ES_tradnl"/>
        </w:rPr>
        <w:t xml:space="preserve">margen de relocalización de firmas 936 y las políticas públicas compensatorias del </w:t>
      </w:r>
      <w:r>
        <w:rPr>
          <w:lang w:val="es-ES_tradnl"/>
        </w:rPr>
        <w:t>Gobierno</w:t>
      </w:r>
      <w:r w:rsidRPr="00583822">
        <w:rPr>
          <w:lang w:val="es-ES_tradnl"/>
        </w:rPr>
        <w:t xml:space="preserve"> de Puerto Rico.</w:t>
      </w:r>
    </w:p>
    <w:p w:rsidR="005A5E7D" w:rsidRDefault="005A5E7D" w:rsidP="005A5E7D">
      <w:pPr>
        <w:spacing w:line="240" w:lineRule="auto"/>
        <w:rPr>
          <w:b/>
          <w:sz w:val="28"/>
          <w:lang w:val="es-ES_tradnl"/>
        </w:rPr>
      </w:pPr>
    </w:p>
    <w:p w:rsidR="005A5E7D" w:rsidRPr="00C06F5C" w:rsidRDefault="005A5E7D" w:rsidP="005A5E7D">
      <w:pPr>
        <w:pStyle w:val="Heading2"/>
        <w:ind w:left="426" w:hanging="426"/>
      </w:pPr>
      <w:bookmarkStart w:id="30" w:name="_Toc384769732"/>
      <w:r>
        <w:t>Desarrollo econó</w:t>
      </w:r>
      <w:r w:rsidRPr="00C06F5C">
        <w:t>mico</w:t>
      </w:r>
      <w:bookmarkEnd w:id="30"/>
    </w:p>
    <w:p w:rsidR="005A5E7D" w:rsidRDefault="005A5E7D" w:rsidP="005A5E7D">
      <w:pPr>
        <w:spacing w:line="360" w:lineRule="auto"/>
        <w:rPr>
          <w:lang w:val="es-ES_tradnl"/>
        </w:rPr>
      </w:pPr>
    </w:p>
    <w:p w:rsidR="005A5E7D" w:rsidRPr="00C06F5C" w:rsidRDefault="005A5E7D" w:rsidP="005A5E7D">
      <w:pPr>
        <w:rPr>
          <w:lang w:val="es-ES_tradnl"/>
        </w:rPr>
      </w:pPr>
      <w:r w:rsidRPr="00C06F5C">
        <w:rPr>
          <w:lang w:val="es-ES_tradnl"/>
        </w:rPr>
        <w:t>El desarrollo económico es uno de los temas predominantes</w:t>
      </w:r>
      <w:r>
        <w:rPr>
          <w:lang w:val="es-ES_tradnl"/>
        </w:rPr>
        <w:t xml:space="preserve"> e</w:t>
      </w:r>
      <w:r w:rsidRPr="00C06F5C">
        <w:rPr>
          <w:lang w:val="es-ES_tradnl"/>
        </w:rPr>
        <w:t>n prácticamente todos los artículos y libros analizados. En la década del 1950 al 1960</w:t>
      </w:r>
      <w:r>
        <w:rPr>
          <w:lang w:val="es-ES_tradnl"/>
        </w:rPr>
        <w:t>,</w:t>
      </w:r>
      <w:r w:rsidRPr="00C06F5C">
        <w:rPr>
          <w:lang w:val="es-ES_tradnl"/>
        </w:rPr>
        <w:t xml:space="preserve"> el ELA proveyó un contexto político para la expansión industrial y urbana del país. Los elementos esenciales del modelo de desarrollo que prevaleció durante las dos décadas siguientes</w:t>
      </w:r>
      <w:r>
        <w:rPr>
          <w:lang w:val="es-ES_tradnl"/>
        </w:rPr>
        <w:t xml:space="preserve"> </w:t>
      </w:r>
      <w:r w:rsidRPr="00C06F5C">
        <w:rPr>
          <w:lang w:val="es-ES_tradnl"/>
        </w:rPr>
        <w:t xml:space="preserve">—mejor conocido como </w:t>
      </w:r>
      <w:r>
        <w:rPr>
          <w:lang w:val="es-ES_tradnl"/>
        </w:rPr>
        <w:t>“</w:t>
      </w:r>
      <w:r w:rsidRPr="00C06F5C">
        <w:rPr>
          <w:lang w:val="es-ES_tradnl"/>
        </w:rPr>
        <w:t>Operación Manos a la Obra</w:t>
      </w:r>
      <w:r>
        <w:rPr>
          <w:lang w:val="es-ES_tradnl"/>
        </w:rPr>
        <w:t>”</w:t>
      </w:r>
      <w:r w:rsidRPr="00C06F5C">
        <w:rPr>
          <w:lang w:val="es-ES_tradnl"/>
        </w:rPr>
        <w:t>—</w:t>
      </w:r>
      <w:r>
        <w:rPr>
          <w:lang w:val="es-ES_tradnl"/>
        </w:rPr>
        <w:t xml:space="preserve"> fueron la abundancia </w:t>
      </w:r>
      <w:r w:rsidRPr="00C06F5C">
        <w:rPr>
          <w:lang w:val="es-ES_tradnl"/>
        </w:rPr>
        <w:t>de mano de obra diestra y barata, la inversión de capital extranjero, el incremento en las exportaciones a Estados Unidos, así como una variedad de subsidios gubernamentales a los inversionistas (Ruiz y Meléndez</w:t>
      </w:r>
      <w:r>
        <w:rPr>
          <w:lang w:val="es-ES_tradnl"/>
        </w:rPr>
        <w:t>,</w:t>
      </w:r>
      <w:r w:rsidRPr="00C06F5C">
        <w:rPr>
          <w:lang w:val="es-ES_tradnl"/>
        </w:rPr>
        <w:t xml:space="preserve"> 1998).</w:t>
      </w:r>
    </w:p>
    <w:p w:rsidR="005A5E7D" w:rsidRPr="00C06F5C" w:rsidRDefault="005A5E7D" w:rsidP="005A5E7D">
      <w:pPr>
        <w:rPr>
          <w:lang w:val="es-ES_tradnl"/>
        </w:rPr>
      </w:pPr>
      <w:r w:rsidRPr="00C06F5C">
        <w:rPr>
          <w:lang w:val="es-ES_tradnl"/>
        </w:rPr>
        <w:t>La estabilidad económica y política de los años cincuenta y sesenta contribuye</w:t>
      </w:r>
      <w:r>
        <w:rPr>
          <w:lang w:val="es-ES_tradnl"/>
        </w:rPr>
        <w:t>ron,</w:t>
      </w:r>
      <w:r w:rsidRPr="00C06F5C">
        <w:rPr>
          <w:lang w:val="es-ES_tradnl"/>
        </w:rPr>
        <w:t xml:space="preserve"> en gran medida</w:t>
      </w:r>
      <w:r>
        <w:rPr>
          <w:lang w:val="es-ES_tradnl"/>
        </w:rPr>
        <w:t>,</w:t>
      </w:r>
      <w:r w:rsidRPr="00C06F5C">
        <w:rPr>
          <w:lang w:val="es-ES_tradnl"/>
        </w:rPr>
        <w:t xml:space="preserve"> a restarle importancia al t</w:t>
      </w:r>
      <w:r>
        <w:rPr>
          <w:lang w:val="es-ES_tradnl"/>
        </w:rPr>
        <w:t>ema</w:t>
      </w:r>
      <w:r w:rsidRPr="00C06F5C">
        <w:rPr>
          <w:lang w:val="es-ES_tradnl"/>
        </w:rPr>
        <w:t xml:space="preserve"> del </w:t>
      </w:r>
      <w:r>
        <w:rPr>
          <w:lang w:val="es-ES_tradnl"/>
        </w:rPr>
        <w:t>estatus</w:t>
      </w:r>
      <w:r w:rsidRPr="00C06F5C">
        <w:rPr>
          <w:lang w:val="es-ES_tradnl"/>
        </w:rPr>
        <w:t xml:space="preserve"> político. Sin embargo, es precisamente para finales de la década del sesenta cuando comienza a hacerse evidente el desgaste en los pilares que sostuvieron la expansión económica y la estabilidad política durante las décadas anteriores. Los costos de producción</w:t>
      </w:r>
      <w:r>
        <w:rPr>
          <w:lang w:val="es-ES_tradnl"/>
        </w:rPr>
        <w:t xml:space="preserve"> </w:t>
      </w:r>
      <w:r w:rsidRPr="00C06F5C">
        <w:rPr>
          <w:lang w:val="es-ES_tradnl"/>
        </w:rPr>
        <w:t>—particularmente los costos de energía eléctrica y mano de obra—</w:t>
      </w:r>
      <w:r>
        <w:rPr>
          <w:lang w:val="es-ES_tradnl"/>
        </w:rPr>
        <w:t xml:space="preserve"> </w:t>
      </w:r>
      <w:r w:rsidRPr="00C06F5C">
        <w:rPr>
          <w:lang w:val="es-ES_tradnl"/>
        </w:rPr>
        <w:t>aumenta</w:t>
      </w:r>
      <w:r>
        <w:rPr>
          <w:lang w:val="es-ES_tradnl"/>
        </w:rPr>
        <w:t>ro</w:t>
      </w:r>
      <w:r w:rsidRPr="00C06F5C">
        <w:rPr>
          <w:lang w:val="es-ES_tradnl"/>
        </w:rPr>
        <w:t xml:space="preserve">n </w:t>
      </w:r>
      <w:r>
        <w:rPr>
          <w:lang w:val="es-ES_tradnl"/>
        </w:rPr>
        <w:t>rápidamente,</w:t>
      </w:r>
      <w:r w:rsidRPr="00C06F5C">
        <w:rPr>
          <w:lang w:val="es-ES_tradnl"/>
        </w:rPr>
        <w:t xml:space="preserve"> en comparación </w:t>
      </w:r>
      <w:r>
        <w:rPr>
          <w:lang w:val="es-ES_tradnl"/>
        </w:rPr>
        <w:t xml:space="preserve">con </w:t>
      </w:r>
      <w:r w:rsidRPr="00C06F5C">
        <w:rPr>
          <w:lang w:val="es-ES_tradnl"/>
        </w:rPr>
        <w:t>otros países en vías de desarrollo. Los inv</w:t>
      </w:r>
      <w:r>
        <w:rPr>
          <w:lang w:val="es-ES_tradnl"/>
        </w:rPr>
        <w:t>ersionistas norteamericanos com</w:t>
      </w:r>
      <w:r w:rsidRPr="00C06F5C">
        <w:rPr>
          <w:lang w:val="es-ES_tradnl"/>
        </w:rPr>
        <w:t>enza</w:t>
      </w:r>
      <w:r>
        <w:rPr>
          <w:lang w:val="es-ES_tradnl"/>
        </w:rPr>
        <w:t>ro</w:t>
      </w:r>
      <w:r w:rsidRPr="00C06F5C">
        <w:rPr>
          <w:lang w:val="es-ES_tradnl"/>
        </w:rPr>
        <w:t xml:space="preserve">n a favorecer otros países desarrollados </w:t>
      </w:r>
      <w:r>
        <w:rPr>
          <w:lang w:val="es-ES_tradnl"/>
        </w:rPr>
        <w:t>en</w:t>
      </w:r>
      <w:r w:rsidRPr="00C06F5C">
        <w:rPr>
          <w:lang w:val="es-ES_tradnl"/>
        </w:rPr>
        <w:t xml:space="preserve"> menoscabo de los países en desarrollo. </w:t>
      </w:r>
      <w:r>
        <w:rPr>
          <w:lang w:val="es-ES_tradnl"/>
        </w:rPr>
        <w:t>S</w:t>
      </w:r>
      <w:r w:rsidRPr="00C06F5C">
        <w:rPr>
          <w:lang w:val="es-ES_tradnl"/>
        </w:rPr>
        <w:t>e intensific</w:t>
      </w:r>
      <w:r>
        <w:rPr>
          <w:lang w:val="es-ES_tradnl"/>
        </w:rPr>
        <w:t>ó</w:t>
      </w:r>
      <w:r w:rsidRPr="00C06F5C">
        <w:rPr>
          <w:lang w:val="es-ES_tradnl"/>
        </w:rPr>
        <w:t xml:space="preserve"> </w:t>
      </w:r>
      <w:r>
        <w:rPr>
          <w:lang w:val="es-ES_tradnl"/>
        </w:rPr>
        <w:t>l</w:t>
      </w:r>
      <w:r w:rsidRPr="00C06F5C">
        <w:rPr>
          <w:lang w:val="es-ES_tradnl"/>
        </w:rPr>
        <w:t xml:space="preserve">a competencia en los mercados globales, particularmente en </w:t>
      </w:r>
      <w:r>
        <w:rPr>
          <w:lang w:val="es-ES_tradnl"/>
        </w:rPr>
        <w:t>Estados Unidos</w:t>
      </w:r>
      <w:r w:rsidRPr="00C06F5C">
        <w:rPr>
          <w:lang w:val="es-ES_tradnl"/>
        </w:rPr>
        <w:t>. Además, el crecimiento de la deu</w:t>
      </w:r>
      <w:r>
        <w:rPr>
          <w:lang w:val="es-ES_tradnl"/>
        </w:rPr>
        <w:t>da pública puertorriqueña limitó</w:t>
      </w:r>
      <w:r w:rsidRPr="00C06F5C">
        <w:rPr>
          <w:lang w:val="es-ES_tradnl"/>
        </w:rPr>
        <w:t xml:space="preserve"> enormemente la capacidad del ELA para promover inversiones otorgando subsidios al sector privado. La desintegración de los elementos que habían servido de base a la estabilidad económica en décadas anteriores refleja, en parte, una búsqueda de alternativas políticas. Esto explica</w:t>
      </w:r>
      <w:r>
        <w:rPr>
          <w:lang w:val="es-ES_tradnl"/>
        </w:rPr>
        <w:t>,</w:t>
      </w:r>
      <w:r w:rsidRPr="00C06F5C">
        <w:rPr>
          <w:lang w:val="es-ES_tradnl"/>
        </w:rPr>
        <w:t xml:space="preserve"> </w:t>
      </w:r>
      <w:r>
        <w:rPr>
          <w:lang w:val="es-ES_tradnl"/>
        </w:rPr>
        <w:t>parcialmente,</w:t>
      </w:r>
      <w:r w:rsidRPr="00C06F5C">
        <w:rPr>
          <w:lang w:val="es-ES_tradnl"/>
        </w:rPr>
        <w:t xml:space="preserve"> el apoyo popular que la estadidad recib</w:t>
      </w:r>
      <w:r>
        <w:rPr>
          <w:lang w:val="es-ES_tradnl"/>
        </w:rPr>
        <w:t>ió</w:t>
      </w:r>
      <w:r w:rsidRPr="00C06F5C">
        <w:rPr>
          <w:lang w:val="es-ES_tradnl"/>
        </w:rPr>
        <w:t xml:space="preserve"> durante los años setenta y ochenta (Meléndez 1990).</w:t>
      </w:r>
    </w:p>
    <w:p w:rsidR="005A5E7D" w:rsidRPr="00C06F5C" w:rsidRDefault="005A5E7D" w:rsidP="005A5E7D">
      <w:pPr>
        <w:rPr>
          <w:lang w:val="es-ES_tradnl"/>
        </w:rPr>
      </w:pPr>
      <w:r w:rsidRPr="00C06F5C">
        <w:rPr>
          <w:lang w:val="es-ES_tradnl"/>
        </w:rPr>
        <w:t>Durante las dos décadas</w:t>
      </w:r>
      <w:r>
        <w:rPr>
          <w:lang w:val="es-ES_tradnl"/>
        </w:rPr>
        <w:t xml:space="preserve"> de 1970</w:t>
      </w:r>
      <w:r w:rsidRPr="00C06F5C">
        <w:rPr>
          <w:lang w:val="es-ES_tradnl"/>
        </w:rPr>
        <w:t xml:space="preserve"> </w:t>
      </w:r>
      <w:r>
        <w:rPr>
          <w:lang w:val="es-ES_tradnl"/>
        </w:rPr>
        <w:t>a 1990, l</w:t>
      </w:r>
      <w:r w:rsidRPr="00C06F5C">
        <w:rPr>
          <w:lang w:val="es-ES_tradnl"/>
        </w:rPr>
        <w:t xml:space="preserve">a iniciativa de política pública más importante fue la reforma del sistema de subsidios tributarios dirigidos a fomentar la inversión norteamericana en industrias manufactureras en Puerto Rico. El Código de Rentas Internas de Estados Unidos </w:t>
      </w:r>
      <w:r>
        <w:rPr>
          <w:lang w:val="es-ES_tradnl"/>
        </w:rPr>
        <w:t>s</w:t>
      </w:r>
      <w:r w:rsidRPr="00C06F5C">
        <w:rPr>
          <w:lang w:val="es-ES_tradnl"/>
        </w:rPr>
        <w:t>e enmend</w:t>
      </w:r>
      <w:r>
        <w:rPr>
          <w:lang w:val="es-ES_tradnl"/>
        </w:rPr>
        <w:t>ó</w:t>
      </w:r>
      <w:r w:rsidRPr="00C06F5C">
        <w:rPr>
          <w:lang w:val="es-ES_tradnl"/>
        </w:rPr>
        <w:t xml:space="preserve"> en 1976 para permitir que las empresas norteamericanas que operaban en Puerto Rico pudieran repatriar sus ganancias exentas de contribuciones federales. La Sección 936</w:t>
      </w:r>
      <w:r>
        <w:rPr>
          <w:lang w:val="es-ES_tradnl"/>
        </w:rPr>
        <w:t xml:space="preserve"> </w:t>
      </w:r>
      <w:r w:rsidRPr="00C06F5C">
        <w:rPr>
          <w:lang w:val="es-ES_tradnl"/>
        </w:rPr>
        <w:t>—como se conoce</w:t>
      </w:r>
      <w:r>
        <w:rPr>
          <w:lang w:val="es-ES_tradnl"/>
        </w:rPr>
        <w:t xml:space="preserve"> </w:t>
      </w:r>
      <w:r w:rsidRPr="00C06F5C">
        <w:rPr>
          <w:lang w:val="es-ES_tradnl"/>
        </w:rPr>
        <w:t xml:space="preserve">popularmente esta sección del Código de Rentas Internas </w:t>
      </w:r>
      <w:r>
        <w:rPr>
          <w:lang w:val="es-ES_tradnl"/>
        </w:rPr>
        <w:t>federal</w:t>
      </w:r>
      <w:r w:rsidRPr="00C06F5C">
        <w:rPr>
          <w:lang w:val="es-ES_tradnl"/>
        </w:rPr>
        <w:t xml:space="preserve"> que otorga el crédito contributivo—</w:t>
      </w:r>
      <w:r>
        <w:rPr>
          <w:lang w:val="es-ES_tradnl"/>
        </w:rPr>
        <w:t xml:space="preserve"> </w:t>
      </w:r>
      <w:r w:rsidRPr="00C06F5C">
        <w:rPr>
          <w:lang w:val="es-ES_tradnl"/>
        </w:rPr>
        <w:t>favoreci</w:t>
      </w:r>
      <w:r>
        <w:rPr>
          <w:lang w:val="es-ES_tradnl"/>
        </w:rPr>
        <w:t>ó</w:t>
      </w:r>
      <w:r w:rsidRPr="00C06F5C">
        <w:rPr>
          <w:lang w:val="es-ES_tradnl"/>
        </w:rPr>
        <w:t xml:space="preserve"> la inversión de capital y el empleo en empresas de alta tecnología. Durante los años ochenta, la expansión del empleo industrial y la estabilidad del mercado estadounidense contribuyeron, sin duda alguna, al crecimiento económico sostenido y a la reducción del desempleo en Puerto Rico.</w:t>
      </w:r>
    </w:p>
    <w:p w:rsidR="005A5E7D" w:rsidRPr="00C06F5C" w:rsidRDefault="005A5E7D" w:rsidP="005A5E7D">
      <w:pPr>
        <w:rPr>
          <w:lang w:val="es-ES_tradnl"/>
        </w:rPr>
      </w:pPr>
      <w:r>
        <w:rPr>
          <w:lang w:val="es-ES_tradnl"/>
        </w:rPr>
        <w:t>D</w:t>
      </w:r>
      <w:r w:rsidRPr="00C06F5C">
        <w:rPr>
          <w:lang w:val="es-ES_tradnl"/>
        </w:rPr>
        <w:t>e la misma forma que nos referimos a las primeras dos décadas de la p</w:t>
      </w:r>
      <w:r>
        <w:rPr>
          <w:lang w:val="es-ES_tradnl"/>
        </w:rPr>
        <w:t>os</w:t>
      </w:r>
      <w:r w:rsidRPr="00C06F5C">
        <w:rPr>
          <w:lang w:val="es-ES_tradnl"/>
        </w:rPr>
        <w:t xml:space="preserve">guerra como el período de </w:t>
      </w:r>
      <w:r>
        <w:rPr>
          <w:lang w:val="es-ES_tradnl"/>
        </w:rPr>
        <w:t>“</w:t>
      </w:r>
      <w:r w:rsidRPr="00C06F5C">
        <w:rPr>
          <w:lang w:val="es-ES_tradnl"/>
        </w:rPr>
        <w:t>Operación Manos a la Obra</w:t>
      </w:r>
      <w:r>
        <w:rPr>
          <w:lang w:val="es-ES_tradnl"/>
        </w:rPr>
        <w:t>”,</w:t>
      </w:r>
      <w:r w:rsidRPr="00C06F5C">
        <w:rPr>
          <w:lang w:val="es-ES_tradnl"/>
        </w:rPr>
        <w:t xml:space="preserve"> </w:t>
      </w:r>
      <w:r>
        <w:rPr>
          <w:lang w:val="es-ES_tradnl"/>
        </w:rPr>
        <w:t>podemos</w:t>
      </w:r>
      <w:r w:rsidRPr="00C06F5C">
        <w:rPr>
          <w:lang w:val="es-ES_tradnl"/>
        </w:rPr>
        <w:t xml:space="preserve"> referirnos </w:t>
      </w:r>
      <w:r w:rsidRPr="008B456C">
        <w:t>—</w:t>
      </w:r>
      <w:r>
        <w:rPr>
          <w:lang w:val="es-ES_tradnl"/>
        </w:rPr>
        <w:t>sin reserva</w:t>
      </w:r>
      <w:r w:rsidRPr="00C06F5C">
        <w:rPr>
          <w:lang w:val="es-ES_tradnl"/>
        </w:rPr>
        <w:t xml:space="preserve"> alguna</w:t>
      </w:r>
      <w:r w:rsidRPr="008B456C">
        <w:t>—</w:t>
      </w:r>
      <w:r>
        <w:t xml:space="preserve"> </w:t>
      </w:r>
      <w:r w:rsidRPr="00C06F5C">
        <w:rPr>
          <w:lang w:val="es-ES_tradnl"/>
        </w:rPr>
        <w:t xml:space="preserve">al período </w:t>
      </w:r>
      <w:r>
        <w:rPr>
          <w:lang w:val="es-ES_tradnl"/>
        </w:rPr>
        <w:t>entre</w:t>
      </w:r>
      <w:r w:rsidRPr="00C06F5C">
        <w:rPr>
          <w:lang w:val="es-ES_tradnl"/>
        </w:rPr>
        <w:t xml:space="preserve"> las dos décadas</w:t>
      </w:r>
      <w:r>
        <w:rPr>
          <w:lang w:val="es-ES_tradnl"/>
        </w:rPr>
        <w:t xml:space="preserve"> de 1970</w:t>
      </w:r>
      <w:r w:rsidRPr="00C06F5C">
        <w:rPr>
          <w:lang w:val="es-ES_tradnl"/>
        </w:rPr>
        <w:t xml:space="preserve"> </w:t>
      </w:r>
      <w:r>
        <w:rPr>
          <w:lang w:val="es-ES_tradnl"/>
        </w:rPr>
        <w:t xml:space="preserve">a 1990 </w:t>
      </w:r>
      <w:r w:rsidRPr="00C06F5C">
        <w:rPr>
          <w:lang w:val="es-ES_tradnl"/>
        </w:rPr>
        <w:t xml:space="preserve">como el de la </w:t>
      </w:r>
      <w:r>
        <w:rPr>
          <w:lang w:val="es-ES_tradnl"/>
        </w:rPr>
        <w:t>“E</w:t>
      </w:r>
      <w:r w:rsidRPr="00C06F5C">
        <w:rPr>
          <w:lang w:val="es-ES_tradnl"/>
        </w:rPr>
        <w:t>conomía 936</w:t>
      </w:r>
      <w:r>
        <w:rPr>
          <w:lang w:val="es-ES_tradnl"/>
        </w:rPr>
        <w:t xml:space="preserve">”, por </w:t>
      </w:r>
      <w:r w:rsidRPr="00C06F5C">
        <w:rPr>
          <w:lang w:val="es-ES_tradnl"/>
        </w:rPr>
        <w:t>la dependencia de Puerto Rico</w:t>
      </w:r>
      <w:r>
        <w:rPr>
          <w:lang w:val="es-ES_tradnl"/>
        </w:rPr>
        <w:t xml:space="preserve"> en </w:t>
      </w:r>
      <w:r w:rsidRPr="00C06F5C">
        <w:rPr>
          <w:lang w:val="es-ES_tradnl"/>
        </w:rPr>
        <w:t>este arreglo tributario</w:t>
      </w:r>
      <w:r>
        <w:rPr>
          <w:lang w:val="es-ES_tradnl"/>
        </w:rPr>
        <w:t xml:space="preserve"> </w:t>
      </w:r>
      <w:r w:rsidRPr="00C06F5C">
        <w:rPr>
          <w:lang w:val="es-ES_tradnl"/>
        </w:rPr>
        <w:t>(</w:t>
      </w:r>
      <w:r>
        <w:rPr>
          <w:lang w:val="es-ES_tradnl"/>
        </w:rPr>
        <w:t xml:space="preserve">E. </w:t>
      </w:r>
      <w:r w:rsidRPr="00C06F5C">
        <w:rPr>
          <w:lang w:val="es-ES_tradnl"/>
        </w:rPr>
        <w:t xml:space="preserve">Meléndez y </w:t>
      </w:r>
      <w:r>
        <w:rPr>
          <w:lang w:val="es-ES_tradnl"/>
        </w:rPr>
        <w:t xml:space="preserve">A. </w:t>
      </w:r>
      <w:r w:rsidRPr="00C06F5C">
        <w:rPr>
          <w:lang w:val="es-ES_tradnl"/>
        </w:rPr>
        <w:t>Ruiz 1998).</w:t>
      </w:r>
    </w:p>
    <w:p w:rsidR="005A5E7D" w:rsidRPr="00C06F5C" w:rsidRDefault="005A5E7D" w:rsidP="005A5E7D">
      <w:pPr>
        <w:rPr>
          <w:lang w:val="es-ES_tradnl"/>
        </w:rPr>
      </w:pPr>
      <w:r w:rsidRPr="00C06F5C">
        <w:rPr>
          <w:lang w:val="es-ES_tradnl"/>
        </w:rPr>
        <w:t xml:space="preserve">La ironía de trazar tal paralelo estriba en que el modelo de la </w:t>
      </w:r>
      <w:r>
        <w:rPr>
          <w:lang w:val="es-ES_tradnl"/>
        </w:rPr>
        <w:t>“</w:t>
      </w:r>
      <w:r w:rsidRPr="00C06F5C">
        <w:rPr>
          <w:lang w:val="es-ES_tradnl"/>
        </w:rPr>
        <w:t>Economía 936</w:t>
      </w:r>
      <w:r>
        <w:rPr>
          <w:lang w:val="es-ES_tradnl"/>
        </w:rPr>
        <w:t>”</w:t>
      </w:r>
      <w:r w:rsidRPr="00C06F5C">
        <w:rPr>
          <w:lang w:val="es-ES_tradnl"/>
        </w:rPr>
        <w:t xml:space="preserve"> plantea una serie de interrogantes no muy diferentes</w:t>
      </w:r>
      <w:r>
        <w:rPr>
          <w:lang w:val="es-ES_tradnl"/>
        </w:rPr>
        <w:t xml:space="preserve"> </w:t>
      </w:r>
      <w:r w:rsidRPr="00C06F5C">
        <w:rPr>
          <w:lang w:val="es-ES_tradnl"/>
        </w:rPr>
        <w:t>—en lo que respecta a su viabilidad como modelo de crecimiento económico a largo plazo—</w:t>
      </w:r>
      <w:r>
        <w:rPr>
          <w:lang w:val="es-ES_tradnl"/>
        </w:rPr>
        <w:t xml:space="preserve"> </w:t>
      </w:r>
      <w:r w:rsidRPr="00C06F5C">
        <w:rPr>
          <w:lang w:val="es-ES_tradnl"/>
        </w:rPr>
        <w:t>de las que se plantearon durante el período de discusión pública anterior a la consulta pl</w:t>
      </w:r>
      <w:r>
        <w:rPr>
          <w:lang w:val="es-ES_tradnl"/>
        </w:rPr>
        <w:t>ebiscitaria de 1968, que culminó precisamente con la impleme</w:t>
      </w:r>
      <w:r w:rsidRPr="00C06F5C">
        <w:rPr>
          <w:lang w:val="es-ES_tradnl"/>
        </w:rPr>
        <w:t>ntación de reformas en las políticas de incentivos tributarios a las industrias que opera</w:t>
      </w:r>
      <w:r>
        <w:rPr>
          <w:lang w:val="es-ES_tradnl"/>
        </w:rPr>
        <w:t>ba</w:t>
      </w:r>
      <w:r w:rsidRPr="00C06F5C">
        <w:rPr>
          <w:lang w:val="es-ES_tradnl"/>
        </w:rPr>
        <w:t>n en el país. Los beneficios tributarios otorga</w:t>
      </w:r>
      <w:r>
        <w:rPr>
          <w:lang w:val="es-ES_tradnl"/>
        </w:rPr>
        <w:t>dos por</w:t>
      </w:r>
      <w:r w:rsidRPr="00C06F5C">
        <w:rPr>
          <w:lang w:val="es-ES_tradnl"/>
        </w:rPr>
        <w:t xml:space="preserve"> la Sección 936 </w:t>
      </w:r>
      <w:r>
        <w:rPr>
          <w:lang w:val="es-ES_tradnl"/>
        </w:rPr>
        <w:t>se</w:t>
      </w:r>
      <w:r w:rsidRPr="00C06F5C">
        <w:rPr>
          <w:lang w:val="es-ES_tradnl"/>
        </w:rPr>
        <w:t xml:space="preserve"> enmenda</w:t>
      </w:r>
      <w:r>
        <w:rPr>
          <w:lang w:val="es-ES_tradnl"/>
        </w:rPr>
        <w:t xml:space="preserve">ron en 1982, 1986 y </w:t>
      </w:r>
      <w:r w:rsidRPr="00C06F5C">
        <w:rPr>
          <w:lang w:val="es-ES_tradnl"/>
        </w:rPr>
        <w:t>1993. En cada una de estas ocasiones</w:t>
      </w:r>
      <w:r>
        <w:rPr>
          <w:lang w:val="es-ES_tradnl"/>
        </w:rPr>
        <w:t>, el Congreso de Estados Unidos impus</w:t>
      </w:r>
      <w:r w:rsidRPr="00C06F5C">
        <w:rPr>
          <w:lang w:val="es-ES_tradnl"/>
        </w:rPr>
        <w:t>o mayores restricciones a los beneficios tributarios que permit</w:t>
      </w:r>
      <w:r>
        <w:rPr>
          <w:lang w:val="es-ES_tradnl"/>
        </w:rPr>
        <w:t>ía</w:t>
      </w:r>
      <w:r w:rsidRPr="00C06F5C">
        <w:rPr>
          <w:lang w:val="es-ES_tradnl"/>
        </w:rPr>
        <w:t xml:space="preserve"> la ley.</w:t>
      </w:r>
    </w:p>
    <w:p w:rsidR="005A5E7D" w:rsidRPr="00C06F5C" w:rsidRDefault="005A5E7D" w:rsidP="005A5E7D">
      <w:pPr>
        <w:rPr>
          <w:lang w:val="es-ES_tradnl"/>
        </w:rPr>
      </w:pPr>
      <w:r w:rsidRPr="00C06F5C">
        <w:rPr>
          <w:lang w:val="es-ES_tradnl"/>
        </w:rPr>
        <w:t>El debate concerniente al futuro de la Sección 936 concluy</w:t>
      </w:r>
      <w:r>
        <w:rPr>
          <w:lang w:val="es-ES_tradnl"/>
        </w:rPr>
        <w:t>ó</w:t>
      </w:r>
      <w:r w:rsidRPr="00C06F5C">
        <w:rPr>
          <w:lang w:val="es-ES_tradnl"/>
        </w:rPr>
        <w:t xml:space="preserve"> cuando el presidente</w:t>
      </w:r>
      <w:r>
        <w:rPr>
          <w:lang w:val="es-ES_tradnl"/>
        </w:rPr>
        <w:t xml:space="preserve"> Bill</w:t>
      </w:r>
      <w:r w:rsidRPr="00C06F5C">
        <w:rPr>
          <w:lang w:val="es-ES_tradnl"/>
        </w:rPr>
        <w:t xml:space="preserve"> Clinton firm</w:t>
      </w:r>
      <w:r>
        <w:rPr>
          <w:lang w:val="es-ES_tradnl"/>
        </w:rPr>
        <w:t>ó</w:t>
      </w:r>
      <w:r w:rsidRPr="00C06F5C">
        <w:rPr>
          <w:lang w:val="es-ES_tradnl"/>
        </w:rPr>
        <w:t xml:space="preserve"> el “Small Business Protection Act” de 1996, el cual establec</w:t>
      </w:r>
      <w:r>
        <w:rPr>
          <w:lang w:val="es-ES_tradnl"/>
        </w:rPr>
        <w:t>ió</w:t>
      </w:r>
      <w:r w:rsidRPr="00C06F5C">
        <w:rPr>
          <w:lang w:val="es-ES_tradnl"/>
        </w:rPr>
        <w:t xml:space="preserve"> </w:t>
      </w:r>
      <w:r>
        <w:rPr>
          <w:lang w:val="es-ES_tradnl"/>
        </w:rPr>
        <w:t>la</w:t>
      </w:r>
      <w:r w:rsidRPr="00C06F5C">
        <w:rPr>
          <w:lang w:val="es-ES_tradnl"/>
        </w:rPr>
        <w:t xml:space="preserve"> eliminación progresiva de </w:t>
      </w:r>
      <w:r>
        <w:rPr>
          <w:lang w:val="es-ES_tradnl"/>
        </w:rPr>
        <w:t>su</w:t>
      </w:r>
      <w:r w:rsidRPr="00C06F5C">
        <w:rPr>
          <w:lang w:val="es-ES_tradnl"/>
        </w:rPr>
        <w:t>s incentivos tributarios durante los próximos diez años. El Congreso</w:t>
      </w:r>
      <w:r>
        <w:rPr>
          <w:lang w:val="es-ES_tradnl"/>
        </w:rPr>
        <w:t>,</w:t>
      </w:r>
      <w:r w:rsidRPr="00C06F5C">
        <w:rPr>
          <w:lang w:val="es-ES_tradnl"/>
        </w:rPr>
        <w:t xml:space="preserve"> a su vez</w:t>
      </w:r>
      <w:r>
        <w:rPr>
          <w:lang w:val="es-ES_tradnl"/>
        </w:rPr>
        <w:t>, eliminó es</w:t>
      </w:r>
      <w:r w:rsidRPr="00C06F5C">
        <w:rPr>
          <w:lang w:val="es-ES_tradnl"/>
        </w:rPr>
        <w:t>os beneficios retroactivamente para aquellas empresas que no los habían recibido an</w:t>
      </w:r>
      <w:r>
        <w:rPr>
          <w:lang w:val="es-ES_tradnl"/>
        </w:rPr>
        <w:t>tes del 31 de diciembre de 1995;</w:t>
      </w:r>
      <w:r w:rsidRPr="00C06F5C">
        <w:rPr>
          <w:lang w:val="es-ES_tradnl"/>
        </w:rPr>
        <w:t xml:space="preserve"> y la nueva ley contin</w:t>
      </w:r>
      <w:r>
        <w:rPr>
          <w:lang w:val="es-ES_tradnl"/>
        </w:rPr>
        <w:t>uó</w:t>
      </w:r>
      <w:r w:rsidRPr="00C06F5C">
        <w:rPr>
          <w:lang w:val="es-ES_tradnl"/>
        </w:rPr>
        <w:t xml:space="preserve"> el proceso de eliminación de beneficios iniciado en 1993</w:t>
      </w:r>
      <w:r>
        <w:rPr>
          <w:lang w:val="es-ES_tradnl"/>
        </w:rPr>
        <w:t xml:space="preserve"> </w:t>
      </w:r>
      <w:r w:rsidRPr="00C06F5C">
        <w:rPr>
          <w:lang w:val="es-ES_tradnl"/>
        </w:rPr>
        <w:t>para las otras empresas (Colón 1997; Luxner 1996).</w:t>
      </w:r>
    </w:p>
    <w:p w:rsidR="005A5E7D" w:rsidRDefault="005A5E7D" w:rsidP="005A5E7D">
      <w:pPr>
        <w:rPr>
          <w:lang w:val="es-ES_tradnl"/>
        </w:rPr>
      </w:pPr>
      <w:r>
        <w:rPr>
          <w:lang w:val="es-ES_tradnl"/>
        </w:rPr>
        <w:t>El p</w:t>
      </w:r>
      <w:r w:rsidRPr="00C06F5C">
        <w:rPr>
          <w:lang w:val="es-ES_tradnl"/>
        </w:rPr>
        <w:t>rofesor Javier Colón (1997) concluy</w:t>
      </w:r>
      <w:r>
        <w:rPr>
          <w:lang w:val="es-ES_tradnl"/>
        </w:rPr>
        <w:t>ó</w:t>
      </w:r>
      <w:r w:rsidRPr="00C06F5C">
        <w:rPr>
          <w:lang w:val="es-ES_tradnl"/>
        </w:rPr>
        <w:t xml:space="preserve"> que las reformas económicas propuestas por los partidos respond</w:t>
      </w:r>
      <w:r>
        <w:rPr>
          <w:lang w:val="es-ES_tradnl"/>
        </w:rPr>
        <w:t>i</w:t>
      </w:r>
      <w:r w:rsidRPr="00C06F5C">
        <w:rPr>
          <w:lang w:val="es-ES_tradnl"/>
        </w:rPr>
        <w:t>e</w:t>
      </w:r>
      <w:r>
        <w:rPr>
          <w:lang w:val="es-ES_tradnl"/>
        </w:rPr>
        <w:t>ro</w:t>
      </w:r>
      <w:r w:rsidRPr="00C06F5C">
        <w:rPr>
          <w:lang w:val="es-ES_tradnl"/>
        </w:rPr>
        <w:t>n a dos visiones diferentes de cómo reformar el sistema político para estimular el desarrollo económico</w:t>
      </w:r>
      <w:r>
        <w:rPr>
          <w:lang w:val="es-ES_tradnl"/>
        </w:rPr>
        <w:t xml:space="preserve"> </w:t>
      </w:r>
      <w:r w:rsidRPr="00C06F5C">
        <w:rPr>
          <w:lang w:val="es-ES_tradnl"/>
        </w:rPr>
        <w:t>a largo plazo</w:t>
      </w:r>
      <w:r>
        <w:rPr>
          <w:lang w:val="es-ES_tradnl"/>
        </w:rPr>
        <w:t xml:space="preserve"> </w:t>
      </w:r>
      <w:r w:rsidRPr="00C06F5C">
        <w:rPr>
          <w:lang w:val="es-ES_tradnl"/>
        </w:rPr>
        <w:t>en el país. La primera, defendida por los simpatizantes de la estadidad, prop</w:t>
      </w:r>
      <w:r>
        <w:rPr>
          <w:lang w:val="es-ES_tradnl"/>
        </w:rPr>
        <w:t>uso</w:t>
      </w:r>
      <w:r w:rsidRPr="00C06F5C">
        <w:rPr>
          <w:lang w:val="es-ES_tradnl"/>
        </w:rPr>
        <w:t xml:space="preserve"> un mayor grado de integración a la economía de Estados Unidos. La segunda, defendida por autonomistas e independentistas, prop</w:t>
      </w:r>
      <w:r>
        <w:rPr>
          <w:lang w:val="es-ES_tradnl"/>
        </w:rPr>
        <w:t>uso entonces</w:t>
      </w:r>
      <w:r w:rsidRPr="00C06F5C">
        <w:rPr>
          <w:lang w:val="es-ES_tradnl"/>
        </w:rPr>
        <w:t xml:space="preserve"> un mayor grado de integración a la economía global, particularmente a Europa y Japón</w:t>
      </w:r>
      <w:r>
        <w:rPr>
          <w:lang w:val="es-ES_tradnl"/>
        </w:rPr>
        <w:t xml:space="preserve"> </w:t>
      </w:r>
      <w:r w:rsidRPr="00C06F5C">
        <w:rPr>
          <w:lang w:val="es-ES_tradnl"/>
        </w:rPr>
        <w:t xml:space="preserve">—los nuevos centros de poder </w:t>
      </w:r>
      <w:r>
        <w:rPr>
          <w:lang w:val="es-ES_tradnl"/>
        </w:rPr>
        <w:t>económico internacional.</w:t>
      </w:r>
    </w:p>
    <w:p w:rsidR="005A5E7D" w:rsidRPr="00C06F5C" w:rsidRDefault="005A5E7D" w:rsidP="005A5E7D">
      <w:pPr>
        <w:rPr>
          <w:lang w:val="es-ES_tradnl"/>
        </w:rPr>
      </w:pPr>
      <w:r w:rsidRPr="00C06F5C">
        <w:rPr>
          <w:lang w:val="es-ES_tradnl"/>
        </w:rPr>
        <w:t>Col</w:t>
      </w:r>
      <w:r>
        <w:rPr>
          <w:lang w:val="es-ES_tradnl"/>
        </w:rPr>
        <w:t>ó</w:t>
      </w:r>
      <w:r w:rsidRPr="00C06F5C">
        <w:rPr>
          <w:lang w:val="es-ES_tradnl"/>
        </w:rPr>
        <w:t>n llev</w:t>
      </w:r>
      <w:r>
        <w:rPr>
          <w:lang w:val="es-ES_tradnl"/>
        </w:rPr>
        <w:t>ó</w:t>
      </w:r>
      <w:r w:rsidRPr="00C06F5C">
        <w:rPr>
          <w:lang w:val="es-ES_tradnl"/>
        </w:rPr>
        <w:t xml:space="preserve"> a cabo un anális</w:t>
      </w:r>
      <w:r>
        <w:rPr>
          <w:lang w:val="es-ES_tradnl"/>
        </w:rPr>
        <w:t>is económico en el contexto de</w:t>
      </w:r>
      <w:r w:rsidRPr="00C06F5C">
        <w:rPr>
          <w:lang w:val="es-ES_tradnl"/>
        </w:rPr>
        <w:t>l fenómeno de la globalización que es muy relevante en el momento actual</w:t>
      </w:r>
      <w:r>
        <w:rPr>
          <w:lang w:val="es-ES_tradnl"/>
        </w:rPr>
        <w:t xml:space="preserve">. En la sección de su trabajo sobre </w:t>
      </w:r>
      <w:r w:rsidRPr="00C06F5C">
        <w:rPr>
          <w:lang w:val="es-ES_tradnl"/>
        </w:rPr>
        <w:t>el debate d</w:t>
      </w:r>
      <w:r>
        <w:rPr>
          <w:lang w:val="es-ES_tradnl"/>
        </w:rPr>
        <w:t xml:space="preserve">el estatus y la economía global, </w:t>
      </w:r>
      <w:r w:rsidRPr="00C06F5C">
        <w:rPr>
          <w:lang w:val="es-ES_tradnl"/>
        </w:rPr>
        <w:t>discut</w:t>
      </w:r>
      <w:r>
        <w:rPr>
          <w:lang w:val="es-ES_tradnl"/>
        </w:rPr>
        <w:t>ió que d</w:t>
      </w:r>
      <w:r w:rsidRPr="00C06F5C">
        <w:rPr>
          <w:lang w:val="es-ES_tradnl"/>
        </w:rPr>
        <w:t>el debate congresional del 1989 al 1991 se desprend</w:t>
      </w:r>
      <w:r>
        <w:rPr>
          <w:lang w:val="es-ES_tradnl"/>
        </w:rPr>
        <w:t>ió</w:t>
      </w:r>
      <w:r w:rsidRPr="00C06F5C">
        <w:rPr>
          <w:lang w:val="es-ES_tradnl"/>
        </w:rPr>
        <w:t xml:space="preserve"> la existencia de solo dos visiones principales sobre el desarrollo económico futuro de Puerto Rico</w:t>
      </w:r>
      <w:r>
        <w:rPr>
          <w:lang w:val="es-ES_tradnl"/>
        </w:rPr>
        <w:t>:</w:t>
      </w:r>
      <w:r w:rsidRPr="00C06F5C">
        <w:rPr>
          <w:lang w:val="es-ES_tradnl"/>
        </w:rPr>
        <w:t xml:space="preserve"> </w:t>
      </w:r>
      <w:r>
        <w:rPr>
          <w:lang w:val="es-ES_tradnl"/>
        </w:rPr>
        <w:t xml:space="preserve">la </w:t>
      </w:r>
      <w:r w:rsidRPr="00C06F5C">
        <w:rPr>
          <w:lang w:val="es-ES_tradnl"/>
        </w:rPr>
        <w:t>integración política y económica a Estados Unidos</w:t>
      </w:r>
      <w:r>
        <w:rPr>
          <w:lang w:val="es-ES_tradnl"/>
        </w:rPr>
        <w:t>,</w:t>
      </w:r>
      <w:r w:rsidRPr="00C06F5C">
        <w:rPr>
          <w:lang w:val="es-ES_tradnl"/>
        </w:rPr>
        <w:t xml:space="preserve"> y </w:t>
      </w:r>
      <w:r>
        <w:rPr>
          <w:lang w:val="es-ES_tradnl"/>
        </w:rPr>
        <w:t xml:space="preserve">una </w:t>
      </w:r>
      <w:r w:rsidRPr="00C06F5C">
        <w:rPr>
          <w:lang w:val="es-ES_tradnl"/>
        </w:rPr>
        <w:t>mayor autonomía para poder obtener las ventajas de la nuevas te</w:t>
      </w:r>
      <w:r>
        <w:rPr>
          <w:lang w:val="es-ES_tradnl"/>
        </w:rPr>
        <w:t>ndencias de la economía mundial. “E</w:t>
      </w:r>
      <w:r w:rsidRPr="00C06F5C">
        <w:rPr>
          <w:lang w:val="es-ES_tradnl"/>
        </w:rPr>
        <w:t>stas dos trayectorias de desarrollo político y económico con gran probabilidad dominar</w:t>
      </w:r>
      <w:r>
        <w:rPr>
          <w:lang w:val="es-ES_tradnl"/>
        </w:rPr>
        <w:t>á</w:t>
      </w:r>
      <w:r w:rsidRPr="00C06F5C">
        <w:rPr>
          <w:lang w:val="es-ES_tradnl"/>
        </w:rPr>
        <w:t>n futuras discusiones sobre el estatus durante el curso de este siglo”</w:t>
      </w:r>
      <w:r>
        <w:rPr>
          <w:lang w:val="es-ES_tradnl"/>
        </w:rPr>
        <w:t>, aseguró el autor</w:t>
      </w:r>
      <w:r w:rsidRPr="00C06F5C">
        <w:rPr>
          <w:lang w:val="es-ES_tradnl"/>
        </w:rPr>
        <w:t xml:space="preserve"> (J</w:t>
      </w:r>
      <w:r>
        <w:rPr>
          <w:lang w:val="es-ES_tradnl"/>
        </w:rPr>
        <w:t>.</w:t>
      </w:r>
      <w:r w:rsidRPr="00C06F5C">
        <w:rPr>
          <w:lang w:val="es-ES_tradnl"/>
        </w:rPr>
        <w:t xml:space="preserve"> Col</w:t>
      </w:r>
      <w:r>
        <w:rPr>
          <w:lang w:val="es-ES_tradnl"/>
        </w:rPr>
        <w:t>ó</w:t>
      </w:r>
      <w:r w:rsidRPr="00C06F5C">
        <w:rPr>
          <w:lang w:val="es-ES_tradnl"/>
        </w:rPr>
        <w:t xml:space="preserve">n en </w:t>
      </w:r>
      <w:r>
        <w:rPr>
          <w:lang w:val="es-ES_tradnl"/>
        </w:rPr>
        <w:t xml:space="preserve">E. </w:t>
      </w:r>
      <w:r w:rsidRPr="00C06F5C">
        <w:rPr>
          <w:lang w:val="es-ES_tradnl"/>
        </w:rPr>
        <w:t xml:space="preserve">Meléndez y </w:t>
      </w:r>
      <w:r>
        <w:rPr>
          <w:lang w:val="es-ES_tradnl"/>
        </w:rPr>
        <w:t xml:space="preserve">A. </w:t>
      </w:r>
      <w:r w:rsidRPr="00C06F5C">
        <w:rPr>
          <w:lang w:val="es-ES_tradnl"/>
        </w:rPr>
        <w:t>Ruiz 1998)</w:t>
      </w:r>
      <w:r>
        <w:rPr>
          <w:lang w:val="es-ES_tradnl"/>
        </w:rPr>
        <w:t>.</w:t>
      </w:r>
      <w:r w:rsidRPr="00C05B1C">
        <w:rPr>
          <w:rStyle w:val="FootnoteReference"/>
          <w:lang w:val="es-ES_tradnl"/>
        </w:rPr>
        <w:footnoteReference w:id="15"/>
      </w:r>
    </w:p>
    <w:p w:rsidR="005A5E7D" w:rsidRDefault="005A5E7D" w:rsidP="005A5E7D">
      <w:pPr>
        <w:rPr>
          <w:lang w:val="es-ES_tradnl"/>
        </w:rPr>
      </w:pPr>
      <w:r w:rsidRPr="00C06F5C">
        <w:rPr>
          <w:lang w:val="es-ES_tradnl"/>
        </w:rPr>
        <w:t xml:space="preserve">La inserción de Puerto Rico en el proceso de globalización es uno de los aspectos que afectan </w:t>
      </w:r>
      <w:r>
        <w:rPr>
          <w:lang w:val="es-ES_tradnl"/>
        </w:rPr>
        <w:t>su desarrollo económico, que ha sido discutido</w:t>
      </w:r>
      <w:r w:rsidRPr="00C06F5C">
        <w:rPr>
          <w:lang w:val="es-ES_tradnl"/>
        </w:rPr>
        <w:t xml:space="preserve"> por varios autores</w:t>
      </w:r>
      <w:r>
        <w:rPr>
          <w:lang w:val="es-ES_tradnl"/>
        </w:rPr>
        <w:t>. En un artí</w:t>
      </w:r>
      <w:r w:rsidRPr="00C06F5C">
        <w:rPr>
          <w:lang w:val="es-ES_tradnl"/>
        </w:rPr>
        <w:t>culo publicado</w:t>
      </w:r>
      <w:r>
        <w:rPr>
          <w:lang w:val="es-ES_tradnl"/>
        </w:rPr>
        <w:t xml:space="preserve">, </w:t>
      </w:r>
      <w:r w:rsidRPr="00C06F5C">
        <w:rPr>
          <w:lang w:val="es-ES_tradnl"/>
        </w:rPr>
        <w:t>Juan Clar</w:t>
      </w:r>
      <w:r>
        <w:rPr>
          <w:lang w:val="es-ES_tradnl"/>
        </w:rPr>
        <w:t xml:space="preserve"> </w:t>
      </w:r>
      <w:r w:rsidRPr="00C06F5C">
        <w:rPr>
          <w:lang w:val="es-ES_tradnl"/>
        </w:rPr>
        <w:t>comen</w:t>
      </w:r>
      <w:r>
        <w:rPr>
          <w:lang w:val="es-ES_tradnl"/>
        </w:rPr>
        <w:t>tó:</w:t>
      </w:r>
      <w:r w:rsidRPr="00C06F5C">
        <w:rPr>
          <w:lang w:val="es-ES_tradnl"/>
        </w:rPr>
        <w:t xml:space="preserve"> “Aunque el Estado Libre Asociado de Puerto Rico se convirtió en un modelo ejemplar de rápida industrialización y democratización en la década de 1950</w:t>
      </w:r>
      <w:r>
        <w:rPr>
          <w:lang w:val="es-ES_tradnl"/>
        </w:rPr>
        <w:t>,</w:t>
      </w:r>
      <w:r w:rsidRPr="00C06F5C">
        <w:rPr>
          <w:lang w:val="es-ES_tradnl"/>
        </w:rPr>
        <w:t xml:space="preserve"> su principal defecto como un modelo para el siglo XXI se puede atribuir a las </w:t>
      </w:r>
      <w:r>
        <w:rPr>
          <w:lang w:val="es-ES_tradnl"/>
        </w:rPr>
        <w:t xml:space="preserve">barreras que le </w:t>
      </w:r>
      <w:r w:rsidRPr="00C06F5C">
        <w:rPr>
          <w:lang w:val="es-ES_tradnl"/>
        </w:rPr>
        <w:t>impone a la capacidad del territorio para internacionalizar su sociedad y la economía</w:t>
      </w:r>
      <w:r>
        <w:rPr>
          <w:lang w:val="es-ES_tradnl"/>
        </w:rPr>
        <w:t>”. Planteó que, e</w:t>
      </w:r>
      <w:r w:rsidRPr="00C06F5C">
        <w:rPr>
          <w:lang w:val="es-ES_tradnl"/>
        </w:rPr>
        <w:t>n una época posterior a la Guerra Fría</w:t>
      </w:r>
      <w:r>
        <w:rPr>
          <w:lang w:val="es-ES_tradnl"/>
        </w:rPr>
        <w:t>, existen signos claros de que la I</w:t>
      </w:r>
      <w:r w:rsidRPr="00C06F5C">
        <w:rPr>
          <w:lang w:val="es-ES_tradnl"/>
        </w:rPr>
        <w:t>sla no ha adoptado plenamente los beneficios de la globalización</w:t>
      </w:r>
      <w:r>
        <w:rPr>
          <w:lang w:val="es-ES_tradnl"/>
        </w:rPr>
        <w:t>. Para avalarlo, aseguró que “</w:t>
      </w:r>
      <w:r w:rsidRPr="00C06F5C">
        <w:rPr>
          <w:lang w:val="es-ES_tradnl"/>
        </w:rPr>
        <w:t>el noventa por ciento del comercio de Puerto Rico es sólo con Estados Unidos, debido a que</w:t>
      </w:r>
      <w:r>
        <w:rPr>
          <w:lang w:val="es-ES_tradnl"/>
        </w:rPr>
        <w:t xml:space="preserve"> </w:t>
      </w:r>
      <w:r w:rsidRPr="00C06F5C">
        <w:rPr>
          <w:lang w:val="es-ES_tradnl"/>
        </w:rPr>
        <w:t>las políticas de comercio federales se hacen para satisfacer los intereses</w:t>
      </w:r>
      <w:r>
        <w:rPr>
          <w:lang w:val="es-ES_tradnl"/>
        </w:rPr>
        <w:t>”</w:t>
      </w:r>
      <w:r w:rsidRPr="00C06F5C">
        <w:rPr>
          <w:lang w:val="es-ES_tradnl"/>
        </w:rPr>
        <w:t xml:space="preserve"> de </w:t>
      </w:r>
      <w:r>
        <w:rPr>
          <w:lang w:val="es-ES_tradnl"/>
        </w:rPr>
        <w:t xml:space="preserve">ese país y que </w:t>
      </w:r>
      <w:r w:rsidRPr="00C06F5C">
        <w:rPr>
          <w:lang w:val="es-ES_tradnl"/>
        </w:rPr>
        <w:t xml:space="preserve">Puerto Rico está sujeto a </w:t>
      </w:r>
      <w:r>
        <w:rPr>
          <w:lang w:val="es-ES_tradnl"/>
        </w:rPr>
        <w:t>su</w:t>
      </w:r>
      <w:r w:rsidRPr="00C06F5C">
        <w:rPr>
          <w:lang w:val="es-ES_tradnl"/>
        </w:rPr>
        <w:t xml:space="preserve">s leyes </w:t>
      </w:r>
      <w:r>
        <w:rPr>
          <w:lang w:val="es-ES_tradnl"/>
        </w:rPr>
        <w:t xml:space="preserve">de </w:t>
      </w:r>
      <w:r w:rsidRPr="00C06F5C">
        <w:rPr>
          <w:lang w:val="es-ES_tradnl"/>
        </w:rPr>
        <w:t>aduana</w:t>
      </w:r>
      <w:r>
        <w:rPr>
          <w:lang w:val="es-ES_tradnl"/>
        </w:rPr>
        <w:t>.</w:t>
      </w:r>
    </w:p>
    <w:p w:rsidR="005A5E7D" w:rsidRPr="00C06F5C" w:rsidRDefault="005A5E7D" w:rsidP="005A5E7D">
      <w:pPr>
        <w:rPr>
          <w:lang w:val="es-ES_tradnl"/>
        </w:rPr>
      </w:pPr>
      <w:r>
        <w:rPr>
          <w:lang w:val="es-ES_tradnl"/>
        </w:rPr>
        <w:t>Según el autor, l</w:t>
      </w:r>
      <w:r w:rsidRPr="00C06F5C">
        <w:rPr>
          <w:lang w:val="es-ES_tradnl"/>
        </w:rPr>
        <w:t>as barreras comerciales han imped</w:t>
      </w:r>
      <w:r>
        <w:rPr>
          <w:lang w:val="es-ES_tradnl"/>
        </w:rPr>
        <w:t>ido la plena integración de la I</w:t>
      </w:r>
      <w:r w:rsidRPr="00C06F5C">
        <w:rPr>
          <w:lang w:val="es-ES_tradnl"/>
        </w:rPr>
        <w:t xml:space="preserve">sla </w:t>
      </w:r>
      <w:r>
        <w:rPr>
          <w:lang w:val="es-ES_tradnl"/>
        </w:rPr>
        <w:t>“</w:t>
      </w:r>
      <w:r w:rsidRPr="00C06F5C">
        <w:rPr>
          <w:lang w:val="es-ES_tradnl"/>
        </w:rPr>
        <w:t>a los mercados globales y el desarrollo de industrias competitivas a nivel mundial. Además, gran parte del sector privado se ha basado en la manufactura y las industrias farmacéuticas a cargo de empresas de EE.UU. y un sector turístico orientado a los estadounidenses</w:t>
      </w:r>
      <w:r>
        <w:rPr>
          <w:lang w:val="es-ES_tradnl"/>
        </w:rPr>
        <w:t>”</w:t>
      </w:r>
      <w:r w:rsidRPr="00C06F5C">
        <w:rPr>
          <w:lang w:val="es-ES_tradnl"/>
        </w:rPr>
        <w:t xml:space="preserve">. </w:t>
      </w:r>
      <w:r>
        <w:rPr>
          <w:lang w:val="es-ES_tradnl"/>
        </w:rPr>
        <w:t>Para Clar la</w:t>
      </w:r>
      <w:r w:rsidRPr="00C06F5C">
        <w:rPr>
          <w:lang w:val="es-ES_tradnl"/>
        </w:rPr>
        <w:t xml:space="preserve"> </w:t>
      </w:r>
      <w:r>
        <w:rPr>
          <w:lang w:val="es-ES_tradnl"/>
        </w:rPr>
        <w:t>“</w:t>
      </w:r>
      <w:r w:rsidRPr="00C06F5C">
        <w:rPr>
          <w:lang w:val="es-ES_tradnl"/>
        </w:rPr>
        <w:t xml:space="preserve">estrategia </w:t>
      </w:r>
      <w:r>
        <w:rPr>
          <w:lang w:val="es-ES_tradnl"/>
        </w:rPr>
        <w:t xml:space="preserve">de </w:t>
      </w:r>
      <w:r w:rsidRPr="00C06F5C">
        <w:rPr>
          <w:lang w:val="es-ES_tradnl"/>
        </w:rPr>
        <w:t>crecimiento económico de los gobiernos locales se ha centrado históricamente en atraer inversiones extranjeras y de Estados Unidos. Esta política miope ha dado lugar a una falla en</w:t>
      </w:r>
      <w:r>
        <w:rPr>
          <w:lang w:val="es-ES_tradnl"/>
        </w:rPr>
        <w:t xml:space="preserve"> </w:t>
      </w:r>
      <w:r w:rsidRPr="00C06F5C">
        <w:rPr>
          <w:lang w:val="es-ES_tradnl"/>
        </w:rPr>
        <w:t>el desarrollo de sectores lo</w:t>
      </w:r>
      <w:r>
        <w:rPr>
          <w:lang w:val="es-ES_tradnl"/>
        </w:rPr>
        <w:t>cales exportadores competitivos</w:t>
      </w:r>
      <w:r w:rsidRPr="00C06F5C">
        <w:rPr>
          <w:lang w:val="es-ES_tradnl"/>
        </w:rPr>
        <w:t>” (Clar, 2013</w:t>
      </w:r>
      <w:r>
        <w:rPr>
          <w:lang w:val="es-ES_tradnl"/>
        </w:rPr>
        <w:t>).</w:t>
      </w:r>
    </w:p>
    <w:p w:rsidR="005A5E7D" w:rsidRDefault="005A5E7D" w:rsidP="005A5E7D">
      <w:pPr>
        <w:rPr>
          <w:lang w:val="es-ES_tradnl"/>
        </w:rPr>
      </w:pPr>
      <w:r w:rsidRPr="00C06F5C">
        <w:rPr>
          <w:lang w:val="es-ES_tradnl"/>
        </w:rPr>
        <w:t>E</w:t>
      </w:r>
      <w:r>
        <w:rPr>
          <w:lang w:val="es-ES_tradnl"/>
        </w:rPr>
        <w:t xml:space="preserve">n un escrito </w:t>
      </w:r>
      <w:r w:rsidRPr="008112EF">
        <w:rPr>
          <w:lang w:val="es-ES_tradnl"/>
        </w:rPr>
        <w:t>relacionado con la estrategia de desar</w:t>
      </w:r>
      <w:r>
        <w:rPr>
          <w:lang w:val="es-ES_tradnl"/>
        </w:rPr>
        <w:t>rollo económico adoptada en la I</w:t>
      </w:r>
      <w:r w:rsidRPr="008112EF">
        <w:rPr>
          <w:lang w:val="es-ES_tradnl"/>
        </w:rPr>
        <w:t>sla a partir de 1948, Dietz present</w:t>
      </w:r>
      <w:r>
        <w:rPr>
          <w:lang w:val="es-ES_tradnl"/>
        </w:rPr>
        <w:t>ó</w:t>
      </w:r>
      <w:r w:rsidRPr="008112EF">
        <w:rPr>
          <w:lang w:val="es-ES_tradnl"/>
        </w:rPr>
        <w:t xml:space="preserve"> un análisis detallado de</w:t>
      </w:r>
      <w:r>
        <w:rPr>
          <w:lang w:val="es-ES_tradnl"/>
        </w:rPr>
        <w:t>l ascenso</w:t>
      </w:r>
      <w:r w:rsidRPr="008112EF">
        <w:rPr>
          <w:lang w:val="es-ES_tradnl"/>
        </w:rPr>
        <w:t xml:space="preserve"> y la caída de la </w:t>
      </w:r>
      <w:r>
        <w:rPr>
          <w:lang w:val="es-ES_tradnl"/>
        </w:rPr>
        <w:t>“</w:t>
      </w:r>
      <w:r w:rsidRPr="008112EF">
        <w:rPr>
          <w:lang w:val="es-ES_tradnl"/>
        </w:rPr>
        <w:t>Operación Manos a la Obra</w:t>
      </w:r>
      <w:r>
        <w:rPr>
          <w:lang w:val="es-ES_tradnl"/>
        </w:rPr>
        <w:t>”</w:t>
      </w:r>
      <w:r w:rsidRPr="008112EF">
        <w:rPr>
          <w:lang w:val="es-ES_tradnl"/>
        </w:rPr>
        <w:t>.</w:t>
      </w:r>
      <w:r>
        <w:rPr>
          <w:lang w:val="es-ES_tradnl"/>
        </w:rPr>
        <w:t xml:space="preserve"> El principal fracaso de ese</w:t>
      </w:r>
      <w:r w:rsidRPr="008112EF">
        <w:rPr>
          <w:lang w:val="es-ES_tradnl"/>
        </w:rPr>
        <w:t xml:space="preserve"> programa </w:t>
      </w:r>
      <w:r>
        <w:rPr>
          <w:lang w:val="es-ES_tradnl"/>
        </w:rPr>
        <w:t>fue</w:t>
      </w:r>
      <w:r w:rsidRPr="008112EF">
        <w:rPr>
          <w:lang w:val="es-ES_tradnl"/>
        </w:rPr>
        <w:t xml:space="preserve"> su dependencia casi t</w:t>
      </w:r>
      <w:r>
        <w:rPr>
          <w:lang w:val="es-ES_tradnl"/>
        </w:rPr>
        <w:t xml:space="preserve">otal de la inversión directa no </w:t>
      </w:r>
      <w:r w:rsidRPr="008112EF">
        <w:rPr>
          <w:lang w:val="es-ES_tradnl"/>
        </w:rPr>
        <w:t>local (</w:t>
      </w:r>
      <w:r>
        <w:rPr>
          <w:lang w:val="es-ES_tradnl"/>
        </w:rPr>
        <w:t>estadounidense</w:t>
      </w:r>
      <w:r w:rsidRPr="008112EF">
        <w:rPr>
          <w:lang w:val="es-ES_tradnl"/>
        </w:rPr>
        <w:t xml:space="preserve">) para promover el desarrollo industrial. </w:t>
      </w:r>
      <w:r>
        <w:rPr>
          <w:lang w:val="es-ES_tradnl"/>
        </w:rPr>
        <w:t>El autor</w:t>
      </w:r>
      <w:r w:rsidRPr="008112EF">
        <w:rPr>
          <w:lang w:val="es-ES_tradnl"/>
        </w:rPr>
        <w:t xml:space="preserve"> </w:t>
      </w:r>
      <w:r>
        <w:rPr>
          <w:lang w:val="es-ES_tradnl"/>
        </w:rPr>
        <w:t>comparó la experiencia de los “tigres asiáticos”</w:t>
      </w:r>
      <w:r w:rsidRPr="008112EF">
        <w:rPr>
          <w:lang w:val="es-ES_tradnl"/>
        </w:rPr>
        <w:t xml:space="preserve"> </w:t>
      </w:r>
      <w:r w:rsidRPr="00C06F5C">
        <w:rPr>
          <w:lang w:val="es-ES_tradnl"/>
        </w:rPr>
        <w:t>y Puerto Rico para demostrar cómo</w:t>
      </w:r>
      <w:r>
        <w:rPr>
          <w:lang w:val="es-ES_tradnl"/>
        </w:rPr>
        <w:t>,</w:t>
      </w:r>
      <w:r w:rsidRPr="00C06F5C">
        <w:rPr>
          <w:lang w:val="es-ES_tradnl"/>
        </w:rPr>
        <w:t xml:space="preserve"> mediante la promoción de la iniciativa empresarial </w:t>
      </w:r>
      <w:r>
        <w:rPr>
          <w:lang w:val="es-ES_tradnl"/>
        </w:rPr>
        <w:t>puertorriqueña</w:t>
      </w:r>
      <w:r w:rsidRPr="00C06F5C">
        <w:rPr>
          <w:lang w:val="es-ES_tradnl"/>
        </w:rPr>
        <w:t xml:space="preserve">, </w:t>
      </w:r>
      <w:r>
        <w:rPr>
          <w:lang w:val="es-ES_tradnl"/>
        </w:rPr>
        <w:t xml:space="preserve">estos países de Asia </w:t>
      </w:r>
      <w:r w:rsidRPr="008112EF">
        <w:rPr>
          <w:lang w:val="es-ES_tradnl"/>
        </w:rPr>
        <w:t>oriental</w:t>
      </w:r>
      <w:r w:rsidRPr="00C06F5C">
        <w:rPr>
          <w:lang w:val="es-ES_tradnl"/>
        </w:rPr>
        <w:t xml:space="preserve"> superaron </w:t>
      </w:r>
      <w:r>
        <w:rPr>
          <w:lang w:val="es-ES_tradnl"/>
        </w:rPr>
        <w:t>a la Isla,</w:t>
      </w:r>
      <w:r w:rsidRPr="00C06F5C">
        <w:rPr>
          <w:lang w:val="es-ES_tradnl"/>
        </w:rPr>
        <w:t xml:space="preserve"> a pesar de ser igualmente pequeñas economías abiertas.</w:t>
      </w:r>
    </w:p>
    <w:p w:rsidR="005A5E7D" w:rsidRDefault="005A5E7D" w:rsidP="005A5E7D">
      <w:pPr>
        <w:rPr>
          <w:lang w:val="es-ES_tradnl"/>
        </w:rPr>
      </w:pPr>
      <w:r w:rsidRPr="00C06F5C">
        <w:rPr>
          <w:lang w:val="es-ES_tradnl"/>
        </w:rPr>
        <w:t>Basándose en la inversión extranjera directa (IED</w:t>
      </w:r>
      <w:r>
        <w:rPr>
          <w:lang w:val="es-ES_tradnl"/>
        </w:rPr>
        <w:t>)</w:t>
      </w:r>
      <w:r w:rsidRPr="00C06F5C">
        <w:rPr>
          <w:lang w:val="es-ES_tradnl"/>
        </w:rPr>
        <w:t xml:space="preserve"> como motor de desarrollo</w:t>
      </w:r>
      <w:r>
        <w:rPr>
          <w:lang w:val="es-ES_tradnl"/>
        </w:rPr>
        <w:t>, dio lugar a “</w:t>
      </w:r>
      <w:r w:rsidRPr="00C06F5C">
        <w:rPr>
          <w:lang w:val="es-ES_tradnl"/>
        </w:rPr>
        <w:t>una</w:t>
      </w:r>
      <w:r>
        <w:rPr>
          <w:lang w:val="es-ES_tradnl"/>
        </w:rPr>
        <w:t xml:space="preserve"> </w:t>
      </w:r>
      <w:r w:rsidRPr="00C06F5C">
        <w:rPr>
          <w:lang w:val="es-ES_tradnl"/>
        </w:rPr>
        <w:t xml:space="preserve">trayectoria </w:t>
      </w:r>
      <w:r>
        <w:rPr>
          <w:lang w:val="es-ES_tradnl"/>
        </w:rPr>
        <w:t xml:space="preserve">de </w:t>
      </w:r>
      <w:r w:rsidRPr="00C06F5C">
        <w:rPr>
          <w:lang w:val="es-ES_tradnl"/>
        </w:rPr>
        <w:t xml:space="preserve">adversa dependencia” para Puerto Rico (J. Dietz, 2003). Al recomendar que el </w:t>
      </w:r>
      <w:r>
        <w:rPr>
          <w:lang w:val="es-ES_tradnl"/>
        </w:rPr>
        <w:t>Gobierno</w:t>
      </w:r>
      <w:r w:rsidRPr="00C06F5C">
        <w:rPr>
          <w:lang w:val="es-ES_tradnl"/>
        </w:rPr>
        <w:t xml:space="preserve"> de Puerto Rico prom</w:t>
      </w:r>
      <w:r>
        <w:rPr>
          <w:lang w:val="es-ES_tradnl"/>
        </w:rPr>
        <w:t>oviese</w:t>
      </w:r>
      <w:r w:rsidRPr="00C06F5C">
        <w:rPr>
          <w:lang w:val="es-ES_tradnl"/>
        </w:rPr>
        <w:t xml:space="preserve"> políticas similares a </w:t>
      </w:r>
      <w:r>
        <w:rPr>
          <w:lang w:val="es-ES_tradnl"/>
        </w:rPr>
        <w:t xml:space="preserve">las de </w:t>
      </w:r>
      <w:r w:rsidRPr="00C06F5C">
        <w:rPr>
          <w:lang w:val="es-ES_tradnl"/>
        </w:rPr>
        <w:t>los tigres de Asia oriental, y que se convi</w:t>
      </w:r>
      <w:r>
        <w:rPr>
          <w:lang w:val="es-ES_tradnl"/>
        </w:rPr>
        <w:t>rtiese en "el Singapur del Caribe"</w:t>
      </w:r>
      <w:r w:rsidRPr="00C06F5C">
        <w:rPr>
          <w:lang w:val="es-ES_tradnl"/>
        </w:rPr>
        <w:t xml:space="preserve"> para est</w:t>
      </w:r>
      <w:r>
        <w:rPr>
          <w:lang w:val="es-ES_tradnl"/>
        </w:rPr>
        <w:t>imular el crecimiento económico,</w:t>
      </w:r>
      <w:r w:rsidRPr="00C06F5C">
        <w:rPr>
          <w:lang w:val="es-ES_tradnl"/>
        </w:rPr>
        <w:t xml:space="preserve"> Dietz </w:t>
      </w:r>
      <w:r>
        <w:rPr>
          <w:lang w:val="es-ES_tradnl"/>
        </w:rPr>
        <w:t>partió de la premisa de</w:t>
      </w:r>
      <w:r w:rsidRPr="00C06F5C">
        <w:rPr>
          <w:lang w:val="es-ES_tradnl"/>
        </w:rPr>
        <w:t xml:space="preserve"> que el </w:t>
      </w:r>
      <w:r>
        <w:rPr>
          <w:lang w:val="es-ES_tradnl"/>
        </w:rPr>
        <w:t>Gobierno</w:t>
      </w:r>
      <w:r w:rsidRPr="00C06F5C">
        <w:rPr>
          <w:lang w:val="es-ES_tradnl"/>
        </w:rPr>
        <w:t xml:space="preserve"> del Estado Libre Asociado tie</w:t>
      </w:r>
      <w:r>
        <w:rPr>
          <w:lang w:val="es-ES_tradnl"/>
        </w:rPr>
        <w:t>ne la capacidad de promover polí</w:t>
      </w:r>
      <w:r w:rsidRPr="00C06F5C">
        <w:rPr>
          <w:lang w:val="es-ES_tradnl"/>
        </w:rPr>
        <w:t>ticas económicas</w:t>
      </w:r>
      <w:r>
        <w:rPr>
          <w:lang w:val="es-ES_tradnl"/>
        </w:rPr>
        <w:t xml:space="preserve"> nacionales o cuasinacionales </w:t>
      </w:r>
      <w:r w:rsidRPr="00C06F5C">
        <w:rPr>
          <w:lang w:val="es-ES_tradnl"/>
        </w:rPr>
        <w:t xml:space="preserve">para promover el desarrollo económico. </w:t>
      </w:r>
      <w:r>
        <w:rPr>
          <w:lang w:val="es-ES_tradnl"/>
        </w:rPr>
        <w:t>N</w:t>
      </w:r>
      <w:r w:rsidRPr="00C06F5C">
        <w:rPr>
          <w:lang w:val="es-ES_tradnl"/>
        </w:rPr>
        <w:t>o ignor</w:t>
      </w:r>
      <w:r>
        <w:rPr>
          <w:lang w:val="es-ES_tradnl"/>
        </w:rPr>
        <w:t>ó</w:t>
      </w:r>
      <w:r w:rsidRPr="00C06F5C">
        <w:rPr>
          <w:lang w:val="es-ES_tradnl"/>
        </w:rPr>
        <w:t xml:space="preserve"> las restricciones coloniales</w:t>
      </w:r>
      <w:r>
        <w:rPr>
          <w:lang w:val="es-ES_tradnl"/>
        </w:rPr>
        <w:t>,</w:t>
      </w:r>
      <w:r w:rsidRPr="00C06F5C">
        <w:rPr>
          <w:lang w:val="es-ES_tradnl"/>
        </w:rPr>
        <w:t xml:space="preserve"> pero cre</w:t>
      </w:r>
      <w:r>
        <w:rPr>
          <w:lang w:val="es-ES_tradnl"/>
        </w:rPr>
        <w:t>yó</w:t>
      </w:r>
      <w:r w:rsidRPr="00C06F5C">
        <w:rPr>
          <w:lang w:val="es-ES_tradnl"/>
        </w:rPr>
        <w:t xml:space="preserve"> que se p</w:t>
      </w:r>
      <w:r>
        <w:rPr>
          <w:lang w:val="es-ES_tradnl"/>
        </w:rPr>
        <w:t>odían superar mediante un</w:t>
      </w:r>
      <w:r w:rsidRPr="00C06F5C">
        <w:rPr>
          <w:lang w:val="es-ES_tradnl"/>
        </w:rPr>
        <w:t xml:space="preserve">a política hábil de decisiones. </w:t>
      </w:r>
      <w:r>
        <w:rPr>
          <w:lang w:val="es-ES_tradnl"/>
        </w:rPr>
        <w:t>Su</w:t>
      </w:r>
      <w:r w:rsidRPr="00C06F5C">
        <w:rPr>
          <w:lang w:val="es-ES_tradnl"/>
        </w:rPr>
        <w:t xml:space="preserve"> diagnóstico del fracaso de la Operación Manos a la Obra resume el componente económico de la paradoja de Puerto Rico: a pesar de los más de cincuenta años de desarrollo industrial, el rendimiento de la</w:t>
      </w:r>
      <w:r>
        <w:rPr>
          <w:lang w:val="es-ES_tradnl"/>
        </w:rPr>
        <w:t xml:space="preserve"> </w:t>
      </w:r>
      <w:r w:rsidRPr="00C06F5C">
        <w:rPr>
          <w:lang w:val="es-ES_tradnl"/>
        </w:rPr>
        <w:t>economía de Puerto Rico va a la zaga de p</w:t>
      </w:r>
      <w:r>
        <w:rPr>
          <w:lang w:val="es-ES_tradnl"/>
        </w:rPr>
        <w:t>equeñas economías comparables (c</w:t>
      </w:r>
      <w:r w:rsidRPr="00C06F5C">
        <w:rPr>
          <w:lang w:val="es-ES_tradnl"/>
        </w:rPr>
        <w:t>itado en Emilio Pantojas, 2005).</w:t>
      </w:r>
    </w:p>
    <w:p w:rsidR="00344E15" w:rsidRDefault="005A5E7D" w:rsidP="00344E15">
      <w:pPr>
        <w:rPr>
          <w:lang w:val="es-ES_tradnl"/>
        </w:rPr>
      </w:pPr>
      <w:r w:rsidRPr="00050DED">
        <w:rPr>
          <w:lang w:val="es-ES_tradnl"/>
        </w:rPr>
        <w:t>La CEPAL (</w:t>
      </w:r>
      <w:r w:rsidRPr="00050DED">
        <w:rPr>
          <w:rFonts w:cs="Arial"/>
          <w:szCs w:val="26"/>
          <w:lang w:val="es-ES_tradnl"/>
        </w:rPr>
        <w:t>Comisión Económica para América Latina y el Caribe</w:t>
      </w:r>
      <w:r w:rsidRPr="00050DED">
        <w:rPr>
          <w:lang w:val="es-ES_tradnl"/>
        </w:rPr>
        <w:t xml:space="preserve">) coincidió en aspectos importantes con Dietz. Según su informe y posterior libro </w:t>
      </w:r>
      <w:r w:rsidRPr="00050DED">
        <w:rPr>
          <w:rFonts w:cs="Times"/>
          <w:bCs/>
          <w:i/>
          <w:color w:val="1A1A1A"/>
          <w:szCs w:val="24"/>
          <w:lang w:val="es-ES_tradnl"/>
        </w:rPr>
        <w:t>Globalización y desarrollo: desafíos de Puerto Rico frente al siglo XXI</w:t>
      </w:r>
      <w:r w:rsidRPr="00050DED">
        <w:rPr>
          <w:lang w:val="es-ES_tradnl"/>
        </w:rPr>
        <w:t>:</w:t>
      </w:r>
    </w:p>
    <w:p w:rsidR="005A5E7D" w:rsidRPr="005300BC" w:rsidRDefault="005A5E7D" w:rsidP="00344E15">
      <w:pPr>
        <w:rPr>
          <w:rFonts w:eastAsia="Times New Roman"/>
          <w:szCs w:val="24"/>
        </w:rPr>
      </w:pPr>
      <w:r w:rsidRPr="00C06F5C">
        <w:rPr>
          <w:lang w:val="es-ES_tradnl"/>
        </w:rPr>
        <w:t>El desarrollo limitado de la industria de capital local, fuera de las actividades de servicios y comercialización de bienes, y la escasa participación de los empresarios puertorriqueños en el comercio exterior, ha sido uno de los resultados menos favorables de la estrategia seguida en la segunda mitad del siglo XX. Puerto Rico exhibe el dualismo de ser una economía eminentemente exportadora y a la misma vez casi desprovista de empresas locales exportadoras; ésta es una de las dimensiones del desarrollo que más preocupa a los puertorriqueños. Existe una aguda conciencia de la importancia de fortalecer la industria de capital local y proyectarla hacia los mercados externos, sobre todo en el entorno actual caracterizado por acuerdos y negociaciones comerciales co</w:t>
      </w:r>
      <w:r>
        <w:rPr>
          <w:lang w:val="es-ES_tradnl"/>
        </w:rPr>
        <w:t>mo el TLCAN, el CAFTA y el ALCA. (CEPAL, 2005)</w:t>
      </w:r>
    </w:p>
    <w:p w:rsidR="005A5E7D" w:rsidRDefault="005A5E7D" w:rsidP="005A5E7D">
      <w:pPr>
        <w:rPr>
          <w:lang w:val="es-ES_tradnl"/>
        </w:rPr>
      </w:pPr>
    </w:p>
    <w:p w:rsidR="005A5E7D" w:rsidRPr="00C06F5C" w:rsidRDefault="005A5E7D" w:rsidP="005A5E7D">
      <w:pPr>
        <w:rPr>
          <w:lang w:val="es-ES_tradnl"/>
        </w:rPr>
      </w:pPr>
      <w:r w:rsidRPr="00C06F5C">
        <w:rPr>
          <w:lang w:val="es-ES_tradnl"/>
        </w:rPr>
        <w:t xml:space="preserve"> Según </w:t>
      </w:r>
      <w:r>
        <w:rPr>
          <w:lang w:val="es-ES_tradnl"/>
        </w:rPr>
        <w:t>la CEPAL,</w:t>
      </w:r>
      <w:r w:rsidRPr="00C06F5C">
        <w:rPr>
          <w:lang w:val="es-ES_tradnl"/>
        </w:rPr>
        <w:t xml:space="preserve"> “la experiencia puertorriqueña ilustra tanto las ventajas como los riesgos de una estrategia de desarrollo que asigna un papel principal a la manufactura de capital externo. Si bien se logr</w:t>
      </w:r>
      <w:r>
        <w:rPr>
          <w:lang w:val="es-ES_tradnl"/>
        </w:rPr>
        <w:t>ó</w:t>
      </w:r>
      <w:r w:rsidRPr="00C06F5C">
        <w:rPr>
          <w:lang w:val="es-ES_tradnl"/>
        </w:rPr>
        <w:t xml:space="preserve"> establecer una base industrial importante y competitiva en muchas ramas, se vio que no es conveniente ni deseable que la competitividad descanse casi exclusivamente en un número reducido de industrias manufactureras de alta tecnología, máxime si tienen una red limitada de conexión con el resto de la economía y su capacidad de generar empleo también es limitada. Se desprende de esta experiencia que el desarrollo de los eslabonamientos industriales y la transferencia de tecnología, que son los beneficios potenciales más importantes de la atracción de capacidad industrial del exterior</w:t>
      </w:r>
      <w:r>
        <w:rPr>
          <w:lang w:val="es-ES_tradnl"/>
        </w:rPr>
        <w:t>,</w:t>
      </w:r>
      <w:r w:rsidRPr="00C06F5C">
        <w:rPr>
          <w:lang w:val="es-ES_tradnl"/>
        </w:rPr>
        <w:t xml:space="preserve"> no son necesariamente procesos automáticos, sino que requieren la implantación de políticas públicas que las hagan posibles y las promuevan. </w:t>
      </w:r>
    </w:p>
    <w:p w:rsidR="005A5E7D" w:rsidRDefault="005A5E7D" w:rsidP="005A5E7D">
      <w:pPr>
        <w:rPr>
          <w:szCs w:val="20"/>
          <w:lang w:val="es-ES_tradnl"/>
        </w:rPr>
      </w:pPr>
      <w:r w:rsidRPr="00C06F5C">
        <w:rPr>
          <w:lang w:val="es-ES_tradnl"/>
        </w:rPr>
        <w:t>Abundando sobre los eslabonamientos industriales</w:t>
      </w:r>
      <w:r>
        <w:rPr>
          <w:lang w:val="es-ES_tradnl"/>
        </w:rPr>
        <w:t>,</w:t>
      </w:r>
      <w:r w:rsidRPr="00C06F5C">
        <w:rPr>
          <w:lang w:val="es-ES_tradnl"/>
        </w:rPr>
        <w:t xml:space="preserve"> Ángel Ruiz y Edward Wolff</w:t>
      </w:r>
      <w:r>
        <w:rPr>
          <w:lang w:val="es-ES_tradnl"/>
        </w:rPr>
        <w:t xml:space="preserve"> </w:t>
      </w:r>
      <w:r w:rsidRPr="00C06F5C">
        <w:rPr>
          <w:szCs w:val="20"/>
          <w:lang w:val="es-ES_tradnl"/>
        </w:rPr>
        <w:t>llama</w:t>
      </w:r>
      <w:r>
        <w:rPr>
          <w:szCs w:val="20"/>
          <w:lang w:val="es-ES_tradnl"/>
        </w:rPr>
        <w:t>ron</w:t>
      </w:r>
      <w:r w:rsidRPr="00C06F5C">
        <w:rPr>
          <w:szCs w:val="20"/>
          <w:lang w:val="es-ES_tradnl"/>
        </w:rPr>
        <w:t xml:space="preserve"> la</w:t>
      </w:r>
      <w:r>
        <w:rPr>
          <w:szCs w:val="20"/>
          <w:lang w:val="es-ES_tradnl"/>
        </w:rPr>
        <w:t xml:space="preserve"> atención sobre la naturaleza “de enclave”</w:t>
      </w:r>
      <w:r w:rsidRPr="00C06F5C">
        <w:rPr>
          <w:szCs w:val="20"/>
          <w:lang w:val="es-ES_tradnl"/>
        </w:rPr>
        <w:t xml:space="preserve"> de las industrias de exportación de Puerto Rico, que se basan en gran medida en las </w:t>
      </w:r>
      <w:r>
        <w:rPr>
          <w:szCs w:val="20"/>
          <w:lang w:val="es-ES_tradnl"/>
        </w:rPr>
        <w:t xml:space="preserve">de Estados Unidos, </w:t>
      </w:r>
      <w:r w:rsidRPr="00C06F5C">
        <w:rPr>
          <w:szCs w:val="20"/>
          <w:lang w:val="es-ES_tradnl"/>
        </w:rPr>
        <w:t>en las importaciones de insumos intermedios y producción para la exportación</w:t>
      </w:r>
      <w:r>
        <w:rPr>
          <w:szCs w:val="20"/>
          <w:lang w:val="es-ES_tradnl"/>
        </w:rPr>
        <w:t>,</w:t>
      </w:r>
      <w:r w:rsidRPr="00C06F5C">
        <w:rPr>
          <w:szCs w:val="20"/>
          <w:lang w:val="es-ES_tradnl"/>
        </w:rPr>
        <w:t xml:space="preserve"> y que generan pérdidas sustanciales por filtraciones</w:t>
      </w:r>
      <w:r>
        <w:rPr>
          <w:szCs w:val="20"/>
          <w:lang w:val="es-ES_tradnl"/>
        </w:rPr>
        <w:t xml:space="preserve"> </w:t>
      </w:r>
      <w:r w:rsidRPr="00C06F5C">
        <w:rPr>
          <w:szCs w:val="20"/>
          <w:lang w:val="es-ES_tradnl"/>
        </w:rPr>
        <w:t>ocasionadas por las</w:t>
      </w:r>
      <w:r>
        <w:rPr>
          <w:szCs w:val="20"/>
          <w:lang w:val="es-ES_tradnl"/>
        </w:rPr>
        <w:t xml:space="preserve"> importaciones (</w:t>
      </w:r>
      <w:r>
        <w:rPr>
          <w:i/>
          <w:szCs w:val="20"/>
          <w:lang w:val="es-ES_tradnl"/>
        </w:rPr>
        <w:t>import l</w:t>
      </w:r>
      <w:r w:rsidRPr="00B948EB">
        <w:rPr>
          <w:i/>
          <w:szCs w:val="20"/>
          <w:lang w:val="es-ES_tradnl"/>
        </w:rPr>
        <w:t>ea</w:t>
      </w:r>
      <w:r>
        <w:rPr>
          <w:i/>
          <w:szCs w:val="20"/>
          <w:lang w:val="es-ES_tradnl"/>
        </w:rPr>
        <w:t>ka</w:t>
      </w:r>
      <w:r w:rsidRPr="00B948EB">
        <w:rPr>
          <w:i/>
          <w:szCs w:val="20"/>
          <w:lang w:val="es-ES_tradnl"/>
        </w:rPr>
        <w:t>ges</w:t>
      </w:r>
      <w:r w:rsidRPr="00C06F5C">
        <w:rPr>
          <w:szCs w:val="20"/>
          <w:lang w:val="es-ES_tradnl"/>
        </w:rPr>
        <w:t>). Las industrias de exportación siguen funcionando básicamente como sucursales de los sus propietarios estadounidenses, y aún no se han integrado plenamente en la</w:t>
      </w:r>
      <w:r>
        <w:rPr>
          <w:szCs w:val="20"/>
          <w:lang w:val="es-ES_tradnl"/>
        </w:rPr>
        <w:t xml:space="preserve"> economía de Puerto Rico. L</w:t>
      </w:r>
      <w:r w:rsidRPr="00C06F5C">
        <w:rPr>
          <w:szCs w:val="20"/>
          <w:lang w:val="es-ES_tradnl"/>
        </w:rPr>
        <w:t xml:space="preserve">as industrias manufactureras en </w:t>
      </w:r>
      <w:r>
        <w:rPr>
          <w:szCs w:val="20"/>
          <w:lang w:val="es-ES_tradnl"/>
        </w:rPr>
        <w:t>la Isla</w:t>
      </w:r>
      <w:r w:rsidRPr="00C06F5C">
        <w:rPr>
          <w:szCs w:val="20"/>
          <w:lang w:val="es-ES_tradnl"/>
        </w:rPr>
        <w:t xml:space="preserve"> han permanecido aisladas del resto de la economía y han generado pocos empleos. </w:t>
      </w:r>
      <w:r w:rsidRPr="00CC3294">
        <w:rPr>
          <w:lang w:val="es-ES_tradnl"/>
        </w:rPr>
        <w:t>Se caracterizan por las filtraciones hacia afuera de importación bajos multiplicadores de empleo</w:t>
      </w:r>
      <w:r w:rsidRPr="00C06F5C">
        <w:rPr>
          <w:szCs w:val="20"/>
          <w:lang w:val="es-ES_tradnl"/>
        </w:rPr>
        <w:t>. Esto sigue siendo cierto</w:t>
      </w:r>
      <w:r>
        <w:rPr>
          <w:szCs w:val="20"/>
          <w:lang w:val="es-ES_tradnl"/>
        </w:rPr>
        <w:t>,</w:t>
      </w:r>
      <w:r w:rsidRPr="00C06F5C">
        <w:rPr>
          <w:szCs w:val="20"/>
          <w:lang w:val="es-ES_tradnl"/>
        </w:rPr>
        <w:t xml:space="preserve"> a pesar de un modesto grado de sustitución de importaciones de insumos en la producción de productos de exportación entre 1</w:t>
      </w:r>
      <w:r>
        <w:rPr>
          <w:szCs w:val="20"/>
          <w:lang w:val="es-ES_tradnl"/>
        </w:rPr>
        <w:t>967 y 1987.</w:t>
      </w:r>
    </w:p>
    <w:p w:rsidR="005A5E7D" w:rsidRDefault="005A5E7D" w:rsidP="005A5E7D">
      <w:pPr>
        <w:rPr>
          <w:szCs w:val="20"/>
          <w:lang w:val="es-ES_tradnl"/>
        </w:rPr>
      </w:pPr>
      <w:r w:rsidRPr="00C06F5C">
        <w:rPr>
          <w:szCs w:val="20"/>
          <w:lang w:val="es-ES_tradnl"/>
        </w:rPr>
        <w:t>Por otra parte, los productos manufacturados han experimentado, con mucho, el más rápido crecimiento de la productividad total</w:t>
      </w:r>
      <w:r>
        <w:rPr>
          <w:szCs w:val="20"/>
          <w:lang w:val="es-ES_tradnl"/>
        </w:rPr>
        <w:t xml:space="preserve"> </w:t>
      </w:r>
      <w:r w:rsidRPr="00C06F5C">
        <w:rPr>
          <w:szCs w:val="20"/>
          <w:lang w:val="es-ES_tradnl"/>
        </w:rPr>
        <w:t xml:space="preserve">del trabajo </w:t>
      </w:r>
      <w:r>
        <w:rPr>
          <w:szCs w:val="20"/>
          <w:lang w:val="es-ES_tradnl"/>
        </w:rPr>
        <w:t>(5.7</w:t>
      </w:r>
      <w:r w:rsidRPr="00C06F5C">
        <w:rPr>
          <w:szCs w:val="20"/>
          <w:lang w:val="es-ES_tradnl"/>
        </w:rPr>
        <w:t>% por añ</w:t>
      </w:r>
      <w:r>
        <w:rPr>
          <w:szCs w:val="20"/>
          <w:lang w:val="es-ES_tradnl"/>
        </w:rPr>
        <w:t>o durante el período 1967-1987)</w:t>
      </w:r>
      <w:r w:rsidRPr="00C06F5C">
        <w:rPr>
          <w:szCs w:val="20"/>
          <w:lang w:val="es-ES_tradnl"/>
        </w:rPr>
        <w:t>. Aunque es beneficioso para el crecimi</w:t>
      </w:r>
      <w:r>
        <w:rPr>
          <w:szCs w:val="20"/>
          <w:lang w:val="es-ES_tradnl"/>
        </w:rPr>
        <w:t>ento general del ingreso per cá</w:t>
      </w:r>
      <w:r w:rsidRPr="00C06F5C">
        <w:rPr>
          <w:szCs w:val="20"/>
          <w:lang w:val="es-ES_tradnl"/>
        </w:rPr>
        <w:t xml:space="preserve">pita y de la competitividad internacional de las industrias puertorriqueñas, no ayuda mucho en la creación de nuevos puestos de trabajo. Se recomienda un cambio en la estrategia de desarrollo, a una que </w:t>
      </w:r>
      <w:r>
        <w:rPr>
          <w:szCs w:val="20"/>
          <w:lang w:val="es-ES_tradnl"/>
        </w:rPr>
        <w:t>le dé más</w:t>
      </w:r>
      <w:r w:rsidRPr="00C06F5C">
        <w:rPr>
          <w:szCs w:val="20"/>
          <w:lang w:val="es-ES_tradnl"/>
        </w:rPr>
        <w:t xml:space="preserve"> énfasis en</w:t>
      </w:r>
      <w:r>
        <w:rPr>
          <w:szCs w:val="20"/>
          <w:lang w:val="es-ES_tradnl"/>
        </w:rPr>
        <w:t xml:space="preserve"> </w:t>
      </w:r>
      <w:r w:rsidRPr="00C06F5C">
        <w:rPr>
          <w:szCs w:val="20"/>
          <w:lang w:val="es-ES_tradnl"/>
        </w:rPr>
        <w:t>atraer más industrias intensivas en el uso de mano de obra y sectores que pueden basar su producción en los insumos producidos en Puerto Rico (Ángel Ruiz y E. Wolff, 1996)</w:t>
      </w:r>
      <w:r>
        <w:rPr>
          <w:szCs w:val="20"/>
          <w:lang w:val="es-ES_tradnl"/>
        </w:rPr>
        <w:t>.</w:t>
      </w:r>
    </w:p>
    <w:p w:rsidR="005A5E7D" w:rsidRPr="00012080" w:rsidRDefault="005A5E7D" w:rsidP="005A5E7D">
      <w:pPr>
        <w:spacing w:line="240" w:lineRule="auto"/>
        <w:rPr>
          <w:b/>
          <w:lang w:val="es-ES_tradnl"/>
        </w:rPr>
      </w:pPr>
    </w:p>
    <w:p w:rsidR="005A5E7D" w:rsidRPr="00C06F5C" w:rsidRDefault="005A5E7D" w:rsidP="005A5E7D">
      <w:pPr>
        <w:pStyle w:val="Heading2"/>
        <w:ind w:left="426" w:hanging="426"/>
      </w:pPr>
      <w:bookmarkStart w:id="31" w:name="_Toc384769733"/>
      <w:r>
        <w:t>Visión de los partidos polí</w:t>
      </w:r>
      <w:r w:rsidRPr="00C06F5C">
        <w:t>ticos</w:t>
      </w:r>
      <w:bookmarkEnd w:id="31"/>
    </w:p>
    <w:p w:rsidR="005A5E7D" w:rsidRDefault="005A5E7D" w:rsidP="005A5E7D">
      <w:pPr>
        <w:pStyle w:val="Heading3"/>
        <w:spacing w:line="240" w:lineRule="auto"/>
      </w:pPr>
    </w:p>
    <w:p w:rsidR="005A5E7D" w:rsidRPr="00C06F5C" w:rsidRDefault="005A5E7D" w:rsidP="00816D6E">
      <w:pPr>
        <w:pStyle w:val="Heading3"/>
      </w:pPr>
      <w:bookmarkStart w:id="32" w:name="_Toc384769734"/>
      <w:r>
        <w:t xml:space="preserve">F.1 </w:t>
      </w:r>
      <w:r>
        <w:tab/>
      </w:r>
      <w:r w:rsidRPr="00C06F5C">
        <w:t>Independencia</w:t>
      </w:r>
      <w:bookmarkEnd w:id="32"/>
    </w:p>
    <w:p w:rsidR="005A5E7D" w:rsidRDefault="005A5E7D" w:rsidP="00816D6E">
      <w:pPr>
        <w:pStyle w:val="Heading3"/>
        <w:rPr>
          <w:lang w:val="es-ES_tradnl"/>
        </w:rPr>
      </w:pPr>
    </w:p>
    <w:p w:rsidR="005A5E7D" w:rsidRDefault="005A5E7D" w:rsidP="005A5E7D">
      <w:pPr>
        <w:rPr>
          <w:lang w:val="es-ES_tradnl"/>
        </w:rPr>
      </w:pPr>
      <w:r w:rsidRPr="00C06F5C">
        <w:rPr>
          <w:lang w:val="es-ES_tradnl"/>
        </w:rPr>
        <w:t>En los ar</w:t>
      </w:r>
      <w:r>
        <w:rPr>
          <w:lang w:val="es-ES_tradnl"/>
        </w:rPr>
        <w:t>tículos del profesor José Javier Coló</w:t>
      </w:r>
      <w:r w:rsidRPr="00C06F5C">
        <w:rPr>
          <w:lang w:val="es-ES_tradnl"/>
        </w:rPr>
        <w:t>n (1998)</w:t>
      </w:r>
      <w:r>
        <w:rPr>
          <w:lang w:val="es-ES_tradnl"/>
        </w:rPr>
        <w:t xml:space="preserve"> </w:t>
      </w:r>
      <w:r w:rsidRPr="00C06F5C">
        <w:rPr>
          <w:lang w:val="es-ES_tradnl"/>
        </w:rPr>
        <w:t>y</w:t>
      </w:r>
      <w:r>
        <w:rPr>
          <w:lang w:val="es-ES_tradnl"/>
        </w:rPr>
        <w:t xml:space="preserve"> de</w:t>
      </w:r>
      <w:r w:rsidRPr="00C06F5C">
        <w:rPr>
          <w:lang w:val="es-ES_tradnl"/>
        </w:rPr>
        <w:t xml:space="preserve"> Edwin Meléndez y Ángel Ruiz (1998) se resume</w:t>
      </w:r>
      <w:r>
        <w:rPr>
          <w:lang w:val="es-ES_tradnl"/>
        </w:rPr>
        <w:t>n</w:t>
      </w:r>
      <w:r w:rsidRPr="00C06F5C">
        <w:rPr>
          <w:lang w:val="es-ES_tradnl"/>
        </w:rPr>
        <w:t xml:space="preserve"> los argumentos que</w:t>
      </w:r>
      <w:r>
        <w:rPr>
          <w:lang w:val="es-ES_tradnl"/>
        </w:rPr>
        <w:t xml:space="preserve"> </w:t>
      </w:r>
      <w:r w:rsidRPr="00C06F5C">
        <w:rPr>
          <w:lang w:val="es-ES_tradnl"/>
        </w:rPr>
        <w:t>proponen los defensores</w:t>
      </w:r>
      <w:r>
        <w:rPr>
          <w:lang w:val="es-ES_tradnl"/>
        </w:rPr>
        <w:t xml:space="preserve"> de las de las tres fó</w:t>
      </w:r>
      <w:r w:rsidRPr="00C06F5C">
        <w:rPr>
          <w:lang w:val="es-ES_tradnl"/>
        </w:rPr>
        <w:t>rmulas de estatu</w:t>
      </w:r>
      <w:r>
        <w:rPr>
          <w:lang w:val="es-ES_tradnl"/>
        </w:rPr>
        <w:t>s políticos del país. Según Coló</w:t>
      </w:r>
      <w:r w:rsidRPr="00C06F5C">
        <w:rPr>
          <w:lang w:val="es-ES_tradnl"/>
        </w:rPr>
        <w:t>n</w:t>
      </w:r>
      <w:r>
        <w:rPr>
          <w:lang w:val="es-ES_tradnl"/>
        </w:rPr>
        <w:t>,</w:t>
      </w:r>
      <w:r w:rsidRPr="00C06F5C">
        <w:rPr>
          <w:lang w:val="es-ES_tradnl"/>
        </w:rPr>
        <w:t xml:space="preserve"> “la visión de desarrollo económico bajo la independencia que el PIP defendía en el Congreso de Estados Unidos es de una operación capitalista más costo-efectiva; menos dependiente en transferencias federales, y apartada de la dependencia de incentivos industriales relacionados a impuestos federales</w:t>
      </w:r>
      <w:r>
        <w:rPr>
          <w:lang w:val="es-ES_tradnl"/>
        </w:rPr>
        <w:t>”</w:t>
      </w:r>
      <w:r w:rsidRPr="00C06F5C">
        <w:rPr>
          <w:lang w:val="es-ES_tradnl"/>
        </w:rPr>
        <w:t>.</w:t>
      </w:r>
      <w:r>
        <w:rPr>
          <w:lang w:val="es-ES_tradnl"/>
        </w:rPr>
        <w:t xml:space="preserve"> </w:t>
      </w:r>
      <w:r w:rsidRPr="00C06F5C">
        <w:rPr>
          <w:lang w:val="es-ES_tradnl"/>
        </w:rPr>
        <w:t>Es la visión de una economía independiente disfrutando de una base de inversión externa más diversa</w:t>
      </w:r>
      <w:r>
        <w:rPr>
          <w:lang w:val="es-ES_tradnl"/>
        </w:rPr>
        <w:t>,</w:t>
      </w:r>
      <w:r w:rsidRPr="00C06F5C">
        <w:rPr>
          <w:lang w:val="es-ES_tradnl"/>
        </w:rPr>
        <w:t xml:space="preserve"> junto </w:t>
      </w:r>
      <w:r>
        <w:rPr>
          <w:lang w:val="es-ES_tradnl"/>
        </w:rPr>
        <w:t>con</w:t>
      </w:r>
      <w:r w:rsidRPr="00C06F5C">
        <w:rPr>
          <w:lang w:val="es-ES_tradnl"/>
        </w:rPr>
        <w:t xml:space="preserve"> una floreciente clase capitalista interna.</w:t>
      </w:r>
      <w:r>
        <w:rPr>
          <w:lang w:val="es-ES_tradnl"/>
        </w:rPr>
        <w:t xml:space="preserve"> La independencia como una pre</w:t>
      </w:r>
      <w:r w:rsidRPr="00C06F5C">
        <w:rPr>
          <w:lang w:val="es-ES_tradnl"/>
        </w:rPr>
        <w:t>condición política al lanzamiento de una política industrial similar a las implementadas por países recién industrializados</w:t>
      </w:r>
      <w:r>
        <w:rPr>
          <w:lang w:val="es-ES_tradnl"/>
        </w:rPr>
        <w:t xml:space="preserve"> entonces</w:t>
      </w:r>
      <w:r w:rsidRPr="00C06F5C">
        <w:rPr>
          <w:lang w:val="es-ES_tradnl"/>
        </w:rPr>
        <w:t>, como Taiwán y Singapur.</w:t>
      </w:r>
      <w:r>
        <w:rPr>
          <w:lang w:val="es-ES_tradnl"/>
        </w:rPr>
        <w:t xml:space="preserve"> Según ese</w:t>
      </w:r>
      <w:r w:rsidRPr="00C06F5C">
        <w:rPr>
          <w:lang w:val="es-ES_tradnl"/>
        </w:rPr>
        <w:t xml:space="preserve"> punto de vista, la manera más efectiva d</w:t>
      </w:r>
      <w:r>
        <w:rPr>
          <w:lang w:val="es-ES_tradnl"/>
        </w:rPr>
        <w:t>e volver a ganar autonomía del E</w:t>
      </w:r>
      <w:r w:rsidRPr="00C06F5C">
        <w:rPr>
          <w:lang w:val="es-ES_tradnl"/>
        </w:rPr>
        <w:t>stado, p</w:t>
      </w:r>
      <w:r>
        <w:rPr>
          <w:lang w:val="es-ES_tradnl"/>
        </w:rPr>
        <w:t>e</w:t>
      </w:r>
      <w:r w:rsidRPr="00C06F5C">
        <w:rPr>
          <w:lang w:val="es-ES_tradnl"/>
        </w:rPr>
        <w:t>rdida durante el proceso de industrialización.</w:t>
      </w:r>
    </w:p>
    <w:p w:rsidR="005A5E7D" w:rsidRDefault="005A5E7D" w:rsidP="005A5E7D">
      <w:pPr>
        <w:rPr>
          <w:lang w:val="es-ES_tradnl"/>
        </w:rPr>
      </w:pPr>
      <w:r w:rsidRPr="00C06F5C">
        <w:rPr>
          <w:lang w:val="es-ES_tradnl"/>
        </w:rPr>
        <w:t>El Congreso mostró interés en negociar aspectos específicos de la tran</w:t>
      </w:r>
      <w:r>
        <w:rPr>
          <w:lang w:val="es-ES_tradnl"/>
        </w:rPr>
        <w:t>sición a la total independencia</w:t>
      </w:r>
      <w:r w:rsidRPr="00C06F5C">
        <w:rPr>
          <w:lang w:val="es-ES_tradnl"/>
        </w:rPr>
        <w:t xml:space="preserve"> y compromiso público de implementar esas medidas de transición</w:t>
      </w:r>
      <w:r>
        <w:rPr>
          <w:lang w:val="es-ES_tradnl"/>
        </w:rPr>
        <w:t>,</w:t>
      </w:r>
      <w:r w:rsidRPr="00C06F5C">
        <w:rPr>
          <w:lang w:val="es-ES_tradnl"/>
        </w:rPr>
        <w:t xml:space="preserve"> en caso de una votación favorable a </w:t>
      </w:r>
      <w:r>
        <w:rPr>
          <w:lang w:val="es-ES_tradnl"/>
        </w:rPr>
        <w:t>esa fórmula de estatus</w:t>
      </w:r>
      <w:r w:rsidRPr="00C06F5C">
        <w:rPr>
          <w:lang w:val="es-ES_tradnl"/>
        </w:rPr>
        <w:t xml:space="preserve">. La opción por </w:t>
      </w:r>
      <w:r>
        <w:rPr>
          <w:lang w:val="es-ES_tradnl"/>
        </w:rPr>
        <w:t xml:space="preserve">la </w:t>
      </w:r>
      <w:r w:rsidRPr="00C06F5C">
        <w:rPr>
          <w:lang w:val="es-ES_tradnl"/>
        </w:rPr>
        <w:t xml:space="preserve">independencia hizo ganancias sustanciales en el curso del proceso plebiscitario. </w:t>
      </w:r>
      <w:r>
        <w:rPr>
          <w:lang w:val="es-ES_tradnl"/>
        </w:rPr>
        <w:t>Como resultado, los líderes pro</w:t>
      </w:r>
      <w:r w:rsidRPr="00C06F5C">
        <w:rPr>
          <w:lang w:val="es-ES_tradnl"/>
        </w:rPr>
        <w:t xml:space="preserve">independencia ganaron mayor credibilidad en Puerto Rico, en el Congreso y en la prensa estadounidense, a pesar de que esa credibilidad no se tradujo en </w:t>
      </w:r>
      <w:r>
        <w:rPr>
          <w:lang w:val="es-ES_tradnl"/>
        </w:rPr>
        <w:t xml:space="preserve">un </w:t>
      </w:r>
      <w:r w:rsidRPr="00C06F5C">
        <w:rPr>
          <w:lang w:val="es-ES_tradnl"/>
        </w:rPr>
        <w:t>mayor apoyo electoral.</w:t>
      </w:r>
    </w:p>
    <w:p w:rsidR="005A5E7D" w:rsidRPr="00C06F5C" w:rsidRDefault="005A5E7D" w:rsidP="005A5E7D">
      <w:pPr>
        <w:rPr>
          <w:lang w:val="es-ES_tradnl"/>
        </w:rPr>
      </w:pPr>
      <w:r w:rsidRPr="00C06F5C">
        <w:rPr>
          <w:lang w:val="es-ES_tradnl"/>
        </w:rPr>
        <w:t xml:space="preserve">Lo </w:t>
      </w:r>
      <w:r>
        <w:rPr>
          <w:lang w:val="es-ES_tradnl"/>
        </w:rPr>
        <w:t xml:space="preserve">más </w:t>
      </w:r>
      <w:r w:rsidRPr="00C06F5C">
        <w:rPr>
          <w:lang w:val="es-ES_tradnl"/>
        </w:rPr>
        <w:t>significativo es que Estados Unidos reconoci</w:t>
      </w:r>
      <w:r>
        <w:rPr>
          <w:lang w:val="es-ES_tradnl"/>
        </w:rPr>
        <w:t>ó</w:t>
      </w:r>
      <w:r w:rsidRPr="00C06F5C">
        <w:rPr>
          <w:lang w:val="es-ES_tradnl"/>
        </w:rPr>
        <w:t xml:space="preserve"> que</w:t>
      </w:r>
      <w:r>
        <w:rPr>
          <w:lang w:val="es-ES_tradnl"/>
        </w:rPr>
        <w:t xml:space="preserve"> </w:t>
      </w:r>
      <w:r w:rsidRPr="00C06F5C">
        <w:rPr>
          <w:lang w:val="es-ES_tradnl"/>
        </w:rPr>
        <w:t>deb</w:t>
      </w:r>
      <w:r>
        <w:rPr>
          <w:lang w:val="es-ES_tradnl"/>
        </w:rPr>
        <w:t xml:space="preserve">ían </w:t>
      </w:r>
      <w:r w:rsidRPr="00C06F5C">
        <w:rPr>
          <w:lang w:val="es-ES_tradnl"/>
        </w:rPr>
        <w:t>p</w:t>
      </w:r>
      <w:r>
        <w:rPr>
          <w:lang w:val="es-ES_tradnl"/>
        </w:rPr>
        <w:t>onerse</w:t>
      </w:r>
      <w:r w:rsidRPr="00C06F5C">
        <w:rPr>
          <w:lang w:val="es-ES_tradnl"/>
        </w:rPr>
        <w:t xml:space="preserve"> en marcha medidas de transición para asegurar la continuación de un programa de </w:t>
      </w:r>
      <w:r>
        <w:rPr>
          <w:lang w:val="es-ES_tradnl"/>
        </w:rPr>
        <w:t>s</w:t>
      </w:r>
      <w:r w:rsidRPr="00C06F5C">
        <w:rPr>
          <w:lang w:val="es-ES_tradnl"/>
        </w:rPr>
        <w:t xml:space="preserve">eguridad </w:t>
      </w:r>
      <w:r>
        <w:rPr>
          <w:lang w:val="es-ES_tradnl"/>
        </w:rPr>
        <w:t>s</w:t>
      </w:r>
      <w:r w:rsidRPr="00C06F5C">
        <w:rPr>
          <w:lang w:val="es-ES_tradnl"/>
        </w:rPr>
        <w:t>ocial puertorriqueño y otros programas de pensi</w:t>
      </w:r>
      <w:r>
        <w:rPr>
          <w:lang w:val="es-ES_tradnl"/>
        </w:rPr>
        <w:t>o</w:t>
      </w:r>
      <w:r w:rsidRPr="00C06F5C">
        <w:rPr>
          <w:lang w:val="es-ES_tradnl"/>
        </w:rPr>
        <w:t>n</w:t>
      </w:r>
      <w:r>
        <w:rPr>
          <w:lang w:val="es-ES_tradnl"/>
        </w:rPr>
        <w:t>es</w:t>
      </w:r>
      <w:r w:rsidRPr="00C06F5C">
        <w:rPr>
          <w:lang w:val="es-ES_tradnl"/>
        </w:rPr>
        <w:t>.</w:t>
      </w:r>
      <w:r>
        <w:rPr>
          <w:lang w:val="es-ES_tradnl"/>
        </w:rPr>
        <w:t xml:space="preserve"> </w:t>
      </w:r>
      <w:r w:rsidRPr="00C06F5C">
        <w:rPr>
          <w:lang w:val="es-ES_tradnl"/>
        </w:rPr>
        <w:t>Estados Unidos también ofreci</w:t>
      </w:r>
      <w:r>
        <w:rPr>
          <w:lang w:val="es-ES_tradnl"/>
        </w:rPr>
        <w:t>ó</w:t>
      </w:r>
      <w:r w:rsidRPr="00C06F5C">
        <w:rPr>
          <w:lang w:val="es-ES_tradnl"/>
        </w:rPr>
        <w:t xml:space="preserve"> seguridad de que continuarían respetando los derechos federales de los individuos (empleados federales y pensiones militares, por ejemplo) después de la proclamación de independencia. </w:t>
      </w:r>
    </w:p>
    <w:p w:rsidR="005A5E7D" w:rsidRDefault="005A5E7D" w:rsidP="005A5E7D">
      <w:pPr>
        <w:rPr>
          <w:lang w:val="es-ES_tradnl" w:eastAsia="ja-JP"/>
        </w:rPr>
      </w:pPr>
      <w:r w:rsidRPr="00C06F5C">
        <w:rPr>
          <w:lang w:val="es-ES_tradnl"/>
        </w:rPr>
        <w:t>Por otro lado</w:t>
      </w:r>
      <w:r>
        <w:rPr>
          <w:lang w:val="es-ES_tradnl"/>
        </w:rPr>
        <w:t>,</w:t>
      </w:r>
      <w:r w:rsidRPr="00C06F5C">
        <w:rPr>
          <w:lang w:val="es-ES_tradnl"/>
        </w:rPr>
        <w:t xml:space="preserve"> Meléndez y Ruiz (1998) resum</w:t>
      </w:r>
      <w:r>
        <w:rPr>
          <w:lang w:val="es-ES_tradnl"/>
        </w:rPr>
        <w:t>iero</w:t>
      </w:r>
      <w:r w:rsidRPr="00C06F5C">
        <w:rPr>
          <w:lang w:val="es-ES_tradnl"/>
        </w:rPr>
        <w:t xml:space="preserve">n </w:t>
      </w:r>
      <w:r>
        <w:rPr>
          <w:lang w:val="es-ES_tradnl"/>
        </w:rPr>
        <w:t xml:space="preserve">los </w:t>
      </w:r>
      <w:r w:rsidRPr="00C06F5C">
        <w:rPr>
          <w:lang w:val="es-ES_tradnl"/>
        </w:rPr>
        <w:t>aspectos económico</w:t>
      </w:r>
      <w:r>
        <w:rPr>
          <w:lang w:val="es-ES_tradnl"/>
        </w:rPr>
        <w:t xml:space="preserve">s </w:t>
      </w:r>
      <w:r w:rsidRPr="00C06F5C">
        <w:rPr>
          <w:lang w:val="es-ES_tradnl"/>
        </w:rPr>
        <w:t>propulsa</w:t>
      </w:r>
      <w:r>
        <w:rPr>
          <w:lang w:val="es-ES_tradnl"/>
        </w:rPr>
        <w:t>dos por</w:t>
      </w:r>
      <w:r w:rsidRPr="00C06F5C">
        <w:rPr>
          <w:lang w:val="es-ES_tradnl"/>
        </w:rPr>
        <w:t xml:space="preserve"> los seguidores de la independencia. Según estos autores</w:t>
      </w:r>
      <w:r>
        <w:rPr>
          <w:lang w:val="es-ES_tradnl"/>
        </w:rPr>
        <w:t>,</w:t>
      </w:r>
      <w:r w:rsidRPr="00C06F5C">
        <w:rPr>
          <w:lang w:val="es-ES_tradnl"/>
        </w:rPr>
        <w:t xml:space="preserve"> </w:t>
      </w:r>
      <w:r w:rsidRPr="00C06F5C">
        <w:rPr>
          <w:lang w:val="es-ES_tradnl" w:eastAsia="ja-JP"/>
        </w:rPr>
        <w:t>los proponentes de la independencia argumenta</w:t>
      </w:r>
      <w:r>
        <w:rPr>
          <w:lang w:val="es-ES_tradnl" w:eastAsia="ja-JP"/>
        </w:rPr>
        <w:t>ro</w:t>
      </w:r>
      <w:r w:rsidRPr="00C06F5C">
        <w:rPr>
          <w:lang w:val="es-ES_tradnl" w:eastAsia="ja-JP"/>
        </w:rPr>
        <w:t xml:space="preserve">n que el proceso de integración económica con </w:t>
      </w:r>
      <w:r>
        <w:rPr>
          <w:lang w:val="es-ES_tradnl" w:eastAsia="ja-JP"/>
        </w:rPr>
        <w:t>Estados Unidos</w:t>
      </w:r>
      <w:r w:rsidRPr="00C06F5C">
        <w:rPr>
          <w:lang w:val="es-ES_tradnl" w:eastAsia="ja-JP"/>
        </w:rPr>
        <w:t xml:space="preserve"> ha</w:t>
      </w:r>
      <w:r>
        <w:rPr>
          <w:lang w:val="es-ES_tradnl" w:eastAsia="ja-JP"/>
        </w:rPr>
        <w:t>bía llegado a su lí</w:t>
      </w:r>
      <w:r w:rsidRPr="00C06F5C">
        <w:rPr>
          <w:lang w:val="es-ES_tradnl" w:eastAsia="ja-JP"/>
        </w:rPr>
        <w:t>mite. Reconociendo que una moneda, un mercado y una ciudadanía en común ha</w:t>
      </w:r>
      <w:r>
        <w:rPr>
          <w:lang w:val="es-ES_tradnl" w:eastAsia="ja-JP"/>
        </w:rPr>
        <w:t>n</w:t>
      </w:r>
      <w:r w:rsidRPr="00C06F5C">
        <w:rPr>
          <w:lang w:val="es-ES_tradnl" w:eastAsia="ja-JP"/>
        </w:rPr>
        <w:t xml:space="preserve"> jugado un papel importante en el crecimiento eco</w:t>
      </w:r>
      <w:r>
        <w:rPr>
          <w:lang w:val="es-ES_tradnl" w:eastAsia="ja-JP"/>
        </w:rPr>
        <w:t>nómico de las décadas pasadas,</w:t>
      </w:r>
      <w:r w:rsidRPr="00C06F5C">
        <w:rPr>
          <w:lang w:val="es-ES_tradnl" w:eastAsia="ja-JP"/>
        </w:rPr>
        <w:t xml:space="preserve"> mant</w:t>
      </w:r>
      <w:r>
        <w:rPr>
          <w:lang w:val="es-ES_tradnl" w:eastAsia="ja-JP"/>
        </w:rPr>
        <w:t>uviero</w:t>
      </w:r>
      <w:r w:rsidRPr="00C06F5C">
        <w:rPr>
          <w:lang w:val="es-ES_tradnl" w:eastAsia="ja-JP"/>
        </w:rPr>
        <w:t>n que la situación nacional e internacional ha evolucionado de manera tal que demanda una nueva estrategia económica y un acuerdo político totalmente d</w:t>
      </w:r>
      <w:r>
        <w:rPr>
          <w:lang w:val="es-ES_tradnl" w:eastAsia="ja-JP"/>
        </w:rPr>
        <w:t>iferente.</w:t>
      </w:r>
    </w:p>
    <w:p w:rsidR="005A5E7D" w:rsidRPr="00C06F5C" w:rsidRDefault="005A5E7D" w:rsidP="005A5E7D">
      <w:pPr>
        <w:rPr>
          <w:lang w:val="es-ES_tradnl"/>
        </w:rPr>
      </w:pPr>
      <w:r w:rsidRPr="00C06F5C">
        <w:rPr>
          <w:lang w:val="es-ES_tradnl" w:eastAsia="ja-JP"/>
        </w:rPr>
        <w:t xml:space="preserve">Primero, ser parte del sistema arancelario de </w:t>
      </w:r>
      <w:r>
        <w:rPr>
          <w:lang w:val="es-ES_tradnl" w:eastAsia="ja-JP"/>
        </w:rPr>
        <w:t>Estados Unidos</w:t>
      </w:r>
      <w:r w:rsidRPr="00C06F5C">
        <w:rPr>
          <w:lang w:val="es-ES_tradnl" w:eastAsia="ja-JP"/>
        </w:rPr>
        <w:t xml:space="preserve"> </w:t>
      </w:r>
      <w:r>
        <w:rPr>
          <w:lang w:val="es-ES_tradnl" w:eastAsia="ja-JP"/>
        </w:rPr>
        <w:t>ya no constituye una ventaja. Al igual que</w:t>
      </w:r>
      <w:r w:rsidRPr="00C06F5C">
        <w:rPr>
          <w:lang w:val="es-ES_tradnl" w:eastAsia="ja-JP"/>
        </w:rPr>
        <w:t xml:space="preserve"> en otros tratados internacionales como la Iniciativa de la Cuenca del Caribe (CBI</w:t>
      </w:r>
      <w:r>
        <w:rPr>
          <w:lang w:val="es-ES_tradnl" w:eastAsia="ja-JP"/>
        </w:rPr>
        <w:t>, por sus siglas en inglés</w:t>
      </w:r>
      <w:r w:rsidRPr="00C06F5C">
        <w:rPr>
          <w:lang w:val="es-ES_tradnl" w:eastAsia="ja-JP"/>
        </w:rPr>
        <w:t xml:space="preserve">) y el </w:t>
      </w:r>
      <w:r>
        <w:rPr>
          <w:lang w:val="es-ES_tradnl" w:eastAsia="ja-JP"/>
        </w:rPr>
        <w:t>Trata</w:t>
      </w:r>
      <w:r w:rsidRPr="00C06F5C">
        <w:rPr>
          <w:lang w:val="es-ES_tradnl" w:eastAsia="ja-JP"/>
        </w:rPr>
        <w:t xml:space="preserve">do </w:t>
      </w:r>
      <w:r>
        <w:rPr>
          <w:lang w:val="es-ES_tradnl" w:eastAsia="ja-JP"/>
        </w:rPr>
        <w:t xml:space="preserve">de Libre </w:t>
      </w:r>
      <w:r w:rsidRPr="00C06F5C">
        <w:rPr>
          <w:lang w:val="es-ES_tradnl" w:eastAsia="ja-JP"/>
        </w:rPr>
        <w:t>Comercio</w:t>
      </w:r>
      <w:r>
        <w:rPr>
          <w:lang w:val="es-ES_tradnl" w:eastAsia="ja-JP"/>
        </w:rPr>
        <w:t xml:space="preserve"> de América del Norte</w:t>
      </w:r>
      <w:r w:rsidRPr="00C06F5C">
        <w:rPr>
          <w:lang w:val="es-ES_tradnl" w:eastAsia="ja-JP"/>
        </w:rPr>
        <w:t xml:space="preserve"> (NAFTA</w:t>
      </w:r>
      <w:r>
        <w:rPr>
          <w:lang w:val="es-ES_tradnl" w:eastAsia="ja-JP"/>
        </w:rPr>
        <w:t xml:space="preserve">, </w:t>
      </w:r>
      <w:r w:rsidRPr="00F60B5A">
        <w:rPr>
          <w:i/>
          <w:lang w:val="es-ES_tradnl" w:eastAsia="ja-JP"/>
        </w:rPr>
        <w:t>North American Free Trade Agreement</w:t>
      </w:r>
      <w:r w:rsidRPr="00C06F5C">
        <w:rPr>
          <w:lang w:val="es-ES_tradnl" w:eastAsia="ja-JP"/>
        </w:rPr>
        <w:t>), las barreras arancelarias se redu</w:t>
      </w:r>
      <w:r>
        <w:rPr>
          <w:lang w:val="es-ES_tradnl" w:eastAsia="ja-JP"/>
        </w:rPr>
        <w:t>jeron</w:t>
      </w:r>
      <w:r w:rsidRPr="00C06F5C">
        <w:rPr>
          <w:lang w:val="es-ES_tradnl" w:eastAsia="ja-JP"/>
        </w:rPr>
        <w:t xml:space="preserve"> drásticamente para la mayoría de los productos importados</w:t>
      </w:r>
      <w:r>
        <w:rPr>
          <w:lang w:val="es-ES_tradnl" w:eastAsia="ja-JP"/>
        </w:rPr>
        <w:t xml:space="preserve"> bajo </w:t>
      </w:r>
      <w:r w:rsidRPr="00C06F5C">
        <w:rPr>
          <w:lang w:val="es-ES_tradnl" w:eastAsia="ja-JP"/>
        </w:rPr>
        <w:t xml:space="preserve">el Acuerdo General </w:t>
      </w:r>
      <w:r>
        <w:rPr>
          <w:lang w:val="es-ES_tradnl" w:eastAsia="ja-JP"/>
        </w:rPr>
        <w:t>sobre Aranceles Aduaneros y</w:t>
      </w:r>
      <w:r w:rsidRPr="00C06F5C">
        <w:rPr>
          <w:lang w:val="es-ES_tradnl" w:eastAsia="ja-JP"/>
        </w:rPr>
        <w:t xml:space="preserve"> Comercio (GATT</w:t>
      </w:r>
      <w:r>
        <w:rPr>
          <w:lang w:val="es-ES_tradnl" w:eastAsia="ja-JP"/>
        </w:rPr>
        <w:t xml:space="preserve">, </w:t>
      </w:r>
      <w:r w:rsidRPr="003A6D30">
        <w:rPr>
          <w:i/>
          <w:lang w:val="es-ES_tradnl" w:eastAsia="ja-JP"/>
        </w:rPr>
        <w:t>General Agreement on Tari</w:t>
      </w:r>
      <w:r>
        <w:rPr>
          <w:i/>
          <w:lang w:val="es-ES_tradnl" w:eastAsia="ja-JP"/>
        </w:rPr>
        <w:t>f</w:t>
      </w:r>
      <w:r w:rsidRPr="003A6D30">
        <w:rPr>
          <w:i/>
          <w:lang w:val="es-ES_tradnl" w:eastAsia="ja-JP"/>
        </w:rPr>
        <w:t>fs and Trade</w:t>
      </w:r>
      <w:r w:rsidRPr="00C06F5C">
        <w:rPr>
          <w:lang w:val="es-ES_tradnl" w:eastAsia="ja-JP"/>
        </w:rPr>
        <w:t>). Segundo, el Congreso extendi</w:t>
      </w:r>
      <w:r>
        <w:rPr>
          <w:lang w:val="es-ES_tradnl" w:eastAsia="ja-JP"/>
        </w:rPr>
        <w:t>ó privilegios a otros países</w:t>
      </w:r>
      <w:r w:rsidRPr="00C06F5C">
        <w:rPr>
          <w:lang w:val="es-ES_tradnl" w:eastAsia="ja-JP"/>
        </w:rPr>
        <w:t xml:space="preserve"> </w:t>
      </w:r>
      <w:r>
        <w:rPr>
          <w:lang w:val="es-ES_tradnl" w:eastAsia="ja-JP"/>
        </w:rPr>
        <w:t>en los que</w:t>
      </w:r>
      <w:r w:rsidRPr="00C06F5C">
        <w:rPr>
          <w:lang w:val="es-ES_tradnl" w:eastAsia="ja-JP"/>
        </w:rPr>
        <w:t xml:space="preserve"> muchos de sus productos compit</w:t>
      </w:r>
      <w:r>
        <w:rPr>
          <w:lang w:val="es-ES_tradnl" w:eastAsia="ja-JP"/>
        </w:rPr>
        <w:t>i</w:t>
      </w:r>
      <w:r w:rsidRPr="00C06F5C">
        <w:rPr>
          <w:lang w:val="es-ES_tradnl" w:eastAsia="ja-JP"/>
        </w:rPr>
        <w:t>e</w:t>
      </w:r>
      <w:r>
        <w:rPr>
          <w:lang w:val="es-ES_tradnl" w:eastAsia="ja-JP"/>
        </w:rPr>
        <w:t>ro</w:t>
      </w:r>
      <w:r w:rsidRPr="00C06F5C">
        <w:rPr>
          <w:lang w:val="es-ES_tradnl" w:eastAsia="ja-JP"/>
        </w:rPr>
        <w:t>n con los de Puerto Rico en el mercado estadounidense. Además, Puerto Rico ya no p</w:t>
      </w:r>
      <w:r>
        <w:rPr>
          <w:lang w:val="es-ES_tradnl" w:eastAsia="ja-JP"/>
        </w:rPr>
        <w:t>odía</w:t>
      </w:r>
      <w:r w:rsidRPr="00C06F5C">
        <w:rPr>
          <w:lang w:val="es-ES_tradnl" w:eastAsia="ja-JP"/>
        </w:rPr>
        <w:t xml:space="preserve"> competir por las inversiones extranjeras </w:t>
      </w:r>
      <w:r>
        <w:rPr>
          <w:lang w:val="es-ES_tradnl" w:eastAsia="ja-JP"/>
        </w:rPr>
        <w:t xml:space="preserve">a base de proveedor </w:t>
      </w:r>
      <w:r w:rsidRPr="00C06F5C">
        <w:rPr>
          <w:lang w:val="es-ES_tradnl" w:eastAsia="ja-JP"/>
        </w:rPr>
        <w:t>mano de obra barata. Sin embargo</w:t>
      </w:r>
      <w:r>
        <w:rPr>
          <w:lang w:val="es-ES_tradnl" w:eastAsia="ja-JP"/>
        </w:rPr>
        <w:t>,</w:t>
      </w:r>
      <w:r w:rsidRPr="00C06F5C">
        <w:rPr>
          <w:lang w:val="es-ES_tradnl" w:eastAsia="ja-JP"/>
        </w:rPr>
        <w:t xml:space="preserve"> todavía p</w:t>
      </w:r>
      <w:r>
        <w:rPr>
          <w:lang w:val="es-ES_tradnl" w:eastAsia="ja-JP"/>
        </w:rPr>
        <w:t>odía</w:t>
      </w:r>
      <w:r w:rsidRPr="00C06F5C">
        <w:rPr>
          <w:lang w:val="es-ES_tradnl" w:eastAsia="ja-JP"/>
        </w:rPr>
        <w:t xml:space="preserve"> ofrecer mano de obra </w:t>
      </w:r>
      <w:r w:rsidRPr="00C06F5C">
        <w:rPr>
          <w:lang w:val="es-ES_tradnl"/>
        </w:rPr>
        <w:t xml:space="preserve">capacitada junto con una infraestructura avanzada en materia de transportación, comunicaciones y finanzas. </w:t>
      </w:r>
    </w:p>
    <w:p w:rsidR="005A5E7D" w:rsidRPr="00C06F5C" w:rsidRDefault="005A5E7D" w:rsidP="005A5E7D">
      <w:pPr>
        <w:rPr>
          <w:lang w:val="es-ES_tradnl" w:eastAsia="ja-JP"/>
        </w:rPr>
      </w:pPr>
      <w:r w:rsidRPr="00C06F5C">
        <w:rPr>
          <w:lang w:val="es-ES_tradnl"/>
        </w:rPr>
        <w:t>La nueva situación nacional</w:t>
      </w:r>
      <w:r>
        <w:rPr>
          <w:lang w:val="es-ES_tradnl" w:eastAsia="ja-JP"/>
        </w:rPr>
        <w:t xml:space="preserve"> e internacional, según enunciada por</w:t>
      </w:r>
      <w:r w:rsidRPr="00C06F5C">
        <w:rPr>
          <w:lang w:val="es-ES_tradnl" w:eastAsia="ja-JP"/>
        </w:rPr>
        <w:t xml:space="preserve"> los independentistas, fuerza a la Isla a competir con un creciente número de países desarrollados </w:t>
      </w:r>
      <w:r>
        <w:rPr>
          <w:lang w:val="es-ES_tradnl" w:eastAsia="ja-JP"/>
        </w:rPr>
        <w:t xml:space="preserve">ya </w:t>
      </w:r>
      <w:r w:rsidRPr="00C06F5C">
        <w:rPr>
          <w:lang w:val="es-ES_tradnl" w:eastAsia="ja-JP"/>
        </w:rPr>
        <w:t xml:space="preserve">establecidos industrialmente. Este </w:t>
      </w:r>
      <w:r>
        <w:rPr>
          <w:lang w:val="es-ES_tradnl" w:eastAsia="ja-JP"/>
        </w:rPr>
        <w:t>fue</w:t>
      </w:r>
      <w:r w:rsidRPr="00C06F5C">
        <w:rPr>
          <w:lang w:val="es-ES_tradnl" w:eastAsia="ja-JP"/>
        </w:rPr>
        <w:t xml:space="preserve"> su principal argumento en el debate con los proponentes de las otras dos alternativas</w:t>
      </w:r>
      <w:r>
        <w:rPr>
          <w:lang w:val="es-ES_tradnl" w:eastAsia="ja-JP"/>
        </w:rPr>
        <w:t xml:space="preserve"> de estatus</w:t>
      </w:r>
      <w:r w:rsidRPr="00C06F5C">
        <w:rPr>
          <w:lang w:val="es-ES_tradnl" w:eastAsia="ja-JP"/>
        </w:rPr>
        <w:t>. Desde su perspectiva política y legal</w:t>
      </w:r>
      <w:r>
        <w:rPr>
          <w:lang w:val="es-ES_tradnl" w:eastAsia="ja-JP"/>
        </w:rPr>
        <w:t>,</w:t>
      </w:r>
      <w:r w:rsidRPr="00C06F5C">
        <w:rPr>
          <w:lang w:val="es-ES_tradnl" w:eastAsia="ja-JP"/>
        </w:rPr>
        <w:t xml:space="preserve"> el control de </w:t>
      </w:r>
      <w:r>
        <w:rPr>
          <w:lang w:val="es-ES_tradnl" w:eastAsia="ja-JP"/>
        </w:rPr>
        <w:t>Estados Unidos</w:t>
      </w:r>
      <w:r w:rsidRPr="00C06F5C">
        <w:rPr>
          <w:lang w:val="es-ES_tradnl" w:eastAsia="ja-JP"/>
        </w:rPr>
        <w:t xml:space="preserve"> es muy restrictivo, tanto para la estadidad como para el Estado Libre Asociado, y por esa razón es que e</w:t>
      </w:r>
      <w:r>
        <w:rPr>
          <w:lang w:val="es-ES_tradnl" w:eastAsia="ja-JP"/>
        </w:rPr>
        <w:t>ntorpece</w:t>
      </w:r>
      <w:r w:rsidRPr="00C06F5C">
        <w:rPr>
          <w:lang w:val="es-ES_tradnl" w:eastAsia="ja-JP"/>
        </w:rPr>
        <w:t xml:space="preserve"> la capacidad de la Isla para competir satisfactoriamente en el nuevo orden mundial. </w:t>
      </w:r>
      <w:r>
        <w:rPr>
          <w:lang w:val="es-ES_tradnl" w:eastAsia="ja-JP"/>
        </w:rPr>
        <w:t xml:space="preserve">Plantearon que </w:t>
      </w:r>
      <w:r w:rsidRPr="00C06F5C">
        <w:rPr>
          <w:lang w:val="es-ES_tradnl" w:eastAsia="ja-JP"/>
        </w:rPr>
        <w:t>Pue</w:t>
      </w:r>
      <w:r>
        <w:rPr>
          <w:lang w:val="es-ES_tradnl" w:eastAsia="ja-JP"/>
        </w:rPr>
        <w:t xml:space="preserve">rto Rico debía tomar ventaja del crecimiento económico de las </w:t>
      </w:r>
      <w:r w:rsidRPr="00C06F5C">
        <w:rPr>
          <w:lang w:val="es-ES_tradnl" w:eastAsia="ja-JP"/>
        </w:rPr>
        <w:t>nuevas potencias económicas mundiales</w:t>
      </w:r>
      <w:r>
        <w:rPr>
          <w:lang w:val="es-ES_tradnl" w:eastAsia="ja-JP"/>
        </w:rPr>
        <w:t xml:space="preserve"> en ese momento</w:t>
      </w:r>
      <w:r w:rsidRPr="00C06F5C">
        <w:rPr>
          <w:lang w:val="es-ES_tradnl" w:eastAsia="ja-JP"/>
        </w:rPr>
        <w:t xml:space="preserve">, </w:t>
      </w:r>
      <w:r>
        <w:rPr>
          <w:lang w:val="es-ES_tradnl" w:eastAsia="ja-JP"/>
        </w:rPr>
        <w:t xml:space="preserve">como </w:t>
      </w:r>
      <w:r w:rsidRPr="00C06F5C">
        <w:rPr>
          <w:lang w:val="es-ES_tradnl" w:eastAsia="ja-JP"/>
        </w:rPr>
        <w:t xml:space="preserve">Japón y Europa. </w:t>
      </w:r>
    </w:p>
    <w:p w:rsidR="005A5E7D" w:rsidRPr="00C06F5C" w:rsidRDefault="005A5E7D" w:rsidP="005A5E7D">
      <w:pPr>
        <w:rPr>
          <w:lang w:val="es-ES_tradnl"/>
        </w:rPr>
      </w:pPr>
      <w:r w:rsidRPr="00C06F5C">
        <w:rPr>
          <w:lang w:val="es-ES_tradnl" w:eastAsia="ja-JP"/>
        </w:rPr>
        <w:t>L</w:t>
      </w:r>
      <w:r>
        <w:rPr>
          <w:lang w:val="es-ES_tradnl" w:eastAsia="ja-JP"/>
        </w:rPr>
        <w:t>os independentistas también def</w:t>
      </w:r>
      <w:r w:rsidRPr="00C06F5C">
        <w:rPr>
          <w:lang w:val="es-ES_tradnl" w:eastAsia="ja-JP"/>
        </w:rPr>
        <w:t>end</w:t>
      </w:r>
      <w:r>
        <w:rPr>
          <w:lang w:val="es-ES_tradnl" w:eastAsia="ja-JP"/>
        </w:rPr>
        <w:t>i</w:t>
      </w:r>
      <w:r w:rsidRPr="00C06F5C">
        <w:rPr>
          <w:lang w:val="es-ES_tradnl" w:eastAsia="ja-JP"/>
        </w:rPr>
        <w:t>e</w:t>
      </w:r>
      <w:r>
        <w:rPr>
          <w:lang w:val="es-ES_tradnl" w:eastAsia="ja-JP"/>
        </w:rPr>
        <w:t>ro</w:t>
      </w:r>
      <w:r w:rsidRPr="00C06F5C">
        <w:rPr>
          <w:lang w:val="es-ES_tradnl" w:eastAsia="ja-JP"/>
        </w:rPr>
        <w:t xml:space="preserve">n la idea de que </w:t>
      </w:r>
      <w:r>
        <w:rPr>
          <w:lang w:val="es-ES_tradnl" w:eastAsia="ja-JP"/>
        </w:rPr>
        <w:t>esa fórmula de estatus</w:t>
      </w:r>
      <w:r w:rsidRPr="00C06F5C">
        <w:rPr>
          <w:lang w:val="es-ES_tradnl" w:eastAsia="ja-JP"/>
        </w:rPr>
        <w:t xml:space="preserve"> proveer</w:t>
      </w:r>
      <w:r>
        <w:rPr>
          <w:lang w:val="es-ES_tradnl" w:eastAsia="ja-JP"/>
        </w:rPr>
        <w:t>ía</w:t>
      </w:r>
      <w:r w:rsidRPr="00C06F5C">
        <w:rPr>
          <w:lang w:val="es-ES_tradnl" w:eastAsia="ja-JP"/>
        </w:rPr>
        <w:t xml:space="preserve"> instituciones legales y políticas más adecuadas para la negociación de tratados comerciales. También har</w:t>
      </w:r>
      <w:r>
        <w:rPr>
          <w:lang w:val="es-ES_tradnl" w:eastAsia="ja-JP"/>
        </w:rPr>
        <w:t>ía</w:t>
      </w:r>
      <w:r w:rsidRPr="00C06F5C">
        <w:rPr>
          <w:lang w:val="es-ES_tradnl" w:eastAsia="ja-JP"/>
        </w:rPr>
        <w:t xml:space="preserve"> posible el desarrollo de políticas arancelarias atractivas para la inversión extranjera y la promoción de los intereses de Pue</w:t>
      </w:r>
      <w:r>
        <w:rPr>
          <w:lang w:val="es-ES_tradnl" w:eastAsia="ja-JP"/>
        </w:rPr>
        <w:t xml:space="preserve">rto Rico </w:t>
      </w:r>
      <w:r w:rsidRPr="00C06F5C">
        <w:rPr>
          <w:lang w:val="es-ES_tradnl" w:eastAsia="ja-JP"/>
        </w:rPr>
        <w:t xml:space="preserve">en los mercados internacionales. La independencia permitirá que </w:t>
      </w:r>
      <w:r>
        <w:rPr>
          <w:lang w:val="es-ES_tradnl" w:eastAsia="ja-JP"/>
        </w:rPr>
        <w:t>la Isla</w:t>
      </w:r>
      <w:r w:rsidRPr="00C06F5C">
        <w:rPr>
          <w:lang w:val="es-ES_tradnl" w:eastAsia="ja-JP"/>
        </w:rPr>
        <w:t xml:space="preserve"> compit</w:t>
      </w:r>
      <w:r>
        <w:rPr>
          <w:lang w:val="es-ES_tradnl" w:eastAsia="ja-JP"/>
        </w:rPr>
        <w:t>iese</w:t>
      </w:r>
      <w:r w:rsidRPr="00C06F5C">
        <w:rPr>
          <w:lang w:val="es-ES_tradnl" w:eastAsia="ja-JP"/>
        </w:rPr>
        <w:t xml:space="preserve"> efectivamente con países industriales pero aún en desarro</w:t>
      </w:r>
      <w:r>
        <w:rPr>
          <w:lang w:val="es-ES_tradnl" w:eastAsia="ja-JP"/>
        </w:rPr>
        <w:t>llo. Los lí</w:t>
      </w:r>
      <w:r w:rsidRPr="00C06F5C">
        <w:rPr>
          <w:lang w:val="es-ES_tradnl" w:eastAsia="ja-JP"/>
        </w:rPr>
        <w:t>deres independentistas</w:t>
      </w:r>
      <w:r>
        <w:rPr>
          <w:lang w:val="es-ES_tradnl" w:eastAsia="ja-JP"/>
        </w:rPr>
        <w:t xml:space="preserve"> insistieron en que este reordenamiento en el m</w:t>
      </w:r>
      <w:r w:rsidRPr="00C06F5C">
        <w:rPr>
          <w:lang w:val="es-ES_tradnl" w:eastAsia="ja-JP"/>
        </w:rPr>
        <w:t>ercad</w:t>
      </w:r>
      <w:r>
        <w:rPr>
          <w:lang w:val="es-ES_tradnl" w:eastAsia="ja-JP"/>
        </w:rPr>
        <w:t>o internacional</w:t>
      </w:r>
      <w:r w:rsidRPr="00C06F5C">
        <w:rPr>
          <w:lang w:val="es-ES_tradnl" w:eastAsia="ja-JP"/>
        </w:rPr>
        <w:t xml:space="preserve"> solo p</w:t>
      </w:r>
      <w:r>
        <w:rPr>
          <w:lang w:val="es-ES_tradnl" w:eastAsia="ja-JP"/>
        </w:rPr>
        <w:t>odría</w:t>
      </w:r>
      <w:r w:rsidRPr="00C06F5C">
        <w:rPr>
          <w:lang w:val="es-ES_tradnl" w:eastAsia="ja-JP"/>
        </w:rPr>
        <w:t xml:space="preserve"> darse si </w:t>
      </w:r>
      <w:r>
        <w:rPr>
          <w:lang w:val="es-ES_tradnl" w:eastAsia="ja-JP"/>
        </w:rPr>
        <w:t xml:space="preserve">se eliminaban </w:t>
      </w:r>
      <w:r w:rsidRPr="00C06F5C">
        <w:rPr>
          <w:lang w:val="es-ES_tradnl" w:eastAsia="ja-JP"/>
        </w:rPr>
        <w:t>las restricciones impuestas po</w:t>
      </w:r>
      <w:r>
        <w:rPr>
          <w:lang w:val="es-ES_tradnl" w:eastAsia="ja-JP"/>
        </w:rPr>
        <w:t>r el sistema económico de Estados Unidos</w:t>
      </w:r>
      <w:r w:rsidRPr="00C06F5C">
        <w:rPr>
          <w:lang w:val="es-ES_tradnl" w:eastAsia="ja-JP"/>
        </w:rPr>
        <w:t xml:space="preserve">, particularmente </w:t>
      </w:r>
      <w:r>
        <w:rPr>
          <w:lang w:val="es-ES_tradnl" w:eastAsia="ja-JP"/>
        </w:rPr>
        <w:t xml:space="preserve">las </w:t>
      </w:r>
      <w:r w:rsidRPr="00C06F5C">
        <w:rPr>
          <w:lang w:val="es-ES_tradnl" w:eastAsia="ja-JP"/>
        </w:rPr>
        <w:t xml:space="preserve">regulaciones arancelarias, </w:t>
      </w:r>
      <w:r>
        <w:rPr>
          <w:lang w:val="es-ES_tradnl" w:eastAsia="ja-JP"/>
        </w:rPr>
        <w:t xml:space="preserve">los </w:t>
      </w:r>
      <w:r w:rsidRPr="00C06F5C">
        <w:rPr>
          <w:lang w:val="es-ES_tradnl" w:eastAsia="ja-JP"/>
        </w:rPr>
        <w:t xml:space="preserve">impuestos federales y </w:t>
      </w:r>
      <w:r>
        <w:rPr>
          <w:lang w:val="es-ES_tradnl" w:eastAsia="ja-JP"/>
        </w:rPr>
        <w:t xml:space="preserve">las </w:t>
      </w:r>
      <w:r w:rsidRPr="00C06F5C">
        <w:rPr>
          <w:lang w:val="es-ES_tradnl" w:eastAsia="ja-JP"/>
        </w:rPr>
        <w:t xml:space="preserve">obligaciones, </w:t>
      </w:r>
      <w:r>
        <w:rPr>
          <w:lang w:val="es-ES_tradnl" w:eastAsia="ja-JP"/>
        </w:rPr>
        <w:t xml:space="preserve">la </w:t>
      </w:r>
      <w:r w:rsidRPr="00C06F5C">
        <w:rPr>
          <w:lang w:val="es-ES_tradnl" w:eastAsia="ja-JP"/>
        </w:rPr>
        <w:t xml:space="preserve">estructura salarial, </w:t>
      </w:r>
      <w:r>
        <w:rPr>
          <w:lang w:val="es-ES_tradnl" w:eastAsia="ja-JP"/>
        </w:rPr>
        <w:t xml:space="preserve">las </w:t>
      </w:r>
      <w:r w:rsidRPr="00C06F5C">
        <w:rPr>
          <w:lang w:val="es-ES_tradnl" w:eastAsia="ja-JP"/>
        </w:rPr>
        <w:t xml:space="preserve">regulaciones ambientales, </w:t>
      </w:r>
      <w:r>
        <w:rPr>
          <w:lang w:val="es-ES_tradnl" w:eastAsia="ja-JP"/>
        </w:rPr>
        <w:t>las comunicaciones y</w:t>
      </w:r>
      <w:r w:rsidRPr="00C06F5C">
        <w:rPr>
          <w:lang w:val="es-ES_tradnl" w:eastAsia="ja-JP"/>
        </w:rPr>
        <w:t xml:space="preserve"> </w:t>
      </w:r>
      <w:r>
        <w:rPr>
          <w:lang w:val="es-ES_tradnl" w:eastAsia="ja-JP"/>
        </w:rPr>
        <w:t>los derechos de propiedad, entre</w:t>
      </w:r>
      <w:r w:rsidRPr="00C06F5C">
        <w:rPr>
          <w:lang w:val="es-ES_tradnl" w:eastAsia="ja-JP"/>
        </w:rPr>
        <w:t xml:space="preserve"> ot</w:t>
      </w:r>
      <w:r>
        <w:rPr>
          <w:lang w:val="es-ES_tradnl" w:eastAsia="ja-JP"/>
        </w:rPr>
        <w:t>ros</w:t>
      </w:r>
      <w:r w:rsidRPr="00C06F5C">
        <w:rPr>
          <w:lang w:val="es-ES_tradnl" w:eastAsia="ja-JP"/>
        </w:rPr>
        <w:t>.</w:t>
      </w:r>
      <w:r>
        <w:rPr>
          <w:lang w:val="es-ES_tradnl" w:eastAsia="ja-JP"/>
        </w:rPr>
        <w:t xml:space="preserve"> </w:t>
      </w:r>
    </w:p>
    <w:p w:rsidR="005A5E7D" w:rsidRDefault="005A5E7D" w:rsidP="005A5E7D">
      <w:pPr>
        <w:rPr>
          <w:lang w:val="es-ES_tradnl" w:eastAsia="ja-JP"/>
        </w:rPr>
      </w:pPr>
      <w:r>
        <w:rPr>
          <w:lang w:val="es-ES_tradnl"/>
        </w:rPr>
        <w:t>E</w:t>
      </w:r>
      <w:r w:rsidRPr="00C06F5C">
        <w:rPr>
          <w:lang w:val="es-ES_tradnl"/>
        </w:rPr>
        <w:t xml:space="preserve">l </w:t>
      </w:r>
      <w:r>
        <w:rPr>
          <w:lang w:val="es-ES_tradnl"/>
        </w:rPr>
        <w:t>licenciado</w:t>
      </w:r>
      <w:r w:rsidRPr="00C06F5C">
        <w:rPr>
          <w:lang w:val="es-ES_tradnl"/>
        </w:rPr>
        <w:t xml:space="preserve"> Erik Negrón</w:t>
      </w:r>
      <w:r>
        <w:rPr>
          <w:lang w:val="es-ES_tradnl"/>
        </w:rPr>
        <w:t>, en representación de</w:t>
      </w:r>
      <w:r w:rsidRPr="00C06F5C">
        <w:rPr>
          <w:lang w:val="es-ES_tradnl"/>
        </w:rPr>
        <w:t>l Partido Independentista Puertorriqueño,</w:t>
      </w:r>
      <w:r>
        <w:rPr>
          <w:lang w:val="es-ES_tradnl"/>
        </w:rPr>
        <w:t xml:space="preserve"> fue u</w:t>
      </w:r>
      <w:r w:rsidRPr="00C06F5C">
        <w:rPr>
          <w:lang w:val="es-ES_tradnl"/>
        </w:rPr>
        <w:t>no de los autores que contribuyeron con un artícu</w:t>
      </w:r>
      <w:r>
        <w:rPr>
          <w:lang w:val="es-ES_tradnl"/>
        </w:rPr>
        <w:t>lo al estudio editado por Melén</w:t>
      </w:r>
      <w:r w:rsidRPr="00C06F5C">
        <w:rPr>
          <w:lang w:val="es-ES_tradnl"/>
        </w:rPr>
        <w:t>dez y Ruiz (</w:t>
      </w:r>
      <w:r>
        <w:rPr>
          <w:lang w:val="es-ES_tradnl"/>
        </w:rPr>
        <w:t>E. Melé</w:t>
      </w:r>
      <w:r w:rsidRPr="00C06F5C">
        <w:rPr>
          <w:lang w:val="es-ES_tradnl"/>
        </w:rPr>
        <w:t xml:space="preserve">ndez y </w:t>
      </w:r>
      <w:r>
        <w:rPr>
          <w:lang w:val="es-ES_tradnl"/>
        </w:rPr>
        <w:t xml:space="preserve">A. </w:t>
      </w:r>
      <w:r w:rsidRPr="00C06F5C">
        <w:rPr>
          <w:lang w:val="es-ES_tradnl"/>
        </w:rPr>
        <w:t>Ruiz, 1998, páginas 323-358). “</w:t>
      </w:r>
      <w:r w:rsidRPr="00C06F5C">
        <w:rPr>
          <w:lang w:val="es-ES_tradnl" w:eastAsia="ja-JP"/>
        </w:rPr>
        <w:t>La independencia podría significar una eventual retirada de las transferencias de programas federales netas que actualmente aplican a Puerto Rico. Sin embargo</w:t>
      </w:r>
      <w:r>
        <w:rPr>
          <w:lang w:val="es-ES_tradnl" w:eastAsia="ja-JP"/>
        </w:rPr>
        <w:t>,</w:t>
      </w:r>
      <w:r w:rsidRPr="00C06F5C">
        <w:rPr>
          <w:lang w:val="es-ES_tradnl" w:eastAsia="ja-JP"/>
        </w:rPr>
        <w:t xml:space="preserve"> los beneficios de tales transferencias, y/o cualquier ventaja económica adicional que pueda provenir de la relación subsidiaria con EE.UU.</w:t>
      </w:r>
      <w:r>
        <w:rPr>
          <w:lang w:val="es-ES_tradnl" w:eastAsia="ja-JP"/>
        </w:rPr>
        <w:t>,</w:t>
      </w:r>
      <w:r w:rsidRPr="00C06F5C">
        <w:rPr>
          <w:lang w:val="es-ES_tradnl" w:eastAsia="ja-JP"/>
        </w:rPr>
        <w:t xml:space="preserve"> pueden ser más que compensados por las opciones comerciales y empresariales que podría brindar la soberanía política</w:t>
      </w:r>
      <w:r>
        <w:rPr>
          <w:lang w:val="es-ES_tradnl" w:eastAsia="ja-JP"/>
        </w:rPr>
        <w:t>”.</w:t>
      </w:r>
    </w:p>
    <w:p w:rsidR="005A5E7D" w:rsidRDefault="005A5E7D" w:rsidP="005A5E7D">
      <w:pPr>
        <w:rPr>
          <w:lang w:val="es-ES_tradnl" w:eastAsia="ja-JP"/>
        </w:rPr>
      </w:pPr>
      <w:r w:rsidRPr="00C06F5C">
        <w:rPr>
          <w:lang w:val="es-ES_tradnl"/>
        </w:rPr>
        <w:t>Segú</w:t>
      </w:r>
      <w:r>
        <w:rPr>
          <w:lang w:val="es-ES_tradnl"/>
        </w:rPr>
        <w:t>n este autor, i</w:t>
      </w:r>
      <w:r w:rsidRPr="00C06F5C">
        <w:rPr>
          <w:lang w:val="es-ES_tradnl" w:eastAsia="ja-JP"/>
        </w:rPr>
        <w:t xml:space="preserve">mportaciones baratas, más y mejor acceso a una gama de exportaciones, capital y crédito en el mercado internacional, junto </w:t>
      </w:r>
      <w:r>
        <w:rPr>
          <w:lang w:val="es-ES_tradnl" w:eastAsia="ja-JP"/>
        </w:rPr>
        <w:t>con</w:t>
      </w:r>
      <w:r w:rsidRPr="00C06F5C">
        <w:rPr>
          <w:lang w:val="es-ES_tradnl" w:eastAsia="ja-JP"/>
        </w:rPr>
        <w:t xml:space="preserve"> la capacidad de adaptar reglas e incentivos locales a las necesidades específicas que requi</w:t>
      </w:r>
      <w:r>
        <w:rPr>
          <w:lang w:val="es-ES_tradnl" w:eastAsia="ja-JP"/>
        </w:rPr>
        <w:t xml:space="preserve">era la economía puertorriqueña, </w:t>
      </w:r>
      <w:r w:rsidRPr="00C06F5C">
        <w:rPr>
          <w:lang w:val="es-ES_tradnl" w:eastAsia="ja-JP"/>
        </w:rPr>
        <w:t xml:space="preserve">podría ser la fórmula para el escape al lento crecimiento económico </w:t>
      </w:r>
      <w:r>
        <w:rPr>
          <w:lang w:val="es-ES_tradnl" w:eastAsia="ja-JP"/>
        </w:rPr>
        <w:t>de</w:t>
      </w:r>
      <w:r w:rsidRPr="00C06F5C">
        <w:rPr>
          <w:lang w:val="es-ES_tradnl" w:eastAsia="ja-JP"/>
        </w:rPr>
        <w:t xml:space="preserve"> las </w:t>
      </w:r>
      <w:r>
        <w:rPr>
          <w:lang w:val="es-ES_tradnl" w:eastAsia="ja-JP"/>
        </w:rPr>
        <w:t>ú</w:t>
      </w:r>
      <w:r w:rsidRPr="00C06F5C">
        <w:rPr>
          <w:lang w:val="es-ES_tradnl" w:eastAsia="ja-JP"/>
        </w:rPr>
        <w:t>ltimas d</w:t>
      </w:r>
      <w:r>
        <w:rPr>
          <w:lang w:val="es-ES_tradnl" w:eastAsia="ja-JP"/>
        </w:rPr>
        <w:t>os décadas</w:t>
      </w:r>
      <w:r w:rsidRPr="00C06F5C">
        <w:rPr>
          <w:lang w:val="es-ES_tradnl" w:eastAsia="ja-JP"/>
        </w:rPr>
        <w:t xml:space="preserve">. </w:t>
      </w:r>
      <w:r>
        <w:rPr>
          <w:lang w:val="es-ES_tradnl" w:eastAsia="ja-JP"/>
        </w:rPr>
        <w:t xml:space="preserve">Planteó que </w:t>
      </w:r>
      <w:r w:rsidRPr="00C06F5C">
        <w:rPr>
          <w:lang w:val="es-ES_tradnl" w:eastAsia="ja-JP"/>
        </w:rPr>
        <w:t>es muy limitada</w:t>
      </w:r>
      <w:r>
        <w:rPr>
          <w:lang w:val="es-ES_tradnl" w:eastAsia="ja-JP"/>
        </w:rPr>
        <w:t xml:space="preserve"> l</w:t>
      </w:r>
      <w:r w:rsidRPr="00C06F5C">
        <w:rPr>
          <w:lang w:val="es-ES_tradnl" w:eastAsia="ja-JP"/>
        </w:rPr>
        <w:t>a visión sobre el dilema del estatus de Puerto Rico s</w:t>
      </w:r>
      <w:r>
        <w:rPr>
          <w:lang w:val="es-ES_tradnl" w:eastAsia="ja-JP"/>
        </w:rPr>
        <w:t>o</w:t>
      </w:r>
      <w:r w:rsidRPr="00C06F5C">
        <w:rPr>
          <w:lang w:val="es-ES_tradnl" w:eastAsia="ja-JP"/>
        </w:rPr>
        <w:t>lo desde el punto de vista contributivo,</w:t>
      </w:r>
      <w:r>
        <w:rPr>
          <w:lang w:val="es-ES_tradnl" w:eastAsia="ja-JP"/>
        </w:rPr>
        <w:t xml:space="preserve"> e</w:t>
      </w:r>
      <w:r w:rsidRPr="00C06F5C">
        <w:rPr>
          <w:lang w:val="es-ES_tradnl" w:eastAsia="ja-JP"/>
        </w:rPr>
        <w:t xml:space="preserve"> inclusive desde el punto de vista estrictamente económico. El análisis económico, de hecho, siempre sacrificará precisión, hasta el punto de no permanecer muy “pur</w:t>
      </w:r>
      <w:r>
        <w:rPr>
          <w:lang w:val="es-ES_tradnl" w:eastAsia="ja-JP"/>
        </w:rPr>
        <w:t>o</w:t>
      </w:r>
      <w:r w:rsidRPr="00C06F5C">
        <w:rPr>
          <w:lang w:val="es-ES_tradnl" w:eastAsia="ja-JP"/>
        </w:rPr>
        <w:t>”. La vida económica no puede desvincularse de las realidades sociales, políticas e incluso psicológ</w:t>
      </w:r>
      <w:r>
        <w:rPr>
          <w:lang w:val="es-ES_tradnl" w:eastAsia="ja-JP"/>
        </w:rPr>
        <w:t>icas que afectan a la sociedad.</w:t>
      </w:r>
    </w:p>
    <w:p w:rsidR="005A5E7D" w:rsidRDefault="005A5E7D" w:rsidP="005A5E7D">
      <w:pPr>
        <w:rPr>
          <w:lang w:val="es-ES_tradnl"/>
        </w:rPr>
      </w:pPr>
      <w:r w:rsidRPr="00583822">
        <w:rPr>
          <w:lang w:val="es-ES_tradnl"/>
        </w:rPr>
        <w:t>Los defensores de la independencia, por su parte, estiman que la integración económica a Estados Unidos ha llegado a su límite</w:t>
      </w:r>
      <w:r>
        <w:rPr>
          <w:lang w:val="es-ES_tradnl"/>
        </w:rPr>
        <w:t>. Si bien la moneda, el mercado</w:t>
      </w:r>
      <w:r w:rsidRPr="00583822">
        <w:rPr>
          <w:lang w:val="es-ES_tradnl"/>
        </w:rPr>
        <w:t xml:space="preserve"> y la ciudadanía común sirvieron como vehículo de crecimiento en décadas pasadas, la nueva realidad internacional y doméstica dicta la adopción de una nueva estrategia económica y un sistem</w:t>
      </w:r>
      <w:r>
        <w:rPr>
          <w:lang w:val="es-ES_tradnl"/>
        </w:rPr>
        <w:t>a político totalmente distinto.</w:t>
      </w:r>
    </w:p>
    <w:p w:rsidR="005A5E7D" w:rsidRPr="00583822" w:rsidRDefault="005A5E7D" w:rsidP="005A5E7D">
      <w:pPr>
        <w:rPr>
          <w:lang w:val="es-ES_tradnl"/>
        </w:rPr>
      </w:pPr>
      <w:r w:rsidRPr="00583822">
        <w:rPr>
          <w:lang w:val="es-ES_tradnl"/>
        </w:rPr>
        <w:t xml:space="preserve">En primer lugar, las ventajas que ofrecía estar bajo el sistema tarifario estadounidense han ido desapareciendo. En el </w:t>
      </w:r>
      <w:r w:rsidRPr="00C06F5C">
        <w:rPr>
          <w:lang w:val="es-ES_tradnl" w:eastAsia="ja-JP"/>
        </w:rPr>
        <w:t xml:space="preserve">Acuerdo General </w:t>
      </w:r>
      <w:r>
        <w:rPr>
          <w:lang w:val="es-ES_tradnl" w:eastAsia="ja-JP"/>
        </w:rPr>
        <w:t>sobre Aranceles Aduaneros y</w:t>
      </w:r>
      <w:r w:rsidRPr="00C06F5C">
        <w:rPr>
          <w:lang w:val="es-ES_tradnl" w:eastAsia="ja-JP"/>
        </w:rPr>
        <w:t xml:space="preserve"> Comercio (GATT</w:t>
      </w:r>
      <w:r>
        <w:rPr>
          <w:lang w:val="es-ES_tradnl" w:eastAsia="ja-JP"/>
        </w:rPr>
        <w:t xml:space="preserve">, </w:t>
      </w:r>
      <w:r w:rsidRPr="003A6D30">
        <w:rPr>
          <w:i/>
          <w:lang w:val="es-ES_tradnl" w:eastAsia="ja-JP"/>
        </w:rPr>
        <w:t>General Agreement on Tari</w:t>
      </w:r>
      <w:r>
        <w:rPr>
          <w:i/>
          <w:lang w:val="es-ES_tradnl" w:eastAsia="ja-JP"/>
        </w:rPr>
        <w:t>f</w:t>
      </w:r>
      <w:r w:rsidRPr="003A6D30">
        <w:rPr>
          <w:i/>
          <w:lang w:val="es-ES_tradnl" w:eastAsia="ja-JP"/>
        </w:rPr>
        <w:t>fs and Trade</w:t>
      </w:r>
      <w:r w:rsidRPr="00C06F5C">
        <w:rPr>
          <w:lang w:val="es-ES_tradnl" w:eastAsia="ja-JP"/>
        </w:rPr>
        <w:t>)</w:t>
      </w:r>
      <w:r w:rsidRPr="00583822">
        <w:rPr>
          <w:lang w:val="es-ES_tradnl"/>
        </w:rPr>
        <w:t>, así como en otros tratados internacionales especia</w:t>
      </w:r>
      <w:r>
        <w:rPr>
          <w:lang w:val="es-ES_tradnl"/>
        </w:rPr>
        <w:t>les como la Iniciativa para la C</w:t>
      </w:r>
      <w:r w:rsidRPr="00583822">
        <w:rPr>
          <w:lang w:val="es-ES_tradnl"/>
        </w:rPr>
        <w:t>uenca del Caribe (CBI</w:t>
      </w:r>
      <w:r>
        <w:rPr>
          <w:lang w:val="es-ES_tradnl"/>
        </w:rPr>
        <w:t>, por sus siglas en inglés</w:t>
      </w:r>
      <w:r w:rsidRPr="00583822">
        <w:rPr>
          <w:lang w:val="es-ES_tradnl"/>
        </w:rPr>
        <w:t xml:space="preserve">) y el </w:t>
      </w:r>
      <w:r w:rsidRPr="00F64311">
        <w:rPr>
          <w:lang w:val="es-ES_tradnl"/>
        </w:rPr>
        <w:t>Tratado de Libre Comercio de América del Norte (NAFTA</w:t>
      </w:r>
      <w:r>
        <w:rPr>
          <w:lang w:val="es-ES_tradnl"/>
        </w:rPr>
        <w:t>, por sus siglas en inglés)</w:t>
      </w:r>
      <w:r w:rsidRPr="00583822">
        <w:rPr>
          <w:lang w:val="es-ES_tradnl"/>
        </w:rPr>
        <w:t>, se han reducido las barreras tarifarias sobre la inmensa mayoría de los productos que entran a Estados Unidos, y se han extendido otros privilegios a las exportaciones de países que compiten con Puerto Rico. Más aún, Puerto Rico ya no puede competir con otros países</w:t>
      </w:r>
      <w:r>
        <w:rPr>
          <w:lang w:val="es-ES_tradnl"/>
        </w:rPr>
        <w:t xml:space="preserve"> ofreciendo mano de obra barata</w:t>
      </w:r>
      <w:r w:rsidRPr="00583822">
        <w:rPr>
          <w:lang w:val="es-ES_tradnl"/>
        </w:rPr>
        <w:t xml:space="preserve">. </w:t>
      </w:r>
      <w:r>
        <w:rPr>
          <w:lang w:val="es-ES_tradnl"/>
        </w:rPr>
        <w:t>S</w:t>
      </w:r>
      <w:r w:rsidRPr="00583822">
        <w:rPr>
          <w:lang w:val="es-ES_tradnl"/>
        </w:rPr>
        <w:t>in embargo, todavía ofrece una mano de obra diestra, así como una infraestructur</w:t>
      </w:r>
      <w:r>
        <w:rPr>
          <w:lang w:val="es-ES_tradnl"/>
        </w:rPr>
        <w:t>a de transportación, financiera</w:t>
      </w:r>
      <w:r w:rsidRPr="00583822">
        <w:rPr>
          <w:lang w:val="es-ES_tradnl"/>
        </w:rPr>
        <w:t xml:space="preserve"> y de comunicaciones avanzada.</w:t>
      </w:r>
    </w:p>
    <w:p w:rsidR="005A5E7D" w:rsidRPr="00A73A4C" w:rsidRDefault="005A5E7D" w:rsidP="005A5E7D">
      <w:pPr>
        <w:rPr>
          <w:lang w:val="es-ES_tradnl"/>
        </w:rPr>
      </w:pPr>
      <w:r w:rsidRPr="00583822">
        <w:rPr>
          <w:lang w:val="es-ES_tradnl"/>
        </w:rPr>
        <w:t>El punto que los independentistas enfatizan</w:t>
      </w:r>
      <w:r>
        <w:rPr>
          <w:lang w:val="es-ES_tradnl"/>
        </w:rPr>
        <w:t xml:space="preserve"> </w:t>
      </w:r>
      <w:r w:rsidRPr="00583822">
        <w:rPr>
          <w:lang w:val="es-ES_tradnl"/>
        </w:rPr>
        <w:t xml:space="preserve">más, cuando discuten con los defensores de las otras dos fórmulas políticas, es que la nueva realidad mundial y doméstica obliga a </w:t>
      </w:r>
      <w:r>
        <w:rPr>
          <w:lang w:val="es-ES_tradnl"/>
        </w:rPr>
        <w:t xml:space="preserve">Puerto Rico </w:t>
      </w:r>
      <w:r w:rsidRPr="00583822">
        <w:rPr>
          <w:lang w:val="es-ES_tradnl"/>
        </w:rPr>
        <w:t>a competir con un número mayor de países</w:t>
      </w:r>
      <w:r>
        <w:rPr>
          <w:lang w:val="es-ES_tradnl"/>
        </w:rPr>
        <w:t>, ya sea en vías de desarrollo</w:t>
      </w:r>
      <w:r w:rsidRPr="00583822">
        <w:rPr>
          <w:lang w:val="es-ES_tradnl"/>
        </w:rPr>
        <w:t xml:space="preserve"> o industrializados. Los defensores de la independencia consideran que los poderes políticos y judicia</w:t>
      </w:r>
      <w:r>
        <w:rPr>
          <w:lang w:val="es-ES_tradnl"/>
        </w:rPr>
        <w:t xml:space="preserve">les que provee la afiliación a </w:t>
      </w:r>
      <w:r w:rsidRPr="00583822">
        <w:rPr>
          <w:lang w:val="es-ES_tradnl"/>
        </w:rPr>
        <w:t>Estados Unidos</w:t>
      </w:r>
      <w:r>
        <w:rPr>
          <w:lang w:val="es-ES_tradnl"/>
        </w:rPr>
        <w:t xml:space="preserve"> —</w:t>
      </w:r>
      <w:r w:rsidRPr="00583822">
        <w:rPr>
          <w:lang w:val="es-ES_tradnl"/>
        </w:rPr>
        <w:t>bajo el ELA o la estadidad</w:t>
      </w:r>
      <w:r>
        <w:rPr>
          <w:lang w:val="es-ES_tradnl"/>
        </w:rPr>
        <w:t>—</w:t>
      </w:r>
      <w:r w:rsidRPr="00583822">
        <w:rPr>
          <w:lang w:val="es-ES_tradnl"/>
        </w:rPr>
        <w:t xml:space="preserve"> son muy restrictivos e insuficientes para permitirle a Puerto Rico competir dada la nueva realidad mundial. Puerto Rico debe sacarle </w:t>
      </w:r>
      <w:r w:rsidRPr="00A73A4C">
        <w:rPr>
          <w:lang w:val="es-ES_tradnl"/>
        </w:rPr>
        <w:t>provecho al rápido crecimiento económico de los nuevos gigantes de la economía mundial</w:t>
      </w:r>
      <w:r>
        <w:rPr>
          <w:lang w:val="es-ES_tradnl"/>
        </w:rPr>
        <w:t xml:space="preserve"> </w:t>
      </w:r>
      <w:r>
        <w:rPr>
          <w:lang w:val="es-ES_tradnl" w:eastAsia="ja-JP"/>
        </w:rPr>
        <w:t>en ese momento</w:t>
      </w:r>
      <w:r w:rsidRPr="00A73A4C">
        <w:rPr>
          <w:lang w:val="es-ES_tradnl"/>
        </w:rPr>
        <w:t>, Europa y Japón.</w:t>
      </w:r>
    </w:p>
    <w:p w:rsidR="005A5E7D" w:rsidRPr="00A73A4C" w:rsidRDefault="005A5E7D" w:rsidP="005A5E7D">
      <w:pPr>
        <w:rPr>
          <w:lang w:val="es-ES_tradnl"/>
        </w:rPr>
      </w:pPr>
      <w:r w:rsidRPr="00A73A4C">
        <w:rPr>
          <w:lang w:val="es-ES_tradnl"/>
        </w:rPr>
        <w:t>La República de Puerto Rico ofrecería un contexto jurídico y político más adecuado para negociar tratados comerciales, establecer condiciones tributarias que sirv</w:t>
      </w:r>
      <w:r>
        <w:rPr>
          <w:lang w:val="es-ES_tradnl"/>
        </w:rPr>
        <w:t>a</w:t>
      </w:r>
      <w:r w:rsidRPr="00A73A4C">
        <w:rPr>
          <w:lang w:val="es-ES_tradnl"/>
        </w:rPr>
        <w:t>n de ince</w:t>
      </w:r>
      <w:r>
        <w:rPr>
          <w:lang w:val="es-ES_tradnl"/>
        </w:rPr>
        <w:t>ntivo a la inversión extranjera y promover su</w:t>
      </w:r>
      <w:r w:rsidRPr="00A73A4C">
        <w:rPr>
          <w:lang w:val="es-ES_tradnl"/>
        </w:rPr>
        <w:t>s intereses en los mercados internacionales. L</w:t>
      </w:r>
      <w:r>
        <w:rPr>
          <w:lang w:val="es-ES_tradnl"/>
        </w:rPr>
        <w:t xml:space="preserve">e </w:t>
      </w:r>
      <w:r w:rsidRPr="00A73A4C">
        <w:rPr>
          <w:lang w:val="es-ES_tradnl"/>
        </w:rPr>
        <w:t xml:space="preserve">permitiría a Puerto Rico competir adecuadamente con los países industrializados </w:t>
      </w:r>
      <w:r>
        <w:rPr>
          <w:lang w:val="es-ES_tradnl"/>
        </w:rPr>
        <w:t>o</w:t>
      </w:r>
      <w:r w:rsidRPr="00A73A4C">
        <w:rPr>
          <w:lang w:val="es-ES_tradnl"/>
        </w:rPr>
        <w:t xml:space="preserve"> en </w:t>
      </w:r>
      <w:r>
        <w:rPr>
          <w:lang w:val="es-ES_tradnl"/>
        </w:rPr>
        <w:t xml:space="preserve">vías de </w:t>
      </w:r>
      <w:r w:rsidRPr="00A73A4C">
        <w:rPr>
          <w:lang w:val="es-ES_tradnl"/>
        </w:rPr>
        <w:t>desarrollo</w:t>
      </w:r>
      <w:r>
        <w:rPr>
          <w:lang w:val="es-ES_tradnl"/>
        </w:rPr>
        <w:t>,</w:t>
      </w:r>
      <w:r w:rsidRPr="00A73A4C">
        <w:rPr>
          <w:lang w:val="es-ES_tradnl"/>
        </w:rPr>
        <w:t xml:space="preserve"> al eliminar las restricciones que impone el sistema económico estadounidense, particularmente en términos de tarifas y aranceles, contribuciones federales, estructura salarial, reglamentaciones ambientales, comunica</w:t>
      </w:r>
      <w:r>
        <w:rPr>
          <w:lang w:val="es-ES_tradnl"/>
        </w:rPr>
        <w:t>ciones y derechos de propiedad, entre</w:t>
      </w:r>
      <w:r w:rsidRPr="00A73A4C">
        <w:rPr>
          <w:lang w:val="es-ES_tradnl"/>
        </w:rPr>
        <w:t xml:space="preserve"> otros.</w:t>
      </w:r>
    </w:p>
    <w:p w:rsidR="005A5E7D" w:rsidRDefault="005A5E7D" w:rsidP="005A5E7D">
      <w:pPr>
        <w:pStyle w:val="Heading4"/>
        <w:rPr>
          <w:noProof/>
          <w:lang w:val="es-ES_tradnl" w:eastAsia="ja-JP"/>
        </w:rPr>
      </w:pPr>
    </w:p>
    <w:p w:rsidR="005A5E7D" w:rsidRPr="00012080" w:rsidRDefault="005A5E7D" w:rsidP="00816D6E">
      <w:pPr>
        <w:pStyle w:val="Heading3"/>
      </w:pPr>
      <w:bookmarkStart w:id="33" w:name="_Toc384769735"/>
      <w:r w:rsidRPr="00012080">
        <w:t xml:space="preserve">F.2 </w:t>
      </w:r>
      <w:r>
        <w:tab/>
        <w:t>E</w:t>
      </w:r>
      <w:r w:rsidRPr="00012080">
        <w:t>stadidad</w:t>
      </w:r>
      <w:bookmarkEnd w:id="33"/>
    </w:p>
    <w:p w:rsidR="005A5E7D" w:rsidRDefault="005A5E7D" w:rsidP="005A5E7D">
      <w:pPr>
        <w:spacing w:line="360" w:lineRule="auto"/>
        <w:rPr>
          <w:lang w:val="es-ES_tradnl" w:eastAsia="ja-JP"/>
        </w:rPr>
      </w:pPr>
    </w:p>
    <w:p w:rsidR="005A5E7D" w:rsidRDefault="005A5E7D" w:rsidP="005A5E7D">
      <w:pPr>
        <w:rPr>
          <w:lang w:val="es-ES_tradnl" w:eastAsia="ja-JP"/>
        </w:rPr>
      </w:pPr>
      <w:r w:rsidRPr="00A73A4C">
        <w:rPr>
          <w:lang w:val="es-ES_tradnl" w:eastAsia="ja-JP"/>
        </w:rPr>
        <w:t xml:space="preserve">Para los impulsores de la estadidad, la integración política y económica con </w:t>
      </w:r>
      <w:r>
        <w:rPr>
          <w:lang w:val="es-ES_tradnl" w:eastAsia="ja-JP"/>
        </w:rPr>
        <w:t>Estados Unidos</w:t>
      </w:r>
      <w:r w:rsidRPr="00A73A4C">
        <w:rPr>
          <w:lang w:val="es-ES_tradnl" w:eastAsia="ja-JP"/>
        </w:rPr>
        <w:t xml:space="preserve"> proveer</w:t>
      </w:r>
      <w:r>
        <w:rPr>
          <w:lang w:val="es-ES_tradnl" w:eastAsia="ja-JP"/>
        </w:rPr>
        <w:t>ía</w:t>
      </w:r>
      <w:r w:rsidRPr="00A73A4C">
        <w:rPr>
          <w:lang w:val="es-ES_tradnl" w:eastAsia="ja-JP"/>
        </w:rPr>
        <w:t xml:space="preserve"> a Puerto Rico </w:t>
      </w:r>
      <w:r>
        <w:rPr>
          <w:lang w:val="es-ES_tradnl" w:eastAsia="ja-JP"/>
        </w:rPr>
        <w:t>los</w:t>
      </w:r>
      <w:r w:rsidRPr="00A73A4C">
        <w:rPr>
          <w:lang w:val="es-ES_tradnl" w:eastAsia="ja-JP"/>
        </w:rPr>
        <w:t xml:space="preserve"> pilares sólidos para un crecimiento económico sostenido. Los inversionistas se ver</w:t>
      </w:r>
      <w:r>
        <w:rPr>
          <w:lang w:val="es-ES_tradnl" w:eastAsia="ja-JP"/>
        </w:rPr>
        <w:t>ía</w:t>
      </w:r>
      <w:r w:rsidRPr="00A73A4C">
        <w:rPr>
          <w:lang w:val="es-ES_tradnl" w:eastAsia="ja-JP"/>
        </w:rPr>
        <w:t xml:space="preserve">n atraídos por las ventajas contributivas </w:t>
      </w:r>
      <w:r>
        <w:rPr>
          <w:lang w:val="es-ES_tradnl" w:eastAsia="ja-JP"/>
        </w:rPr>
        <w:t>a</w:t>
      </w:r>
      <w:r w:rsidRPr="00A73A4C">
        <w:rPr>
          <w:lang w:val="es-ES_tradnl" w:eastAsia="ja-JP"/>
        </w:rPr>
        <w:t xml:space="preserve"> ofrecer a las corporaciones estadounidenses operando en la Isla; una abundante, relativamente barata y altamente calificada fuerza laboral; una infraestructura financiera </w:t>
      </w:r>
      <w:r>
        <w:rPr>
          <w:lang w:val="es-ES_tradnl" w:eastAsia="ja-JP"/>
        </w:rPr>
        <w:t xml:space="preserve">y </w:t>
      </w:r>
      <w:r w:rsidRPr="00A73A4C">
        <w:rPr>
          <w:lang w:val="es-ES_tradnl" w:eastAsia="ja-JP"/>
        </w:rPr>
        <w:t>sistema</w:t>
      </w:r>
      <w:r>
        <w:rPr>
          <w:lang w:val="es-ES_tradnl" w:eastAsia="ja-JP"/>
        </w:rPr>
        <w:t>s</w:t>
      </w:r>
      <w:r w:rsidRPr="00A73A4C">
        <w:rPr>
          <w:lang w:val="es-ES_tradnl" w:eastAsia="ja-JP"/>
        </w:rPr>
        <w:t xml:space="preserve"> de transportación y comunicación</w:t>
      </w:r>
      <w:r>
        <w:rPr>
          <w:lang w:val="es-ES_tradnl" w:eastAsia="ja-JP"/>
        </w:rPr>
        <w:t xml:space="preserve"> </w:t>
      </w:r>
      <w:r w:rsidRPr="00A73A4C">
        <w:rPr>
          <w:lang w:val="es-ES_tradnl"/>
        </w:rPr>
        <w:t>altamente desarrollad</w:t>
      </w:r>
      <w:r>
        <w:rPr>
          <w:lang w:val="es-ES_tradnl"/>
        </w:rPr>
        <w:t>o</w:t>
      </w:r>
      <w:r w:rsidRPr="00A73A4C">
        <w:rPr>
          <w:lang w:val="es-ES_tradnl"/>
        </w:rPr>
        <w:t>s</w:t>
      </w:r>
      <w:r w:rsidRPr="00A73A4C">
        <w:rPr>
          <w:lang w:val="es-ES_tradnl" w:eastAsia="ja-JP"/>
        </w:rPr>
        <w:t>; una localización geográfica estratégica; lazos in</w:t>
      </w:r>
      <w:r>
        <w:rPr>
          <w:lang w:val="es-ES_tradnl" w:eastAsia="ja-JP"/>
        </w:rPr>
        <w:t>dustriales y comerciales con Amé</w:t>
      </w:r>
      <w:r w:rsidRPr="00A73A4C">
        <w:rPr>
          <w:lang w:val="es-ES_tradnl" w:eastAsia="ja-JP"/>
        </w:rPr>
        <w:t xml:space="preserve">rica Central y el Caribe; un capital cultural </w:t>
      </w:r>
      <w:r>
        <w:rPr>
          <w:lang w:val="es-ES_tradnl" w:eastAsia="ja-JP"/>
        </w:rPr>
        <w:t>para</w:t>
      </w:r>
      <w:r w:rsidRPr="00A73A4C">
        <w:rPr>
          <w:lang w:val="es-ES_tradnl" w:eastAsia="ja-JP"/>
        </w:rPr>
        <w:t xml:space="preserve"> mejora</w:t>
      </w:r>
      <w:r>
        <w:rPr>
          <w:lang w:val="es-ES_tradnl" w:eastAsia="ja-JP"/>
        </w:rPr>
        <w:t>r</w:t>
      </w:r>
      <w:r w:rsidRPr="00A73A4C">
        <w:rPr>
          <w:lang w:val="es-ES_tradnl" w:eastAsia="ja-JP"/>
        </w:rPr>
        <w:t xml:space="preserve"> l</w:t>
      </w:r>
      <w:r>
        <w:rPr>
          <w:lang w:val="es-ES_tradnl" w:eastAsia="ja-JP"/>
        </w:rPr>
        <w:t>a</w:t>
      </w:r>
      <w:r w:rsidRPr="00A73A4C">
        <w:rPr>
          <w:lang w:val="es-ES_tradnl" w:eastAsia="ja-JP"/>
        </w:rPr>
        <w:t>s p</w:t>
      </w:r>
      <w:r>
        <w:rPr>
          <w:lang w:val="es-ES_tradnl" w:eastAsia="ja-JP"/>
        </w:rPr>
        <w:t>erspectiva</w:t>
      </w:r>
      <w:r w:rsidRPr="00A73A4C">
        <w:rPr>
          <w:lang w:val="es-ES_tradnl" w:eastAsia="ja-JP"/>
        </w:rPr>
        <w:t>s de la Isla en convertirse en un centro regional de servicios y comercio; y la belleza natural de sus alrededores hacen de la Isla un atractivo vacacional en el mercado turístico internacional.</w:t>
      </w:r>
    </w:p>
    <w:p w:rsidR="005A5E7D" w:rsidRPr="00A73A4C" w:rsidRDefault="005A5E7D" w:rsidP="005A5E7D">
      <w:pPr>
        <w:rPr>
          <w:lang w:val="es-ES_tradnl"/>
        </w:rPr>
      </w:pPr>
      <w:r>
        <w:rPr>
          <w:lang w:val="es-ES_tradnl" w:eastAsia="ja-JP"/>
        </w:rPr>
        <w:t>Plantearon que e</w:t>
      </w:r>
      <w:r w:rsidRPr="00A73A4C">
        <w:rPr>
          <w:lang w:val="es-ES_tradnl" w:eastAsia="ja-JP"/>
        </w:rPr>
        <w:t xml:space="preserve">stas ventajas, junto con los beneficios políticos de la asociación con </w:t>
      </w:r>
      <w:r>
        <w:rPr>
          <w:lang w:val="es-ES_tradnl" w:eastAsia="ja-JP"/>
        </w:rPr>
        <w:t>Estados Unidos</w:t>
      </w:r>
      <w:r w:rsidRPr="00A73A4C">
        <w:rPr>
          <w:lang w:val="es-ES_tradnl" w:eastAsia="ja-JP"/>
        </w:rPr>
        <w:t xml:space="preserve"> (como aranceles en común) y la protección de un sistema monetario y legal en común</w:t>
      </w:r>
      <w:r>
        <w:rPr>
          <w:lang w:val="es-ES_tradnl" w:eastAsia="ja-JP"/>
        </w:rPr>
        <w:t>,</w:t>
      </w:r>
      <w:r w:rsidRPr="00A73A4C">
        <w:rPr>
          <w:lang w:val="es-ES_tradnl" w:eastAsia="ja-JP"/>
        </w:rPr>
        <w:t xml:space="preserve"> sobrepasan las ventajas que ofrecen los otros países en vías de desarrollo </w:t>
      </w:r>
      <w:r>
        <w:rPr>
          <w:lang w:val="es-ES_tradnl" w:eastAsia="ja-JP"/>
        </w:rPr>
        <w:t xml:space="preserve">a </w:t>
      </w:r>
      <w:r w:rsidRPr="00A73A4C">
        <w:rPr>
          <w:lang w:val="es-ES_tradnl" w:eastAsia="ja-JP"/>
        </w:rPr>
        <w:t>los inversores estadounidenses. Añadie</w:t>
      </w:r>
      <w:r>
        <w:rPr>
          <w:lang w:val="es-ES_tradnl" w:eastAsia="ja-JP"/>
        </w:rPr>
        <w:t>ron</w:t>
      </w:r>
      <w:r w:rsidRPr="00A73A4C">
        <w:rPr>
          <w:lang w:val="es-ES_tradnl" w:eastAsia="ja-JP"/>
        </w:rPr>
        <w:t xml:space="preserve"> que</w:t>
      </w:r>
      <w:r>
        <w:rPr>
          <w:lang w:val="es-ES_tradnl" w:eastAsia="ja-JP"/>
        </w:rPr>
        <w:t>,</w:t>
      </w:r>
      <w:r w:rsidRPr="00A73A4C">
        <w:rPr>
          <w:lang w:val="es-ES_tradnl" w:eastAsia="ja-JP"/>
        </w:rPr>
        <w:t xml:space="preserve"> por estas ventajas corporativas, Puerto Rico p</w:t>
      </w:r>
      <w:r>
        <w:rPr>
          <w:lang w:val="es-ES_tradnl" w:eastAsia="ja-JP"/>
        </w:rPr>
        <w:t>odría</w:t>
      </w:r>
      <w:r w:rsidRPr="00A73A4C">
        <w:rPr>
          <w:lang w:val="es-ES_tradnl" w:eastAsia="ja-JP"/>
        </w:rPr>
        <w:t xml:space="preserve"> competir </w:t>
      </w:r>
      <w:r w:rsidRPr="00A73A4C">
        <w:rPr>
          <w:lang w:val="es-ES_tradnl"/>
        </w:rPr>
        <w:t xml:space="preserve">en términos </w:t>
      </w:r>
      <w:r>
        <w:rPr>
          <w:lang w:val="es-ES_tradnl"/>
        </w:rPr>
        <w:t xml:space="preserve">de </w:t>
      </w:r>
      <w:r w:rsidRPr="00A73A4C">
        <w:rPr>
          <w:lang w:val="es-ES_tradnl"/>
        </w:rPr>
        <w:t>igual</w:t>
      </w:r>
      <w:r>
        <w:rPr>
          <w:lang w:val="es-ES_tradnl"/>
        </w:rPr>
        <w:t>dad</w:t>
      </w:r>
      <w:r w:rsidRPr="00A73A4C">
        <w:rPr>
          <w:lang w:val="es-ES_tradnl"/>
        </w:rPr>
        <w:t xml:space="preserve"> con cualquier otro estado de la </w:t>
      </w:r>
      <w:r>
        <w:rPr>
          <w:lang w:val="es-ES_tradnl"/>
        </w:rPr>
        <w:t>u</w:t>
      </w:r>
      <w:r w:rsidRPr="00A73A4C">
        <w:rPr>
          <w:lang w:val="es-ES_tradnl"/>
        </w:rPr>
        <w:t xml:space="preserve">nión (Finn 1983; Hexner et al.1993; McKee 1990). </w:t>
      </w:r>
    </w:p>
    <w:p w:rsidR="005A5E7D" w:rsidRPr="00A73A4C" w:rsidRDefault="005A5E7D" w:rsidP="005A5E7D">
      <w:pPr>
        <w:rPr>
          <w:lang w:val="es-ES_tradnl" w:eastAsia="ja-JP"/>
        </w:rPr>
      </w:pPr>
      <w:r>
        <w:rPr>
          <w:lang w:val="es-ES_tradnl"/>
        </w:rPr>
        <w:t>Def</w:t>
      </w:r>
      <w:r w:rsidRPr="00A73A4C">
        <w:rPr>
          <w:lang w:val="es-ES_tradnl"/>
        </w:rPr>
        <w:t>end</w:t>
      </w:r>
      <w:r>
        <w:rPr>
          <w:lang w:val="es-ES_tradnl"/>
        </w:rPr>
        <w:t>i</w:t>
      </w:r>
      <w:r w:rsidRPr="00A73A4C">
        <w:rPr>
          <w:lang w:val="es-ES_tradnl"/>
        </w:rPr>
        <w:t>e</w:t>
      </w:r>
      <w:r>
        <w:rPr>
          <w:lang w:val="es-ES_tradnl"/>
        </w:rPr>
        <w:t>ro</w:t>
      </w:r>
      <w:r w:rsidRPr="00A73A4C">
        <w:rPr>
          <w:lang w:val="es-ES_tradnl"/>
        </w:rPr>
        <w:t>n que la estadidad es la mejor alternativa al modelo económico del Estado Libre Asociado, depend</w:t>
      </w:r>
      <w:r>
        <w:rPr>
          <w:lang w:val="es-ES_tradnl"/>
        </w:rPr>
        <w:t>iente</w:t>
      </w:r>
      <w:r w:rsidRPr="00A73A4C">
        <w:rPr>
          <w:lang w:val="es-ES_tradnl"/>
        </w:rPr>
        <w:t xml:space="preserve"> en gran </w:t>
      </w:r>
      <w:r>
        <w:rPr>
          <w:lang w:val="es-ES_tradnl"/>
        </w:rPr>
        <w:t>medida</w:t>
      </w:r>
      <w:r w:rsidRPr="00A73A4C">
        <w:rPr>
          <w:lang w:val="es-ES_tradnl"/>
        </w:rPr>
        <w:t xml:space="preserve"> de las exenciones contributivas provistas por la Sección 936. Para un gran n</w:t>
      </w:r>
      <w:r>
        <w:rPr>
          <w:lang w:val="es-ES_tradnl"/>
        </w:rPr>
        <w:t>úmero de defensores de la estadidad</w:t>
      </w:r>
      <w:r w:rsidRPr="00A73A4C">
        <w:rPr>
          <w:lang w:val="es-ES_tradnl"/>
        </w:rPr>
        <w:t>, la Sección 936 ya ha</w:t>
      </w:r>
      <w:r>
        <w:rPr>
          <w:lang w:val="es-ES_tradnl"/>
        </w:rPr>
        <w:t>bía</w:t>
      </w:r>
      <w:r w:rsidRPr="00A73A4C">
        <w:rPr>
          <w:lang w:val="es-ES_tradnl" w:eastAsia="ja-JP"/>
        </w:rPr>
        <w:t xml:space="preserve"> cumplido con su utilidad para la economía de Puerto Rico (</w:t>
      </w:r>
      <w:r>
        <w:rPr>
          <w:lang w:val="es-ES_tradnl" w:eastAsia="ja-JP"/>
        </w:rPr>
        <w:t xml:space="preserve">T. </w:t>
      </w:r>
      <w:r w:rsidRPr="00A73A4C">
        <w:rPr>
          <w:lang w:val="es-ES_tradnl" w:eastAsia="ja-JP"/>
        </w:rPr>
        <w:t xml:space="preserve">Hexner 1993). </w:t>
      </w:r>
      <w:r>
        <w:rPr>
          <w:lang w:val="es-ES_tradnl" w:eastAsia="ja-JP"/>
        </w:rPr>
        <w:t>E</w:t>
      </w:r>
      <w:r w:rsidRPr="00A73A4C">
        <w:rPr>
          <w:lang w:val="es-ES_tradnl" w:eastAsia="ja-JP"/>
        </w:rPr>
        <w:t xml:space="preserve">n particular, </w:t>
      </w:r>
      <w:r>
        <w:rPr>
          <w:lang w:val="es-ES_tradnl" w:eastAsia="ja-JP"/>
        </w:rPr>
        <w:t xml:space="preserve">señalaron </w:t>
      </w:r>
      <w:r w:rsidRPr="00A73A4C">
        <w:rPr>
          <w:lang w:val="es-ES_tradnl" w:eastAsia="ja-JP"/>
        </w:rPr>
        <w:t>que la incertidumbre causada por la inhabilidad para predecir la duración d</w:t>
      </w:r>
      <w:r>
        <w:rPr>
          <w:lang w:val="es-ES_tradnl" w:eastAsia="ja-JP"/>
        </w:rPr>
        <w:t xml:space="preserve">e los beneficios contributivos </w:t>
      </w:r>
      <w:r w:rsidRPr="00A73A4C">
        <w:rPr>
          <w:lang w:val="es-ES_tradnl" w:eastAsia="ja-JP"/>
        </w:rPr>
        <w:t xml:space="preserve">promueve un clima de inestabilidad. </w:t>
      </w:r>
      <w:r>
        <w:rPr>
          <w:lang w:val="es-ES_tradnl" w:eastAsia="ja-JP"/>
        </w:rPr>
        <w:t>Además, argumentaron que esta incertidumbre</w:t>
      </w:r>
      <w:r w:rsidRPr="00A73A4C">
        <w:rPr>
          <w:lang w:val="es-ES_tradnl" w:eastAsia="ja-JP"/>
        </w:rPr>
        <w:t xml:space="preserve"> </w:t>
      </w:r>
      <w:r w:rsidRPr="008B456C">
        <w:t>—</w:t>
      </w:r>
      <w:r>
        <w:rPr>
          <w:lang w:val="es-ES_tradnl" w:eastAsia="ja-JP"/>
        </w:rPr>
        <w:t xml:space="preserve">que afecta las inversiones estadounidenses </w:t>
      </w:r>
      <w:r w:rsidRPr="00A73A4C">
        <w:rPr>
          <w:lang w:val="es-ES_tradnl" w:eastAsia="ja-JP"/>
        </w:rPr>
        <w:t>en la Isla</w:t>
      </w:r>
      <w:r w:rsidRPr="008B456C">
        <w:t>—</w:t>
      </w:r>
      <w:r w:rsidRPr="00A73A4C">
        <w:rPr>
          <w:lang w:val="es-ES_tradnl" w:eastAsia="ja-JP"/>
        </w:rPr>
        <w:t xml:space="preserve"> continuó mientras un grupo significativo en el Congreso, la administración federal y el liderato de los partido políticos estadounidenses vieron a la Sección 936 como un subsidio excesivo para solo un puñado de corporaciones. Los impulsores de la estadidad argumenta</w:t>
      </w:r>
      <w:r>
        <w:rPr>
          <w:lang w:val="es-ES_tradnl" w:eastAsia="ja-JP"/>
        </w:rPr>
        <w:t>ro</w:t>
      </w:r>
      <w:r w:rsidRPr="00A73A4C">
        <w:rPr>
          <w:lang w:val="es-ES_tradnl" w:eastAsia="ja-JP"/>
        </w:rPr>
        <w:t xml:space="preserve">n </w:t>
      </w:r>
      <w:r>
        <w:rPr>
          <w:lang w:val="es-ES_tradnl" w:eastAsia="ja-JP"/>
        </w:rPr>
        <w:t xml:space="preserve">también </w:t>
      </w:r>
      <w:r w:rsidRPr="00A73A4C">
        <w:rPr>
          <w:lang w:val="es-ES_tradnl" w:eastAsia="ja-JP"/>
        </w:rPr>
        <w:t>que la estadidad proveer</w:t>
      </w:r>
      <w:r>
        <w:rPr>
          <w:lang w:val="es-ES_tradnl" w:eastAsia="ja-JP"/>
        </w:rPr>
        <w:t>ía</w:t>
      </w:r>
      <w:r w:rsidRPr="00A73A4C">
        <w:rPr>
          <w:lang w:val="es-ES_tradnl" w:eastAsia="ja-JP"/>
        </w:rPr>
        <w:t xml:space="preserve"> unos pilares completamente diferentes para la inversión y el crecimiento económico sostenido. </w:t>
      </w:r>
    </w:p>
    <w:p w:rsidR="005A5E7D" w:rsidRDefault="005A5E7D" w:rsidP="005A5E7D">
      <w:pPr>
        <w:rPr>
          <w:lang w:val="es-ES_tradnl" w:eastAsia="ja-JP"/>
        </w:rPr>
      </w:pPr>
      <w:r w:rsidRPr="00A73A4C">
        <w:rPr>
          <w:lang w:val="es-ES_tradnl" w:eastAsia="ja-JP"/>
        </w:rPr>
        <w:t>Otro argumento clave es que, en el corto plazo</w:t>
      </w:r>
      <w:r>
        <w:rPr>
          <w:lang w:val="es-ES_tradnl" w:eastAsia="ja-JP"/>
        </w:rPr>
        <w:t>,</w:t>
      </w:r>
      <w:r w:rsidRPr="00A73A4C">
        <w:rPr>
          <w:lang w:val="es-ES_tradnl" w:eastAsia="ja-JP"/>
        </w:rPr>
        <w:t xml:space="preserve"> la estadidad traer</w:t>
      </w:r>
      <w:r>
        <w:rPr>
          <w:lang w:val="es-ES_tradnl" w:eastAsia="ja-JP"/>
        </w:rPr>
        <w:t>ía</w:t>
      </w:r>
      <w:r w:rsidRPr="00A73A4C">
        <w:rPr>
          <w:lang w:val="es-ES_tradnl" w:eastAsia="ja-JP"/>
        </w:rPr>
        <w:t xml:space="preserve"> una paridad fiscal en los programas de asistencia p</w:t>
      </w:r>
      <w:r>
        <w:rPr>
          <w:lang w:val="es-ES_tradnl" w:eastAsia="ja-JP"/>
        </w:rPr>
        <w:t xml:space="preserve">ública federal. </w:t>
      </w:r>
      <w:r w:rsidRPr="00A73A4C">
        <w:rPr>
          <w:lang w:val="es-ES_tradnl" w:eastAsia="ja-JP"/>
        </w:rPr>
        <w:t>Esta mejora en las transferencias federales a la econom</w:t>
      </w:r>
      <w:r>
        <w:rPr>
          <w:lang w:val="es-ES_tradnl" w:eastAsia="ja-JP"/>
        </w:rPr>
        <w:t>í</w:t>
      </w:r>
      <w:r w:rsidRPr="00A73A4C">
        <w:rPr>
          <w:lang w:val="es-ES_tradnl" w:eastAsia="ja-JP"/>
        </w:rPr>
        <w:t>a puertorriqueña compensar</w:t>
      </w:r>
      <w:r>
        <w:rPr>
          <w:lang w:val="es-ES_tradnl" w:eastAsia="ja-JP"/>
        </w:rPr>
        <w:t>ía</w:t>
      </w:r>
      <w:r w:rsidRPr="00A73A4C">
        <w:rPr>
          <w:lang w:val="es-ES_tradnl" w:eastAsia="ja-JP"/>
        </w:rPr>
        <w:t xml:space="preserve"> cualquier eventualidad potencial que </w:t>
      </w:r>
      <w:r>
        <w:rPr>
          <w:lang w:val="es-ES_tradnl" w:eastAsia="ja-JP"/>
        </w:rPr>
        <w:t>pudiese afectar</w:t>
      </w:r>
      <w:r w:rsidRPr="00A73A4C">
        <w:rPr>
          <w:lang w:val="es-ES_tradnl" w:eastAsia="ja-JP"/>
        </w:rPr>
        <w:t xml:space="preserve"> el crecimiento econ</w:t>
      </w:r>
      <w:r>
        <w:rPr>
          <w:lang w:val="es-ES_tradnl" w:eastAsia="ja-JP"/>
        </w:rPr>
        <w:t>ómico, a medida</w:t>
      </w:r>
      <w:r w:rsidRPr="00A73A4C">
        <w:rPr>
          <w:lang w:val="es-ES_tradnl" w:eastAsia="ja-JP"/>
        </w:rPr>
        <w:t xml:space="preserve"> que se </w:t>
      </w:r>
      <w:r>
        <w:rPr>
          <w:lang w:val="es-ES_tradnl" w:eastAsia="ja-JP"/>
        </w:rPr>
        <w:t>fuesen</w:t>
      </w:r>
      <w:r w:rsidRPr="00A73A4C">
        <w:rPr>
          <w:lang w:val="es-ES_tradnl" w:eastAsia="ja-JP"/>
        </w:rPr>
        <w:t xml:space="preserve"> eliminando los beneficios fiscales </w:t>
      </w:r>
      <w:r>
        <w:rPr>
          <w:lang w:val="es-ES_tradnl" w:eastAsia="ja-JP"/>
        </w:rPr>
        <w:t xml:space="preserve">otorgados por la </w:t>
      </w:r>
      <w:r w:rsidRPr="00A73A4C">
        <w:rPr>
          <w:lang w:val="es-ES_tradnl" w:eastAsia="ja-JP"/>
        </w:rPr>
        <w:t>Secci</w:t>
      </w:r>
      <w:r>
        <w:rPr>
          <w:lang w:val="es-ES_tradnl" w:eastAsia="ja-JP"/>
        </w:rPr>
        <w:t>ó</w:t>
      </w:r>
      <w:r w:rsidRPr="00A73A4C">
        <w:rPr>
          <w:lang w:val="es-ES_tradnl" w:eastAsia="ja-JP"/>
        </w:rPr>
        <w:t>n 936. La estadidad requerir</w:t>
      </w:r>
      <w:r>
        <w:rPr>
          <w:lang w:val="es-ES_tradnl" w:eastAsia="ja-JP"/>
        </w:rPr>
        <w:t>ía</w:t>
      </w:r>
      <w:r w:rsidRPr="00A73A4C">
        <w:rPr>
          <w:lang w:val="es-ES_tradnl" w:eastAsia="ja-JP"/>
        </w:rPr>
        <w:t xml:space="preserve"> ciertas medidas</w:t>
      </w:r>
      <w:r>
        <w:rPr>
          <w:lang w:val="es-ES_tradnl" w:eastAsia="ja-JP"/>
        </w:rPr>
        <w:t>,</w:t>
      </w:r>
      <w:r w:rsidRPr="00A73A4C">
        <w:rPr>
          <w:lang w:val="es-ES_tradnl" w:eastAsia="ja-JP"/>
        </w:rPr>
        <w:t xml:space="preserve"> como la reducci</w:t>
      </w:r>
      <w:r>
        <w:rPr>
          <w:lang w:val="es-ES_tradnl" w:eastAsia="ja-JP"/>
        </w:rPr>
        <w:t>ó</w:t>
      </w:r>
      <w:r w:rsidRPr="00A73A4C">
        <w:rPr>
          <w:lang w:val="es-ES_tradnl" w:eastAsia="ja-JP"/>
        </w:rPr>
        <w:t>n del aparato gubernamental y la adopci</w:t>
      </w:r>
      <w:r>
        <w:rPr>
          <w:lang w:val="es-ES_tradnl" w:eastAsia="ja-JP"/>
        </w:rPr>
        <w:t>ó</w:t>
      </w:r>
      <w:r w:rsidRPr="00A73A4C">
        <w:rPr>
          <w:lang w:val="es-ES_tradnl" w:eastAsia="ja-JP"/>
        </w:rPr>
        <w:t>n por parte del Congreso de un programa de transici</w:t>
      </w:r>
      <w:r>
        <w:rPr>
          <w:lang w:val="es-ES_tradnl" w:eastAsia="ja-JP"/>
        </w:rPr>
        <w:t>ó</w:t>
      </w:r>
      <w:r w:rsidRPr="00A73A4C">
        <w:rPr>
          <w:lang w:val="es-ES_tradnl" w:eastAsia="ja-JP"/>
        </w:rPr>
        <w:t>n econ</w:t>
      </w:r>
      <w:r>
        <w:rPr>
          <w:lang w:val="es-ES_tradnl" w:eastAsia="ja-JP"/>
        </w:rPr>
        <w:t>ó</w:t>
      </w:r>
      <w:r w:rsidRPr="00A73A4C">
        <w:rPr>
          <w:lang w:val="es-ES_tradnl" w:eastAsia="ja-JP"/>
        </w:rPr>
        <w:t>mica.</w:t>
      </w:r>
    </w:p>
    <w:p w:rsidR="005A5E7D" w:rsidRDefault="005A5E7D" w:rsidP="005A5E7D">
      <w:pPr>
        <w:rPr>
          <w:lang w:val="es-ES_tradnl"/>
        </w:rPr>
      </w:pPr>
      <w:r w:rsidRPr="00A73A4C">
        <w:rPr>
          <w:lang w:val="es-ES_tradnl" w:eastAsia="ja-JP"/>
        </w:rPr>
        <w:t>Los estadistas concluye</w:t>
      </w:r>
      <w:r>
        <w:rPr>
          <w:lang w:val="es-ES_tradnl" w:eastAsia="ja-JP"/>
        </w:rPr>
        <w:t>ro</w:t>
      </w:r>
      <w:r w:rsidRPr="00A73A4C">
        <w:rPr>
          <w:lang w:val="es-ES_tradnl" w:eastAsia="ja-JP"/>
        </w:rPr>
        <w:t>n que una transici</w:t>
      </w:r>
      <w:r>
        <w:rPr>
          <w:lang w:val="es-ES_tradnl" w:eastAsia="ja-JP"/>
        </w:rPr>
        <w:t>ó</w:t>
      </w:r>
      <w:r w:rsidRPr="00A73A4C">
        <w:rPr>
          <w:lang w:val="es-ES_tradnl" w:eastAsia="ja-JP"/>
        </w:rPr>
        <w:t>n a la estadidad es el resultado inevitable de la erosi</w:t>
      </w:r>
      <w:r>
        <w:rPr>
          <w:lang w:val="es-ES_tradnl" w:eastAsia="ja-JP"/>
        </w:rPr>
        <w:t>ó</w:t>
      </w:r>
      <w:r w:rsidRPr="00A73A4C">
        <w:rPr>
          <w:lang w:val="es-ES_tradnl" w:eastAsia="ja-JP"/>
        </w:rPr>
        <w:t>n del modelo econ</w:t>
      </w:r>
      <w:r>
        <w:rPr>
          <w:lang w:val="es-ES_tradnl" w:eastAsia="ja-JP"/>
        </w:rPr>
        <w:t>ó</w:t>
      </w:r>
      <w:r w:rsidRPr="00A73A4C">
        <w:rPr>
          <w:lang w:val="es-ES_tradnl" w:eastAsia="ja-JP"/>
        </w:rPr>
        <w:t>mico del Estado Li</w:t>
      </w:r>
      <w:r>
        <w:rPr>
          <w:lang w:val="es-ES_tradnl" w:eastAsia="ja-JP"/>
        </w:rPr>
        <w:t>bre Asociado y el uso de las ex</w:t>
      </w:r>
      <w:r w:rsidRPr="00A73A4C">
        <w:rPr>
          <w:lang w:val="es-ES_tradnl" w:eastAsia="ja-JP"/>
        </w:rPr>
        <w:t>enciones fiscales federales como un mecanismo de promoci</w:t>
      </w:r>
      <w:r>
        <w:rPr>
          <w:lang w:val="es-ES_tradnl" w:eastAsia="ja-JP"/>
        </w:rPr>
        <w:t xml:space="preserve">ón de inversiones a largo plazo. </w:t>
      </w:r>
      <w:r w:rsidRPr="00A73A4C">
        <w:rPr>
          <w:lang w:val="es-ES_tradnl"/>
        </w:rPr>
        <w:t>El argumento económico central de los defensores de la estadidad es que la integración económica y política con Estados Unidos proveerá una base só</w:t>
      </w:r>
      <w:r>
        <w:rPr>
          <w:lang w:val="es-ES_tradnl"/>
        </w:rPr>
        <w:t>li</w:t>
      </w:r>
      <w:r w:rsidRPr="00A73A4C">
        <w:rPr>
          <w:lang w:val="es-ES_tradnl"/>
        </w:rPr>
        <w:t>da para el crecimiento económico a largo plazo. La inversión de empresas estadounidenses en P</w:t>
      </w:r>
      <w:r>
        <w:rPr>
          <w:lang w:val="es-ES_tradnl"/>
        </w:rPr>
        <w:t>uerto Rico se fundamentaría en su</w:t>
      </w:r>
      <w:r w:rsidRPr="00A73A4C">
        <w:rPr>
          <w:lang w:val="es-ES_tradnl"/>
        </w:rPr>
        <w:t xml:space="preserve">s ventajas corporativas </w:t>
      </w:r>
      <w:r>
        <w:rPr>
          <w:lang w:val="es-ES_tradnl"/>
        </w:rPr>
        <w:t>ya mencionadas</w:t>
      </w:r>
      <w:r w:rsidRPr="00A73A4C">
        <w:rPr>
          <w:lang w:val="es-ES_tradnl"/>
        </w:rPr>
        <w:t>: una fuerza de traba</w:t>
      </w:r>
      <w:r>
        <w:rPr>
          <w:lang w:val="es-ES_tradnl"/>
        </w:rPr>
        <w:t>jo altamente diestra, abundante</w:t>
      </w:r>
      <w:r w:rsidRPr="00A73A4C">
        <w:rPr>
          <w:lang w:val="es-ES_tradnl"/>
        </w:rPr>
        <w:t xml:space="preserve"> y relativamente barata; una infraestructura financiera</w:t>
      </w:r>
      <w:r>
        <w:rPr>
          <w:lang w:val="es-ES_tradnl"/>
        </w:rPr>
        <w:t xml:space="preserve"> y</w:t>
      </w:r>
      <w:r w:rsidRPr="00A73A4C">
        <w:rPr>
          <w:lang w:val="es-ES_tradnl"/>
        </w:rPr>
        <w:t xml:space="preserve"> redes de transportación y comunicaciones altamente desarrolladas; una posición geográfica estratégica, relaciones industriales y comerciales con América </w:t>
      </w:r>
      <w:r>
        <w:rPr>
          <w:lang w:val="es-ES_tradnl"/>
        </w:rPr>
        <w:t xml:space="preserve">Central </w:t>
      </w:r>
      <w:r w:rsidRPr="00A73A4C">
        <w:rPr>
          <w:lang w:val="es-ES_tradnl"/>
        </w:rPr>
        <w:t>y el Caribe</w:t>
      </w:r>
      <w:r>
        <w:rPr>
          <w:lang w:val="es-ES_tradnl"/>
        </w:rPr>
        <w:t>;</w:t>
      </w:r>
      <w:r w:rsidRPr="00A73A4C">
        <w:rPr>
          <w:lang w:val="es-ES_tradnl"/>
        </w:rPr>
        <w:t xml:space="preserve"> una herencia cultural que </w:t>
      </w:r>
      <w:r>
        <w:rPr>
          <w:lang w:val="es-ES_tradnl"/>
        </w:rPr>
        <w:t xml:space="preserve">le </w:t>
      </w:r>
      <w:r w:rsidRPr="00A73A4C">
        <w:rPr>
          <w:lang w:val="es-ES_tradnl"/>
        </w:rPr>
        <w:t xml:space="preserve">permite convertirse en un centro regional de comercio y servicios; y una belleza natural que </w:t>
      </w:r>
      <w:r>
        <w:rPr>
          <w:lang w:val="es-ES_tradnl"/>
        </w:rPr>
        <w:t xml:space="preserve">le </w:t>
      </w:r>
      <w:r w:rsidRPr="00A73A4C">
        <w:rPr>
          <w:lang w:val="es-ES_tradnl"/>
        </w:rPr>
        <w:t>permite competir en el me</w:t>
      </w:r>
      <w:r>
        <w:rPr>
          <w:lang w:val="es-ES_tradnl"/>
        </w:rPr>
        <w:t>rcado internacional de turismo.</w:t>
      </w:r>
    </w:p>
    <w:p w:rsidR="005A5E7D" w:rsidRPr="00A73A4C" w:rsidRDefault="005A5E7D" w:rsidP="005A5E7D">
      <w:pPr>
        <w:rPr>
          <w:lang w:val="es-ES_tradnl" w:eastAsia="ja-JP"/>
        </w:rPr>
      </w:pPr>
      <w:r w:rsidRPr="00A73A4C">
        <w:rPr>
          <w:lang w:val="es-ES_tradnl"/>
        </w:rPr>
        <w:t>Estas ventajas, en combinación con las garantías que acarrea la afiliación política a Estados Unidos</w:t>
      </w:r>
      <w:r>
        <w:rPr>
          <w:lang w:val="es-ES_tradnl"/>
        </w:rPr>
        <w:t xml:space="preserve"> </w:t>
      </w:r>
      <w:r w:rsidRPr="00A73A4C">
        <w:rPr>
          <w:lang w:val="es-ES_tradnl"/>
        </w:rPr>
        <w:t>—tales como la liberación tarifaria, la protección de un sistema legal y la moneda común—</w:t>
      </w:r>
      <w:r>
        <w:rPr>
          <w:lang w:val="es-ES_tradnl"/>
        </w:rPr>
        <w:t xml:space="preserve">, </w:t>
      </w:r>
      <w:r w:rsidRPr="00A73A4C">
        <w:rPr>
          <w:lang w:val="es-ES_tradnl"/>
        </w:rPr>
        <w:t>sobrepasa</w:t>
      </w:r>
      <w:r>
        <w:rPr>
          <w:lang w:val="es-ES_tradnl"/>
        </w:rPr>
        <w:t>ría</w:t>
      </w:r>
      <w:r w:rsidRPr="00A73A4C">
        <w:rPr>
          <w:lang w:val="es-ES_tradnl"/>
        </w:rPr>
        <w:t>n las ventajas comparativas que pu</w:t>
      </w:r>
      <w:r>
        <w:rPr>
          <w:lang w:val="es-ES_tradnl"/>
        </w:rPr>
        <w:t>diera</w:t>
      </w:r>
      <w:r w:rsidRPr="00A73A4C">
        <w:rPr>
          <w:lang w:val="es-ES_tradnl"/>
        </w:rPr>
        <w:t>n ofrecer otros países en desarrollo a los inversionistas estadounidenses. Más aún, las ventajas comparativas de Puerto Rico le permitirían competir en condiciones de igualdad con otros estados de las unión (</w:t>
      </w:r>
      <w:r>
        <w:rPr>
          <w:lang w:val="es-ES_tradnl"/>
        </w:rPr>
        <w:t xml:space="preserve">B. </w:t>
      </w:r>
      <w:r w:rsidRPr="00A73A4C">
        <w:rPr>
          <w:lang w:val="es-ES_tradnl"/>
        </w:rPr>
        <w:t xml:space="preserve">Finn, 1983; </w:t>
      </w:r>
      <w:r>
        <w:rPr>
          <w:lang w:val="es-ES_tradnl"/>
        </w:rPr>
        <w:t xml:space="preserve">T. </w:t>
      </w:r>
      <w:r w:rsidRPr="00A73A4C">
        <w:rPr>
          <w:lang w:val="es-ES_tradnl"/>
        </w:rPr>
        <w:t xml:space="preserve">Hexner, 1993; McKee, 1990). </w:t>
      </w:r>
    </w:p>
    <w:p w:rsidR="005A5E7D" w:rsidRPr="00A73A4C" w:rsidRDefault="005A5E7D" w:rsidP="005A5E7D">
      <w:pPr>
        <w:rPr>
          <w:lang w:val="es-ES_tradnl"/>
        </w:rPr>
      </w:pPr>
      <w:r w:rsidRPr="00A73A4C">
        <w:rPr>
          <w:lang w:val="es-ES_tradnl"/>
        </w:rPr>
        <w:t>Hexner y Jenkins (1993) argumenta</w:t>
      </w:r>
      <w:r>
        <w:rPr>
          <w:lang w:val="es-ES_tradnl"/>
        </w:rPr>
        <w:t>ro</w:t>
      </w:r>
      <w:r w:rsidRPr="00A73A4C">
        <w:rPr>
          <w:lang w:val="es-ES_tradnl"/>
        </w:rPr>
        <w:t>n que la estadidad representa una alternativa al modelo económico del ELA</w:t>
      </w:r>
      <w:r>
        <w:rPr>
          <w:lang w:val="es-ES_tradnl"/>
        </w:rPr>
        <w:t>,</w:t>
      </w:r>
      <w:r w:rsidRPr="00A73A4C">
        <w:rPr>
          <w:lang w:val="es-ES_tradnl"/>
        </w:rPr>
        <w:t xml:space="preserve"> el cual se fundamenta, en gran medida, en la exención contributiva que pro</w:t>
      </w:r>
      <w:r>
        <w:rPr>
          <w:lang w:val="es-ES_tradnl"/>
        </w:rPr>
        <w:t>vee la Sección 936, que ya</w:t>
      </w:r>
      <w:r w:rsidRPr="00A73A4C">
        <w:rPr>
          <w:lang w:val="es-ES_tradnl"/>
        </w:rPr>
        <w:t xml:space="preserve"> ha agotado su utilidad para la economía de Puerto Rico (Hexner, </w:t>
      </w:r>
      <w:r w:rsidRPr="00017E40">
        <w:rPr>
          <w:i/>
          <w:lang w:val="es-ES_tradnl"/>
        </w:rPr>
        <w:t>et. al.</w:t>
      </w:r>
      <w:r>
        <w:rPr>
          <w:lang w:val="es-ES_tradnl"/>
        </w:rPr>
        <w:t xml:space="preserve">, </w:t>
      </w:r>
      <w:r w:rsidRPr="00A73A4C">
        <w:rPr>
          <w:lang w:val="es-ES_tradnl"/>
        </w:rPr>
        <w:t>1993). E</w:t>
      </w:r>
      <w:r>
        <w:rPr>
          <w:lang w:val="es-ES_tradnl"/>
        </w:rPr>
        <w:t xml:space="preserve">n particular, la incertidumbre </w:t>
      </w:r>
      <w:r w:rsidRPr="00A73A4C">
        <w:rPr>
          <w:lang w:val="es-ES_tradnl"/>
        </w:rPr>
        <w:t>ocasiona</w:t>
      </w:r>
      <w:r>
        <w:rPr>
          <w:lang w:val="es-ES_tradnl"/>
        </w:rPr>
        <w:t>da</w:t>
      </w:r>
      <w:r w:rsidRPr="00A73A4C">
        <w:rPr>
          <w:lang w:val="es-ES_tradnl"/>
        </w:rPr>
        <w:t xml:space="preserve"> </w:t>
      </w:r>
      <w:r>
        <w:rPr>
          <w:lang w:val="es-ES_tradnl"/>
        </w:rPr>
        <w:t>por</w:t>
      </w:r>
      <w:r w:rsidRPr="00A73A4C">
        <w:rPr>
          <w:lang w:val="es-ES_tradnl"/>
        </w:rPr>
        <w:t xml:space="preserve"> no poder predecir por cuánto tiempo se extenderán los beneficios contributivos conduce a un clima de inestabilidad que afecta adversamente la inversión en Puerto Rico. Esta inestabilidad continuará mientras sectores importantes en el Congreso de Estados Unidos, la administración del </w:t>
      </w:r>
      <w:r>
        <w:rPr>
          <w:lang w:val="es-ES_tradnl"/>
        </w:rPr>
        <w:t xml:space="preserve">Gobierno federal </w:t>
      </w:r>
      <w:r w:rsidRPr="00A73A4C">
        <w:rPr>
          <w:lang w:val="es-ES_tradnl"/>
        </w:rPr>
        <w:t>y el liderato de los partidos políticos norteamericanos percib</w:t>
      </w:r>
      <w:r>
        <w:rPr>
          <w:lang w:val="es-ES_tradnl"/>
        </w:rPr>
        <w:t>ieran la exención contributiva</w:t>
      </w:r>
      <w:r w:rsidRPr="00A73A4C">
        <w:rPr>
          <w:lang w:val="es-ES_tradnl"/>
        </w:rPr>
        <w:t xml:space="preserve"> ofrec</w:t>
      </w:r>
      <w:r>
        <w:rPr>
          <w:lang w:val="es-ES_tradnl"/>
        </w:rPr>
        <w:t>ida por</w:t>
      </w:r>
      <w:r w:rsidRPr="00A73A4C">
        <w:rPr>
          <w:lang w:val="es-ES_tradnl"/>
        </w:rPr>
        <w:t xml:space="preserve"> la Sección 936 como un subsidio excesivo, que no afecta sino a un grupo reducido de industrias. </w:t>
      </w:r>
      <w:r>
        <w:rPr>
          <w:lang w:val="es-ES_tradnl"/>
        </w:rPr>
        <w:t xml:space="preserve">Según </w:t>
      </w:r>
      <w:r w:rsidRPr="00A73A4C">
        <w:rPr>
          <w:lang w:val="es-ES_tradnl"/>
        </w:rPr>
        <w:t xml:space="preserve">sus partidarios, </w:t>
      </w:r>
      <w:r>
        <w:rPr>
          <w:lang w:val="es-ES_tradnl"/>
        </w:rPr>
        <w:t xml:space="preserve">la </w:t>
      </w:r>
      <w:r w:rsidRPr="00A73A4C">
        <w:rPr>
          <w:lang w:val="es-ES_tradnl"/>
        </w:rPr>
        <w:t>estadidad proveer</w:t>
      </w:r>
      <w:r>
        <w:rPr>
          <w:lang w:val="es-ES_tradnl"/>
        </w:rPr>
        <w:t>ía</w:t>
      </w:r>
      <w:r w:rsidRPr="00A73A4C">
        <w:rPr>
          <w:lang w:val="es-ES_tradnl"/>
        </w:rPr>
        <w:t xml:space="preserve"> un fundamento completamente distinto para la inversión y el crecimiento económico a largo plazo.</w:t>
      </w:r>
    </w:p>
    <w:p w:rsidR="005A5E7D" w:rsidRPr="00A73A4C" w:rsidRDefault="005A5E7D" w:rsidP="005A5E7D">
      <w:pPr>
        <w:rPr>
          <w:lang w:val="es-ES_tradnl"/>
        </w:rPr>
      </w:pPr>
      <w:r w:rsidRPr="00A73A4C">
        <w:rPr>
          <w:lang w:val="es-ES_tradnl"/>
        </w:rPr>
        <w:t>Más aún, a corto plazo, la estadidad proveer</w:t>
      </w:r>
      <w:r>
        <w:rPr>
          <w:lang w:val="es-ES_tradnl"/>
        </w:rPr>
        <w:t>ía</w:t>
      </w:r>
      <w:r w:rsidRPr="00A73A4C">
        <w:rPr>
          <w:lang w:val="es-ES_tradnl"/>
        </w:rPr>
        <w:t xml:space="preserve"> paridad en los programas federales de asistencia pública. Esta inyección de transferencias proveer</w:t>
      </w:r>
      <w:r>
        <w:rPr>
          <w:lang w:val="es-ES_tradnl"/>
        </w:rPr>
        <w:t>ía</w:t>
      </w:r>
      <w:r w:rsidRPr="00A73A4C">
        <w:rPr>
          <w:lang w:val="es-ES_tradnl"/>
        </w:rPr>
        <w:t xml:space="preserve"> un subsi</w:t>
      </w:r>
      <w:r>
        <w:rPr>
          <w:lang w:val="es-ES_tradnl"/>
        </w:rPr>
        <w:t>dio a corto plazo que compensaría</w:t>
      </w:r>
      <w:r w:rsidRPr="00A73A4C">
        <w:rPr>
          <w:lang w:val="es-ES_tradnl"/>
        </w:rPr>
        <w:t xml:space="preserve"> por la posible reducción en actividad económica inducida por la eliminación de los beneficios de la Sección 936. La transición hacia la estadidad conllevaría otras medidas, tales como la reducción en e</w:t>
      </w:r>
      <w:r>
        <w:rPr>
          <w:lang w:val="es-ES_tradnl"/>
        </w:rPr>
        <w:t>l aparato gubernamental del ELA</w:t>
      </w:r>
      <w:r w:rsidRPr="00A73A4C">
        <w:rPr>
          <w:lang w:val="es-ES_tradnl"/>
        </w:rPr>
        <w:t xml:space="preserve"> y la implantación de un programa económico de transición por el Congreso de Estados Unidos. En resumen</w:t>
      </w:r>
      <w:r>
        <w:rPr>
          <w:lang w:val="es-ES_tradnl"/>
        </w:rPr>
        <w:t>,</w:t>
      </w:r>
      <w:r w:rsidRPr="00A73A4C">
        <w:rPr>
          <w:lang w:val="es-ES_tradnl"/>
        </w:rPr>
        <w:t xml:space="preserve"> los partidarios de la estadidad señalan que la transición hacia la estadidad es, en gran medida, el resultado inevitable del desgaste del modelo económico del ELA y del uso de la exención contributiva federal como mecanismo para promover la inversión a largo plazo (</w:t>
      </w:r>
      <w:r>
        <w:rPr>
          <w:lang w:val="es-ES_tradnl"/>
        </w:rPr>
        <w:t xml:space="preserve">E. </w:t>
      </w:r>
      <w:r w:rsidRPr="00A73A4C">
        <w:rPr>
          <w:lang w:val="es-ES_tradnl" w:eastAsia="ja-JP"/>
        </w:rPr>
        <w:t>Meléndez y</w:t>
      </w:r>
      <w:r>
        <w:rPr>
          <w:lang w:val="es-ES_tradnl" w:eastAsia="ja-JP"/>
        </w:rPr>
        <w:t xml:space="preserve"> A.</w:t>
      </w:r>
      <w:r w:rsidRPr="00A73A4C">
        <w:rPr>
          <w:lang w:val="es-ES_tradnl" w:eastAsia="ja-JP"/>
        </w:rPr>
        <w:t xml:space="preserve"> Ruiz (1998)</w:t>
      </w:r>
      <w:r w:rsidRPr="00A73A4C">
        <w:rPr>
          <w:lang w:val="es-ES_tradnl"/>
        </w:rPr>
        <w:t>.</w:t>
      </w:r>
    </w:p>
    <w:p w:rsidR="005A5E7D" w:rsidRDefault="005A5E7D" w:rsidP="005A5E7D">
      <w:pPr>
        <w:rPr>
          <w:lang w:val="es-ES_tradnl"/>
        </w:rPr>
      </w:pPr>
      <w:r w:rsidRPr="00A73A4C">
        <w:rPr>
          <w:lang w:val="es-ES_tradnl"/>
        </w:rPr>
        <w:t>El profesor Javier Colón (</w:t>
      </w:r>
      <w:r>
        <w:rPr>
          <w:lang w:val="es-ES_tradnl"/>
        </w:rPr>
        <w:t xml:space="preserve">J. </w:t>
      </w:r>
      <w:r w:rsidRPr="00A73A4C">
        <w:rPr>
          <w:lang w:val="es-ES_tradnl"/>
        </w:rPr>
        <w:t>Col</w:t>
      </w:r>
      <w:r>
        <w:rPr>
          <w:lang w:val="es-ES_tradnl"/>
        </w:rPr>
        <w:t>ó</w:t>
      </w:r>
      <w:r w:rsidRPr="00A73A4C">
        <w:rPr>
          <w:lang w:val="es-ES_tradnl"/>
        </w:rPr>
        <w:t xml:space="preserve">n, 1998) </w:t>
      </w:r>
      <w:r>
        <w:rPr>
          <w:lang w:val="es-ES_tradnl"/>
        </w:rPr>
        <w:t>c</w:t>
      </w:r>
      <w:r w:rsidRPr="00A73A4C">
        <w:rPr>
          <w:lang w:val="es-ES_tradnl"/>
        </w:rPr>
        <w:t>oment</w:t>
      </w:r>
      <w:r>
        <w:rPr>
          <w:lang w:val="es-ES_tradnl"/>
        </w:rPr>
        <w:t>ó</w:t>
      </w:r>
      <w:r w:rsidRPr="00A73A4C">
        <w:rPr>
          <w:lang w:val="es-ES_tradnl"/>
        </w:rPr>
        <w:t xml:space="preserve"> que </w:t>
      </w:r>
      <w:r>
        <w:rPr>
          <w:lang w:val="es-ES_tradnl"/>
        </w:rPr>
        <w:t>los d</w:t>
      </w:r>
      <w:r w:rsidRPr="00A73A4C">
        <w:rPr>
          <w:lang w:val="es-ES_tradnl"/>
        </w:rPr>
        <w:t xml:space="preserve">efensores de la estadidad trataron de convencer al Congreso de Estados Unidos </w:t>
      </w:r>
      <w:r>
        <w:rPr>
          <w:lang w:val="es-ES_tradnl"/>
        </w:rPr>
        <w:t xml:space="preserve">de </w:t>
      </w:r>
      <w:r w:rsidRPr="00A73A4C">
        <w:rPr>
          <w:lang w:val="es-ES_tradnl"/>
        </w:rPr>
        <w:t>que Puerto Rico est</w:t>
      </w:r>
      <w:r>
        <w:rPr>
          <w:lang w:val="es-ES_tradnl"/>
        </w:rPr>
        <w:t>aba</w:t>
      </w:r>
      <w:r w:rsidRPr="00A73A4C">
        <w:rPr>
          <w:lang w:val="es-ES_tradnl"/>
        </w:rPr>
        <w:t xml:space="preserve"> listo “para mantener un gobierno estatal y contribuir su justa parte a la operación del Gobierno </w:t>
      </w:r>
      <w:r>
        <w:rPr>
          <w:lang w:val="es-ES_tradnl"/>
        </w:rPr>
        <w:t>federal”,</w:t>
      </w:r>
      <w:r w:rsidRPr="00A73A4C">
        <w:rPr>
          <w:lang w:val="es-ES_tradnl"/>
        </w:rPr>
        <w:t xml:space="preserve"> y </w:t>
      </w:r>
      <w:r>
        <w:rPr>
          <w:lang w:val="es-ES_tradnl"/>
        </w:rPr>
        <w:t xml:space="preserve">para </w:t>
      </w:r>
      <w:r w:rsidRPr="00A73A4C">
        <w:rPr>
          <w:lang w:val="es-ES_tradnl"/>
        </w:rPr>
        <w:t>incorpora</w:t>
      </w:r>
      <w:r>
        <w:rPr>
          <w:lang w:val="es-ES_tradnl"/>
        </w:rPr>
        <w:t>rse</w:t>
      </w:r>
      <w:r w:rsidRPr="00A73A4C">
        <w:rPr>
          <w:lang w:val="es-ES_tradnl"/>
        </w:rPr>
        <w:t xml:space="preserve"> inmediatamente a Estados Unidos.</w:t>
      </w:r>
      <w:r>
        <w:rPr>
          <w:lang w:val="es-ES_tradnl"/>
        </w:rPr>
        <w:t xml:space="preserve"> T</w:t>
      </w:r>
      <w:r w:rsidRPr="00A73A4C">
        <w:rPr>
          <w:lang w:val="es-ES_tradnl"/>
        </w:rPr>
        <w:t xml:space="preserve">ambién querían demostrar al Congreso que la relativa falta de desarrollo económico de Puerto Rico es un corolario de </w:t>
      </w:r>
      <w:r>
        <w:rPr>
          <w:lang w:val="es-ES_tradnl"/>
        </w:rPr>
        <w:t>su</w:t>
      </w:r>
      <w:r w:rsidRPr="00A73A4C">
        <w:rPr>
          <w:lang w:val="es-ES_tradnl"/>
        </w:rPr>
        <w:t xml:space="preserve"> condición política inferior.</w:t>
      </w:r>
    </w:p>
    <w:p w:rsidR="005A5E7D" w:rsidRPr="00A73A4C" w:rsidRDefault="005A5E7D" w:rsidP="005A5E7D">
      <w:pPr>
        <w:rPr>
          <w:lang w:val="es-ES_tradnl"/>
        </w:rPr>
      </w:pPr>
      <w:r w:rsidRPr="00A73A4C">
        <w:rPr>
          <w:lang w:val="es-ES_tradnl"/>
        </w:rPr>
        <w:t>El hecho de que los puertorriqueños son ciudadanos americanos de “segunda clase”</w:t>
      </w:r>
      <w:r>
        <w:rPr>
          <w:lang w:val="es-ES_tradnl"/>
        </w:rPr>
        <w:t>,</w:t>
      </w:r>
      <w:r w:rsidRPr="00A73A4C">
        <w:rPr>
          <w:lang w:val="es-ES_tradnl"/>
        </w:rPr>
        <w:t xml:space="preserve"> </w:t>
      </w:r>
      <w:r>
        <w:rPr>
          <w:lang w:val="es-ES_tradnl"/>
        </w:rPr>
        <w:t>que</w:t>
      </w:r>
      <w:r w:rsidRPr="00A73A4C">
        <w:rPr>
          <w:lang w:val="es-ES_tradnl"/>
        </w:rPr>
        <w:t xml:space="preserve"> no pueden votar por el presidente de Estados Unidos y </w:t>
      </w:r>
      <w:r>
        <w:rPr>
          <w:lang w:val="es-ES_tradnl"/>
        </w:rPr>
        <w:t>que</w:t>
      </w:r>
      <w:r w:rsidRPr="00A73A4C">
        <w:rPr>
          <w:lang w:val="es-ES_tradnl"/>
        </w:rPr>
        <w:t xml:space="preserve"> no tienen representantes ni senadores en el Congreso</w:t>
      </w:r>
      <w:r>
        <w:rPr>
          <w:lang w:val="es-ES_tradnl"/>
        </w:rPr>
        <w:t>,</w:t>
      </w:r>
      <w:r w:rsidRPr="00A73A4C">
        <w:rPr>
          <w:lang w:val="es-ES_tradnl"/>
        </w:rPr>
        <w:t xml:space="preserve"> </w:t>
      </w:r>
      <w:r>
        <w:rPr>
          <w:lang w:val="es-ES_tradnl"/>
        </w:rPr>
        <w:t>se</w:t>
      </w:r>
      <w:r w:rsidRPr="00A73A4C">
        <w:rPr>
          <w:lang w:val="es-ES_tradnl"/>
        </w:rPr>
        <w:t xml:space="preserve"> v</w:t>
      </w:r>
      <w:r>
        <w:rPr>
          <w:lang w:val="es-ES_tradnl"/>
        </w:rPr>
        <w:t>e</w:t>
      </w:r>
      <w:r w:rsidRPr="00A73A4C">
        <w:rPr>
          <w:lang w:val="es-ES_tradnl"/>
        </w:rPr>
        <w:t xml:space="preserve"> como el mayor impedimento pa</w:t>
      </w:r>
      <w:r>
        <w:rPr>
          <w:lang w:val="es-ES_tradnl"/>
        </w:rPr>
        <w:t>ra el desarrollo económico</w:t>
      </w:r>
      <w:r w:rsidRPr="00A73A4C">
        <w:rPr>
          <w:lang w:val="es-ES_tradnl"/>
        </w:rPr>
        <w:t>.</w:t>
      </w:r>
      <w:r>
        <w:rPr>
          <w:lang w:val="es-ES_tradnl"/>
        </w:rPr>
        <w:t xml:space="preserve"> V</w:t>
      </w:r>
      <w:r w:rsidRPr="00A73A4C">
        <w:rPr>
          <w:lang w:val="es-ES_tradnl"/>
        </w:rPr>
        <w:t>isualizan el proceso de integración política y económica a Estados Unidos como irreversible.</w:t>
      </w:r>
      <w:r>
        <w:rPr>
          <w:lang w:val="es-ES_tradnl"/>
        </w:rPr>
        <w:t xml:space="preserve"> P</w:t>
      </w:r>
      <w:r w:rsidRPr="00A73A4C">
        <w:rPr>
          <w:lang w:val="es-ES_tradnl"/>
        </w:rPr>
        <w:t>ostulan que la única manera de lidiar con la pérdida de poder político efectivo es integrar completamente a Puerto Rico al proceso de toma de decisiones federal</w:t>
      </w:r>
      <w:r>
        <w:rPr>
          <w:lang w:val="es-ES_tradnl"/>
        </w:rPr>
        <w:t>,</w:t>
      </w:r>
      <w:r w:rsidRPr="00A73A4C">
        <w:rPr>
          <w:lang w:val="es-ES_tradnl"/>
        </w:rPr>
        <w:t xml:space="preserve"> en igual condición que el resto de los estados.</w:t>
      </w:r>
    </w:p>
    <w:p w:rsidR="005A5E7D" w:rsidRDefault="005A5E7D" w:rsidP="005A5E7D">
      <w:pPr>
        <w:rPr>
          <w:lang w:val="es-ES_tradnl"/>
        </w:rPr>
      </w:pPr>
      <w:r>
        <w:rPr>
          <w:lang w:val="es-ES_tradnl"/>
        </w:rPr>
        <w:t>Desde</w:t>
      </w:r>
      <w:r w:rsidRPr="00A73A4C">
        <w:rPr>
          <w:lang w:val="es-ES_tradnl"/>
        </w:rPr>
        <w:t xml:space="preserve"> </w:t>
      </w:r>
      <w:r>
        <w:rPr>
          <w:lang w:val="es-ES_tradnl"/>
        </w:rPr>
        <w:t>ese</w:t>
      </w:r>
      <w:r w:rsidRPr="00A73A4C">
        <w:rPr>
          <w:lang w:val="es-ES_tradnl"/>
        </w:rPr>
        <w:t xml:space="preserve"> punto de vista, la estadidad abre el camino a la participación plena en programas federales sin los topes actuales impuestos por el Congreso de Estados Unidos sobre la base del estatus de Pu</w:t>
      </w:r>
      <w:r>
        <w:rPr>
          <w:lang w:val="es-ES_tradnl"/>
        </w:rPr>
        <w:t xml:space="preserve">erto Rico como un territorio no </w:t>
      </w:r>
      <w:r w:rsidRPr="00A73A4C">
        <w:rPr>
          <w:lang w:val="es-ES_tradnl"/>
        </w:rPr>
        <w:t>incorporado. La estadidad daría a la Isla nueva visibilidad en el escenario doméstico e internacional, atrayendo nueva inversión y oportunidades económicas, may</w:t>
      </w:r>
      <w:r>
        <w:rPr>
          <w:lang w:val="es-ES_tradnl"/>
        </w:rPr>
        <w:t>ormente de otros estados de la u</w:t>
      </w:r>
      <w:r w:rsidRPr="00A73A4C">
        <w:rPr>
          <w:lang w:val="es-ES_tradnl"/>
        </w:rPr>
        <w:t>nión. Permitiría también una transformación estructural de la economía.</w:t>
      </w:r>
    </w:p>
    <w:p w:rsidR="005A5E7D" w:rsidRPr="00A73A4C" w:rsidRDefault="005A5E7D" w:rsidP="005A5E7D">
      <w:pPr>
        <w:rPr>
          <w:lang w:val="es-ES_tradnl"/>
        </w:rPr>
      </w:pPr>
      <w:r w:rsidRPr="00A73A4C">
        <w:rPr>
          <w:lang w:val="es-ES_tradnl"/>
        </w:rPr>
        <w:t xml:space="preserve">La estadidad permitiría </w:t>
      </w:r>
      <w:r>
        <w:rPr>
          <w:lang w:val="es-ES_tradnl"/>
        </w:rPr>
        <w:t>que</w:t>
      </w:r>
      <w:r w:rsidRPr="00A73A4C">
        <w:rPr>
          <w:lang w:val="es-ES_tradnl"/>
        </w:rPr>
        <w:t xml:space="preserve"> Puerto Rico eliminar</w:t>
      </w:r>
      <w:r>
        <w:rPr>
          <w:lang w:val="es-ES_tradnl"/>
        </w:rPr>
        <w:t>a</w:t>
      </w:r>
      <w:r w:rsidRPr="00A73A4C">
        <w:rPr>
          <w:lang w:val="es-ES_tradnl"/>
        </w:rPr>
        <w:t xml:space="preserve"> su dependencia del sector manufacturero en incentivos contributivos, la piedra angular de la economía.</w:t>
      </w:r>
      <w:r>
        <w:rPr>
          <w:lang w:val="es-ES_tradnl"/>
        </w:rPr>
        <w:t xml:space="preserve"> </w:t>
      </w:r>
      <w:r w:rsidRPr="00A73A4C">
        <w:rPr>
          <w:lang w:val="es-ES_tradnl"/>
        </w:rPr>
        <w:t>Con este mensaje de igualdad política y bonanza económica</w:t>
      </w:r>
      <w:r>
        <w:rPr>
          <w:lang w:val="es-ES_tradnl"/>
        </w:rPr>
        <w:t>,</w:t>
      </w:r>
      <w:r w:rsidRPr="00A73A4C">
        <w:rPr>
          <w:lang w:val="es-ES_tradnl"/>
        </w:rPr>
        <w:t xml:space="preserve"> conf</w:t>
      </w:r>
      <w:r>
        <w:rPr>
          <w:lang w:val="es-ES_tradnl"/>
        </w:rPr>
        <w:t>iaban en</w:t>
      </w:r>
      <w:r w:rsidRPr="00A73A4C">
        <w:rPr>
          <w:lang w:val="es-ES_tradnl"/>
        </w:rPr>
        <w:t xml:space="preserve"> que p</w:t>
      </w:r>
      <w:r>
        <w:rPr>
          <w:lang w:val="es-ES_tradnl"/>
        </w:rPr>
        <w:t>odía</w:t>
      </w:r>
      <w:r w:rsidRPr="00A73A4C">
        <w:rPr>
          <w:lang w:val="es-ES_tradnl"/>
        </w:rPr>
        <w:t>n prevalecer en cualquier consulta electoral futura.</w:t>
      </w:r>
      <w:r>
        <w:rPr>
          <w:lang w:val="es-ES_tradnl"/>
        </w:rPr>
        <w:t xml:space="preserve"> </w:t>
      </w:r>
      <w:r w:rsidRPr="00A73A4C">
        <w:rPr>
          <w:lang w:val="es-ES_tradnl"/>
        </w:rPr>
        <w:t>Esta es la razón principal por la que auspicia</w:t>
      </w:r>
      <w:r>
        <w:rPr>
          <w:lang w:val="es-ES_tradnl"/>
        </w:rPr>
        <w:t>ro</w:t>
      </w:r>
      <w:r w:rsidRPr="00A73A4C">
        <w:rPr>
          <w:lang w:val="es-ES_tradnl"/>
        </w:rPr>
        <w:t>n activamente un plebiscito en 1993 para determinar la preferencia de los votantes puertorriqueños. Su eslogan ideológico más importante es que no hay otro estado tan pobre como Puerto Rico.</w:t>
      </w:r>
    </w:p>
    <w:p w:rsidR="005A5E7D" w:rsidRPr="00A73A4C" w:rsidRDefault="005A5E7D" w:rsidP="005A5E7D">
      <w:pPr>
        <w:rPr>
          <w:lang w:val="es-ES_tradnl"/>
        </w:rPr>
      </w:pPr>
      <w:r w:rsidRPr="00A73A4C">
        <w:rPr>
          <w:lang w:val="es-ES_tradnl"/>
        </w:rPr>
        <w:t>Al mismo tiempo, la propuesta política impulsada por los defensores de la estadidad estaba fundamentada en un programa económico caracterizado por los siguientes objetivos: 1) atraer empresas estadounidenses por los salarios más bajos de la fu</w:t>
      </w:r>
      <w:r>
        <w:rPr>
          <w:lang w:val="es-ES_tradnl"/>
        </w:rPr>
        <w:t>erza laboral puertorriqueña</w:t>
      </w:r>
      <w:r w:rsidRPr="00A73A4C">
        <w:rPr>
          <w:lang w:val="es-ES_tradnl"/>
        </w:rPr>
        <w:t xml:space="preserve"> y por la posibilidad de usar a Puerto Rico como una base exportadora a América Latina.</w:t>
      </w:r>
      <w:r>
        <w:rPr>
          <w:lang w:val="es-ES_tradnl"/>
        </w:rPr>
        <w:t xml:space="preserve"> </w:t>
      </w:r>
      <w:r w:rsidRPr="00A73A4C">
        <w:rPr>
          <w:lang w:val="es-ES_tradnl"/>
        </w:rPr>
        <w:t>La expansión de la inversión doméstica también se propulsaría por la representación política del nuevo estado en el Congreso; 2) transformar la estructura económica de la Isla en un centro regional</w:t>
      </w:r>
      <w:r>
        <w:rPr>
          <w:lang w:val="es-ES_tradnl"/>
        </w:rPr>
        <w:t xml:space="preserve"> </w:t>
      </w:r>
      <w:r w:rsidRPr="00A73A4C">
        <w:rPr>
          <w:lang w:val="es-ES_tradnl"/>
        </w:rPr>
        <w:t>de servicio</w:t>
      </w:r>
      <w:r>
        <w:rPr>
          <w:lang w:val="es-ES_tradnl"/>
        </w:rPr>
        <w:t>s</w:t>
      </w:r>
      <w:r w:rsidRPr="00A73A4C">
        <w:rPr>
          <w:lang w:val="es-ES_tradnl"/>
        </w:rPr>
        <w:t xml:space="preserve"> de alta tecnología para el resto del Caribe y América Latina; 3) expandir el turismo</w:t>
      </w:r>
      <w:r>
        <w:rPr>
          <w:lang w:val="es-ES_tradnl"/>
        </w:rPr>
        <w:t>,</w:t>
      </w:r>
      <w:r w:rsidRPr="00A73A4C">
        <w:rPr>
          <w:lang w:val="es-ES_tradnl"/>
        </w:rPr>
        <w:t xml:space="preserve"> tomando ventaja de la gran cantidad de turistas estadounidenses que “prefieren ver América primero”</w:t>
      </w:r>
      <w:r>
        <w:rPr>
          <w:lang w:val="es-ES_tradnl"/>
        </w:rPr>
        <w:t>;</w:t>
      </w:r>
      <w:r w:rsidRPr="00A73A4C">
        <w:rPr>
          <w:lang w:val="es-ES_tradnl"/>
        </w:rPr>
        <w:t xml:space="preserve"> y 4) revitalizar la “agricultura comercial de productos tropicales”.</w:t>
      </w:r>
    </w:p>
    <w:p w:rsidR="005A5E7D" w:rsidRPr="00A73A4C" w:rsidRDefault="005A5E7D" w:rsidP="005A5E7D">
      <w:pPr>
        <w:rPr>
          <w:lang w:val="es-ES_tradnl"/>
        </w:rPr>
      </w:pPr>
      <w:r w:rsidRPr="00A73A4C">
        <w:rPr>
          <w:lang w:val="es-ES_tradnl"/>
        </w:rPr>
        <w:t>La propuesta económica del PNP estaba fundamentada en la premisa de que la estadidad implicaría paridad de financiamiento federal con los otros 50 estados.</w:t>
      </w:r>
      <w:r>
        <w:rPr>
          <w:lang w:val="es-ES_tradnl"/>
        </w:rPr>
        <w:t xml:space="preserve"> </w:t>
      </w:r>
      <w:r w:rsidRPr="00A73A4C">
        <w:rPr>
          <w:lang w:val="es-ES_tradnl"/>
        </w:rPr>
        <w:t xml:space="preserve">Este financiamiento serviría para estimular la nueva economía y permitiría la eliminación de ciertos subsidios que </w:t>
      </w:r>
      <w:r>
        <w:rPr>
          <w:lang w:val="es-ES_tradnl"/>
        </w:rPr>
        <w:t>garan</w:t>
      </w:r>
      <w:r w:rsidRPr="00A73A4C">
        <w:rPr>
          <w:lang w:val="es-ES_tradnl"/>
        </w:rPr>
        <w:t>tizan el desarrollo económico</w:t>
      </w:r>
      <w:r>
        <w:rPr>
          <w:lang w:val="es-ES_tradnl"/>
        </w:rPr>
        <w:t>,</w:t>
      </w:r>
      <w:r w:rsidRPr="00A73A4C">
        <w:rPr>
          <w:lang w:val="es-ES_tradnl"/>
        </w:rPr>
        <w:t xml:space="preserve"> sin lastimar sectores que actualmente se benefician de ellos.</w:t>
      </w:r>
      <w:r>
        <w:rPr>
          <w:lang w:val="es-ES_tradnl"/>
        </w:rPr>
        <w:t xml:space="preserve"> </w:t>
      </w:r>
      <w:r w:rsidRPr="00A73A4C">
        <w:rPr>
          <w:lang w:val="es-ES_tradnl"/>
        </w:rPr>
        <w:t xml:space="preserve">Como resultó después, esta era una </w:t>
      </w:r>
      <w:r>
        <w:rPr>
          <w:lang w:val="es-ES_tradnl"/>
        </w:rPr>
        <w:t>pre</w:t>
      </w:r>
      <w:r w:rsidRPr="00A73A4C">
        <w:rPr>
          <w:lang w:val="es-ES_tradnl"/>
        </w:rPr>
        <w:t>sunción falsa.</w:t>
      </w:r>
    </w:p>
    <w:p w:rsidR="005A5E7D" w:rsidRDefault="005A5E7D" w:rsidP="005A5E7D">
      <w:pPr>
        <w:rPr>
          <w:lang w:val="es-ES_tradnl"/>
        </w:rPr>
      </w:pPr>
      <w:r w:rsidRPr="00A73A4C">
        <w:rPr>
          <w:lang w:val="es-ES_tradnl"/>
        </w:rPr>
        <w:t>Por otro lado</w:t>
      </w:r>
      <w:r>
        <w:rPr>
          <w:lang w:val="es-ES_tradnl"/>
        </w:rPr>
        <w:t>,</w:t>
      </w:r>
      <w:r w:rsidRPr="00A73A4C">
        <w:rPr>
          <w:lang w:val="es-ES_tradnl"/>
        </w:rPr>
        <w:t xml:space="preserve"> en </w:t>
      </w:r>
      <w:r>
        <w:rPr>
          <w:lang w:val="es-ES_tradnl"/>
        </w:rPr>
        <w:t xml:space="preserve">un </w:t>
      </w:r>
      <w:r w:rsidRPr="00A73A4C">
        <w:rPr>
          <w:lang w:val="es-ES_tradnl"/>
        </w:rPr>
        <w:t>escrito a f</w:t>
      </w:r>
      <w:r>
        <w:rPr>
          <w:lang w:val="es-ES_tradnl"/>
        </w:rPr>
        <w:t>avor de la e</w:t>
      </w:r>
      <w:r w:rsidRPr="00A73A4C">
        <w:rPr>
          <w:lang w:val="es-ES_tradnl"/>
        </w:rPr>
        <w:t>stadidad</w:t>
      </w:r>
      <w:r>
        <w:rPr>
          <w:lang w:val="es-ES_tradnl"/>
        </w:rPr>
        <w:t>,</w:t>
      </w:r>
      <w:r w:rsidRPr="00A73A4C">
        <w:rPr>
          <w:lang w:val="es-ES_tradnl"/>
        </w:rPr>
        <w:t xml:space="preserve"> </w:t>
      </w:r>
      <w:r>
        <w:rPr>
          <w:lang w:val="es-ES_tradnl"/>
        </w:rPr>
        <w:t>Bertram Finn argumentó</w:t>
      </w:r>
      <w:r w:rsidRPr="00A73A4C">
        <w:rPr>
          <w:lang w:val="es-ES_tradnl"/>
        </w:rPr>
        <w:t xml:space="preserve"> sobre lo que sería la economía de</w:t>
      </w:r>
      <w:r>
        <w:rPr>
          <w:lang w:val="es-ES_tradnl"/>
        </w:rPr>
        <w:t xml:space="preserve"> </w:t>
      </w:r>
      <w:r w:rsidRPr="00A73A4C">
        <w:rPr>
          <w:lang w:val="es-ES_tradnl"/>
        </w:rPr>
        <w:t>Puerto Rico ya concedida la estadidad (</w:t>
      </w:r>
      <w:r>
        <w:rPr>
          <w:lang w:val="es-ES_tradnl"/>
        </w:rPr>
        <w:t xml:space="preserve">B. </w:t>
      </w:r>
      <w:r w:rsidRPr="00A73A4C">
        <w:rPr>
          <w:lang w:val="es-ES_tradnl"/>
        </w:rPr>
        <w:t xml:space="preserve">Finn, 1980, 1983). </w:t>
      </w:r>
      <w:r>
        <w:rPr>
          <w:lang w:val="es-ES_tradnl"/>
        </w:rPr>
        <w:t>P</w:t>
      </w:r>
      <w:r w:rsidRPr="00A73A4C">
        <w:rPr>
          <w:lang w:val="es-ES_tradnl"/>
        </w:rPr>
        <w:t>royect</w:t>
      </w:r>
      <w:r>
        <w:rPr>
          <w:lang w:val="es-ES_tradnl"/>
        </w:rPr>
        <w:t>ó</w:t>
      </w:r>
      <w:r w:rsidRPr="00A73A4C">
        <w:rPr>
          <w:lang w:val="es-ES_tradnl"/>
        </w:rPr>
        <w:t xml:space="preserve"> como luciría la economía de Puerto Rico </w:t>
      </w:r>
      <w:r>
        <w:rPr>
          <w:lang w:val="es-ES_tradnl"/>
        </w:rPr>
        <w:t>veinte</w:t>
      </w:r>
      <w:r w:rsidRPr="00A73A4C">
        <w:rPr>
          <w:lang w:val="es-ES_tradnl"/>
        </w:rPr>
        <w:t xml:space="preserve"> años después de la estadidad</w:t>
      </w:r>
      <w:r>
        <w:rPr>
          <w:lang w:val="es-ES_tradnl"/>
        </w:rPr>
        <w:t xml:space="preserve"> </w:t>
      </w:r>
      <w:r w:rsidRPr="00A73A4C">
        <w:rPr>
          <w:lang w:val="es-ES_tradnl"/>
        </w:rPr>
        <w:t>y discut</w:t>
      </w:r>
      <w:r>
        <w:rPr>
          <w:lang w:val="es-ES_tradnl"/>
        </w:rPr>
        <w:t>ió</w:t>
      </w:r>
      <w:r w:rsidRPr="00A73A4C">
        <w:rPr>
          <w:lang w:val="es-ES_tradnl"/>
        </w:rPr>
        <w:t xml:space="preserve"> algunas de las medidas d</w:t>
      </w:r>
      <w:r>
        <w:rPr>
          <w:lang w:val="es-ES_tradnl"/>
        </w:rPr>
        <w:t>e transición que se necesitaría</w:t>
      </w:r>
      <w:r w:rsidRPr="00A73A4C">
        <w:rPr>
          <w:lang w:val="es-ES_tradnl"/>
        </w:rPr>
        <w:t xml:space="preserve"> implementar. Par</w:t>
      </w:r>
      <w:r>
        <w:rPr>
          <w:lang w:val="es-ES_tradnl"/>
        </w:rPr>
        <w:t>a llevar a cabo esta proyección,</w:t>
      </w:r>
      <w:r w:rsidRPr="00A73A4C">
        <w:rPr>
          <w:lang w:val="es-ES_tradnl"/>
        </w:rPr>
        <w:t xml:space="preserve"> Finn argument</w:t>
      </w:r>
      <w:r>
        <w:rPr>
          <w:lang w:val="es-ES_tradnl"/>
        </w:rPr>
        <w:t>ó</w:t>
      </w:r>
      <w:r w:rsidRPr="00A73A4C">
        <w:rPr>
          <w:lang w:val="es-ES_tradnl"/>
        </w:rPr>
        <w:t xml:space="preserve"> que se deb</w:t>
      </w:r>
      <w:r>
        <w:rPr>
          <w:lang w:val="es-ES_tradnl"/>
        </w:rPr>
        <w:t>ía</w:t>
      </w:r>
      <w:r w:rsidRPr="00A73A4C">
        <w:rPr>
          <w:lang w:val="es-ES_tradnl"/>
        </w:rPr>
        <w:t>n examinar las características económicas fundamentales de Puerto Rico</w:t>
      </w:r>
      <w:r>
        <w:rPr>
          <w:lang w:val="es-ES_tradnl"/>
        </w:rPr>
        <w:t>,</w:t>
      </w:r>
      <w:r w:rsidRPr="00A73A4C">
        <w:rPr>
          <w:lang w:val="es-ES_tradnl"/>
        </w:rPr>
        <w:t xml:space="preserve"> analizando su dotación de recurs</w:t>
      </w:r>
      <w:r>
        <w:rPr>
          <w:lang w:val="es-ES_tradnl"/>
        </w:rPr>
        <w:t>os y sus ventajas comparativas.</w:t>
      </w:r>
    </w:p>
    <w:p w:rsidR="005A5E7D" w:rsidRDefault="005A5E7D" w:rsidP="005A5E7D">
      <w:pPr>
        <w:rPr>
          <w:lang w:val="es-ES_tradnl"/>
        </w:rPr>
      </w:pPr>
      <w:r w:rsidRPr="00A73A4C">
        <w:rPr>
          <w:lang w:val="es-ES_tradnl"/>
        </w:rPr>
        <w:t>Según Finn</w:t>
      </w:r>
      <w:r>
        <w:rPr>
          <w:lang w:val="es-ES_tradnl"/>
        </w:rPr>
        <w:t>,</w:t>
      </w:r>
      <w:r w:rsidRPr="00A73A4C">
        <w:rPr>
          <w:lang w:val="es-ES_tradnl"/>
        </w:rPr>
        <w:t xml:space="preserve"> el recurso m</w:t>
      </w:r>
      <w:r>
        <w:rPr>
          <w:lang w:val="es-ES_tradnl"/>
        </w:rPr>
        <w:t>ás importante en ese momento</w:t>
      </w:r>
      <w:r w:rsidRPr="00A73A4C">
        <w:rPr>
          <w:lang w:val="es-ES_tradnl"/>
        </w:rPr>
        <w:t xml:space="preserve"> </w:t>
      </w:r>
      <w:r w:rsidRPr="008B456C">
        <w:t>—</w:t>
      </w:r>
      <w:r w:rsidRPr="00A73A4C">
        <w:rPr>
          <w:lang w:val="es-ES_tradnl"/>
        </w:rPr>
        <w:t xml:space="preserve">como también lo es </w:t>
      </w:r>
      <w:r>
        <w:rPr>
          <w:lang w:val="es-ES_tradnl"/>
        </w:rPr>
        <w:t>ahora</w:t>
      </w:r>
      <w:r w:rsidRPr="008B456C">
        <w:t>—</w:t>
      </w:r>
      <w:r w:rsidRPr="00A73A4C">
        <w:rPr>
          <w:lang w:val="es-ES_tradnl"/>
        </w:rPr>
        <w:t xml:space="preserve"> </w:t>
      </w:r>
      <w:r>
        <w:rPr>
          <w:lang w:val="es-ES_tradnl"/>
        </w:rPr>
        <w:t>eran</w:t>
      </w:r>
      <w:r w:rsidRPr="00A73A4C">
        <w:rPr>
          <w:lang w:val="es-ES_tradnl"/>
        </w:rPr>
        <w:t xml:space="preserve"> sus recursos humanos. En </w:t>
      </w:r>
      <w:r>
        <w:rPr>
          <w:lang w:val="es-ES_tradnl"/>
        </w:rPr>
        <w:t>veinte</w:t>
      </w:r>
      <w:r w:rsidRPr="00A73A4C">
        <w:rPr>
          <w:lang w:val="es-ES_tradnl"/>
        </w:rPr>
        <w:t xml:space="preserve"> años</w:t>
      </w:r>
      <w:r>
        <w:rPr>
          <w:lang w:val="es-ES_tradnl"/>
        </w:rPr>
        <w:t>,</w:t>
      </w:r>
      <w:r w:rsidRPr="00A73A4C">
        <w:rPr>
          <w:lang w:val="es-ES_tradnl"/>
        </w:rPr>
        <w:t xml:space="preserve"> Puerto Rico todavía gozar</w:t>
      </w:r>
      <w:r>
        <w:rPr>
          <w:lang w:val="es-ES_tradnl"/>
        </w:rPr>
        <w:t>ía</w:t>
      </w:r>
      <w:r w:rsidRPr="00A73A4C">
        <w:rPr>
          <w:lang w:val="es-ES_tradnl"/>
        </w:rPr>
        <w:t xml:space="preserve"> de mano </w:t>
      </w:r>
      <w:r>
        <w:rPr>
          <w:lang w:val="es-ES_tradnl"/>
        </w:rPr>
        <w:t xml:space="preserve">de obra abundante, mientras en </w:t>
      </w:r>
      <w:r w:rsidRPr="00A73A4C">
        <w:rPr>
          <w:lang w:val="es-ES_tradnl"/>
        </w:rPr>
        <w:t>Estados Unidos habr</w:t>
      </w:r>
      <w:r>
        <w:rPr>
          <w:lang w:val="es-ES_tradnl"/>
        </w:rPr>
        <w:t>ía</w:t>
      </w:r>
      <w:r w:rsidRPr="00A73A4C">
        <w:rPr>
          <w:lang w:val="es-ES_tradnl"/>
        </w:rPr>
        <w:t xml:space="preserve"> escasez de este recurso. De este modo, Puerto Rico tendr</w:t>
      </w:r>
      <w:r>
        <w:rPr>
          <w:lang w:val="es-ES_tradnl"/>
        </w:rPr>
        <w:t>ía</w:t>
      </w:r>
      <w:r w:rsidRPr="00A73A4C">
        <w:rPr>
          <w:lang w:val="es-ES_tradnl"/>
        </w:rPr>
        <w:t xml:space="preserve"> una ventaja comparativa</w:t>
      </w:r>
      <w:r>
        <w:rPr>
          <w:lang w:val="es-ES_tradnl"/>
        </w:rPr>
        <w:t>,</w:t>
      </w:r>
      <w:r w:rsidRPr="00A73A4C">
        <w:rPr>
          <w:lang w:val="es-ES_tradnl"/>
        </w:rPr>
        <w:t xml:space="preserve"> debido a que el salario promedio de su fuerza trabajadora relativamente diestra ser</w:t>
      </w:r>
      <w:r>
        <w:rPr>
          <w:lang w:val="es-ES_tradnl"/>
        </w:rPr>
        <w:t>ía</w:t>
      </w:r>
      <w:r w:rsidRPr="00A73A4C">
        <w:rPr>
          <w:lang w:val="es-ES_tradnl"/>
        </w:rPr>
        <w:t xml:space="preserve"> mas bajo que en </w:t>
      </w:r>
      <w:r>
        <w:rPr>
          <w:lang w:val="es-ES_tradnl"/>
        </w:rPr>
        <w:t>Estados Unidos.</w:t>
      </w:r>
    </w:p>
    <w:p w:rsidR="005A5E7D" w:rsidRDefault="005A5E7D" w:rsidP="005A5E7D">
      <w:pPr>
        <w:rPr>
          <w:lang w:val="es-ES_tradnl"/>
        </w:rPr>
      </w:pPr>
      <w:r w:rsidRPr="00A73A4C">
        <w:rPr>
          <w:lang w:val="es-ES_tradnl"/>
        </w:rPr>
        <w:t>Otros recursos importante</w:t>
      </w:r>
      <w:r>
        <w:rPr>
          <w:lang w:val="es-ES_tradnl"/>
        </w:rPr>
        <w:t>s</w:t>
      </w:r>
      <w:r w:rsidRPr="00A73A4C">
        <w:rPr>
          <w:lang w:val="es-ES_tradnl"/>
        </w:rPr>
        <w:t xml:space="preserve"> son el clima, </w:t>
      </w:r>
      <w:r>
        <w:rPr>
          <w:lang w:val="es-ES_tradnl"/>
        </w:rPr>
        <w:t>que</w:t>
      </w:r>
      <w:r w:rsidRPr="00A73A4C">
        <w:rPr>
          <w:lang w:val="es-ES_tradnl"/>
        </w:rPr>
        <w:t xml:space="preserve"> contribuye al crecimiento de la agricultura</w:t>
      </w:r>
      <w:r>
        <w:rPr>
          <w:lang w:val="es-ES_tradnl"/>
        </w:rPr>
        <w:t xml:space="preserve"> y el turismo,</w:t>
      </w:r>
      <w:r w:rsidRPr="00A73A4C">
        <w:rPr>
          <w:lang w:val="es-ES_tradnl"/>
        </w:rPr>
        <w:t xml:space="preserve"> y </w:t>
      </w:r>
      <w:r>
        <w:rPr>
          <w:lang w:val="es-ES_tradnl"/>
        </w:rPr>
        <w:t xml:space="preserve">los </w:t>
      </w:r>
      <w:r w:rsidRPr="00A73A4C">
        <w:rPr>
          <w:lang w:val="es-ES_tradnl"/>
        </w:rPr>
        <w:t>recursos minerales, especialmente el cobre, níquel y otros que podrían ser desarrollados. La economía ser</w:t>
      </w:r>
      <w:r>
        <w:rPr>
          <w:lang w:val="es-ES_tradnl"/>
        </w:rPr>
        <w:t>ía</w:t>
      </w:r>
      <w:r w:rsidRPr="00A73A4C">
        <w:rPr>
          <w:lang w:val="es-ES_tradnl"/>
        </w:rPr>
        <w:t xml:space="preserve"> m</w:t>
      </w:r>
      <w:r>
        <w:rPr>
          <w:lang w:val="es-ES_tradnl"/>
        </w:rPr>
        <w:t>á</w:t>
      </w:r>
      <w:r w:rsidRPr="00A73A4C">
        <w:rPr>
          <w:lang w:val="es-ES_tradnl"/>
        </w:rPr>
        <w:t>s balanceada</w:t>
      </w:r>
      <w:r>
        <w:rPr>
          <w:lang w:val="es-ES_tradnl"/>
        </w:rPr>
        <w:t>,</w:t>
      </w:r>
      <w:r w:rsidRPr="00A73A4C">
        <w:rPr>
          <w:lang w:val="es-ES_tradnl"/>
        </w:rPr>
        <w:t xml:space="preserve"> a medida que el sector de la manufactura y el </w:t>
      </w:r>
      <w:r>
        <w:rPr>
          <w:lang w:val="es-ES_tradnl"/>
        </w:rPr>
        <w:t>Gobierno</w:t>
      </w:r>
      <w:r w:rsidRPr="00A73A4C">
        <w:rPr>
          <w:lang w:val="es-ES_tradnl"/>
        </w:rPr>
        <w:t xml:space="preserve"> se convirti</w:t>
      </w:r>
      <w:r>
        <w:rPr>
          <w:lang w:val="es-ES_tradnl"/>
        </w:rPr>
        <w:t>esen</w:t>
      </w:r>
      <w:r w:rsidRPr="00A73A4C">
        <w:rPr>
          <w:lang w:val="es-ES_tradnl"/>
        </w:rPr>
        <w:t xml:space="preserve"> en sectores menos importantes </w:t>
      </w:r>
      <w:r>
        <w:rPr>
          <w:lang w:val="es-ES_tradnl"/>
        </w:rPr>
        <w:t>al crecer</w:t>
      </w:r>
      <w:r w:rsidRPr="00A73A4C">
        <w:rPr>
          <w:lang w:val="es-ES_tradnl"/>
        </w:rPr>
        <w:t xml:space="preserve"> la participación del turismo y la agricultu</w:t>
      </w:r>
      <w:r>
        <w:rPr>
          <w:lang w:val="es-ES_tradnl"/>
        </w:rPr>
        <w:t>ra</w:t>
      </w:r>
      <w:r w:rsidRPr="00A73A4C">
        <w:rPr>
          <w:lang w:val="es-ES_tradnl"/>
        </w:rPr>
        <w:t xml:space="preserve">. Sin embargo, </w:t>
      </w:r>
      <w:r>
        <w:rPr>
          <w:lang w:val="es-ES_tradnl"/>
        </w:rPr>
        <w:t>a</w:t>
      </w:r>
      <w:r w:rsidRPr="00A73A4C">
        <w:rPr>
          <w:lang w:val="es-ES_tradnl"/>
        </w:rPr>
        <w:t>ntes que esto ocurr</w:t>
      </w:r>
      <w:r>
        <w:rPr>
          <w:lang w:val="es-ES_tradnl"/>
        </w:rPr>
        <w:t>iese</w:t>
      </w:r>
      <w:r w:rsidRPr="00A73A4C">
        <w:rPr>
          <w:lang w:val="es-ES_tradnl"/>
        </w:rPr>
        <w:t xml:space="preserve"> habr</w:t>
      </w:r>
      <w:r>
        <w:rPr>
          <w:lang w:val="es-ES_tradnl"/>
        </w:rPr>
        <w:t>ía</w:t>
      </w:r>
      <w:r w:rsidRPr="00A73A4C">
        <w:rPr>
          <w:lang w:val="es-ES_tradnl"/>
        </w:rPr>
        <w:t xml:space="preserve"> que hacer ajustes significativos en la economía de Puerto Rico y el </w:t>
      </w:r>
      <w:r>
        <w:rPr>
          <w:lang w:val="es-ES_tradnl"/>
        </w:rPr>
        <w:t>Gobierno</w:t>
      </w:r>
      <w:r w:rsidRPr="00A73A4C">
        <w:rPr>
          <w:lang w:val="es-ES_tradnl"/>
        </w:rPr>
        <w:t xml:space="preserve"> en el proceso d</w:t>
      </w:r>
      <w:r>
        <w:rPr>
          <w:lang w:val="es-ES_tradnl"/>
        </w:rPr>
        <w:t>e transición hacia la estadidad</w:t>
      </w:r>
      <w:r w:rsidRPr="00A73A4C">
        <w:rPr>
          <w:lang w:val="es-ES_tradnl"/>
        </w:rPr>
        <w:t>.</w:t>
      </w:r>
    </w:p>
    <w:p w:rsidR="005A5E7D" w:rsidRPr="00A73A4C" w:rsidRDefault="005A5E7D" w:rsidP="005A5E7D">
      <w:pPr>
        <w:rPr>
          <w:lang w:val="es-ES_tradnl"/>
        </w:rPr>
      </w:pPr>
      <w:r w:rsidRPr="00A73A4C">
        <w:rPr>
          <w:lang w:val="es-ES_tradnl"/>
        </w:rPr>
        <w:t>Finn sugi</w:t>
      </w:r>
      <w:r>
        <w:rPr>
          <w:lang w:val="es-ES_tradnl"/>
        </w:rPr>
        <w:t>rió</w:t>
      </w:r>
      <w:r w:rsidRPr="00A73A4C">
        <w:rPr>
          <w:lang w:val="es-ES_tradnl"/>
        </w:rPr>
        <w:t xml:space="preserve"> </w:t>
      </w:r>
      <w:r>
        <w:rPr>
          <w:lang w:val="es-ES_tradnl"/>
        </w:rPr>
        <w:t>la implantación de</w:t>
      </w:r>
      <w:r w:rsidRPr="00A73A4C">
        <w:rPr>
          <w:lang w:val="es-ES_tradnl"/>
        </w:rPr>
        <w:t xml:space="preserve"> algunas medidas para </w:t>
      </w:r>
      <w:r>
        <w:rPr>
          <w:lang w:val="es-ES_tradnl"/>
        </w:rPr>
        <w:t>facilitar</w:t>
      </w:r>
      <w:r w:rsidRPr="00A73A4C">
        <w:rPr>
          <w:lang w:val="es-ES_tradnl"/>
        </w:rPr>
        <w:t xml:space="preserve"> el proceso hacia la estadidad. Por ejemplo, como Puerto Rico no est</w:t>
      </w:r>
      <w:r>
        <w:rPr>
          <w:lang w:val="es-ES_tradnl"/>
        </w:rPr>
        <w:t>á</w:t>
      </w:r>
      <w:r w:rsidRPr="00A73A4C">
        <w:rPr>
          <w:lang w:val="es-ES_tradnl"/>
        </w:rPr>
        <w:t xml:space="preserve"> integrado totalmente a la economía fiscal de Estados Unidos, los programas contributivos federales p</w:t>
      </w:r>
      <w:r>
        <w:rPr>
          <w:lang w:val="es-ES_tradnl"/>
        </w:rPr>
        <w:t>odría</w:t>
      </w:r>
      <w:r w:rsidRPr="00A73A4C">
        <w:rPr>
          <w:lang w:val="es-ES_tradnl"/>
        </w:rPr>
        <w:t>n impl</w:t>
      </w:r>
      <w:r>
        <w:rPr>
          <w:lang w:val="es-ES_tradnl"/>
        </w:rPr>
        <w:t>ementarse</w:t>
      </w:r>
      <w:r w:rsidRPr="00A73A4C">
        <w:rPr>
          <w:lang w:val="es-ES_tradnl"/>
        </w:rPr>
        <w:t xml:space="preserve"> gradualmente;</w:t>
      </w:r>
      <w:r>
        <w:rPr>
          <w:lang w:val="es-ES_tradnl"/>
        </w:rPr>
        <w:t xml:space="preserve"> y</w:t>
      </w:r>
      <w:r w:rsidRPr="00A73A4C">
        <w:rPr>
          <w:lang w:val="es-ES_tradnl"/>
        </w:rPr>
        <w:t xml:space="preserve"> los programas de exenci</w:t>
      </w:r>
      <w:r>
        <w:rPr>
          <w:lang w:val="es-ES_tradnl"/>
        </w:rPr>
        <w:t>ón contributiva</w:t>
      </w:r>
      <w:r w:rsidRPr="00A73A4C">
        <w:rPr>
          <w:lang w:val="es-ES_tradnl"/>
        </w:rPr>
        <w:t xml:space="preserve"> otorgados para aumentar la inversión deb</w:t>
      </w:r>
      <w:r>
        <w:rPr>
          <w:lang w:val="es-ES_tradnl"/>
        </w:rPr>
        <w:t>ía</w:t>
      </w:r>
      <w:r w:rsidRPr="00A73A4C">
        <w:rPr>
          <w:lang w:val="es-ES_tradnl"/>
        </w:rPr>
        <w:t>n continua</w:t>
      </w:r>
      <w:r>
        <w:rPr>
          <w:lang w:val="es-ES_tradnl"/>
        </w:rPr>
        <w:t>rse</w:t>
      </w:r>
      <w:r w:rsidRPr="00A73A4C">
        <w:rPr>
          <w:lang w:val="es-ES_tradnl"/>
        </w:rPr>
        <w:t xml:space="preserve"> </w:t>
      </w:r>
      <w:r>
        <w:rPr>
          <w:lang w:val="es-ES_tradnl"/>
        </w:rPr>
        <w:t>por cierto tiempo</w:t>
      </w:r>
      <w:r w:rsidRPr="00A73A4C">
        <w:rPr>
          <w:lang w:val="es-ES_tradnl"/>
        </w:rPr>
        <w:t xml:space="preserve">. El Congreso, que ha otorgado a los nuevos </w:t>
      </w:r>
      <w:r>
        <w:rPr>
          <w:lang w:val="es-ES_tradnl"/>
        </w:rPr>
        <w:t>e</w:t>
      </w:r>
      <w:r w:rsidRPr="00A73A4C">
        <w:rPr>
          <w:lang w:val="es-ES_tradnl"/>
        </w:rPr>
        <w:t>stados</w:t>
      </w:r>
      <w:r>
        <w:rPr>
          <w:lang w:val="es-ES_tradnl"/>
        </w:rPr>
        <w:t xml:space="preserve"> ciertas concesiones </w:t>
      </w:r>
      <w:r w:rsidRPr="00A73A4C">
        <w:rPr>
          <w:lang w:val="es-ES_tradnl"/>
        </w:rPr>
        <w:t>en el pasado, podría hacerse cargo de la deuda pública de Puerto Rico.</w:t>
      </w:r>
      <w:r>
        <w:rPr>
          <w:lang w:val="es-ES_tradnl"/>
        </w:rPr>
        <w:t xml:space="preserve"> Podrían </w:t>
      </w:r>
      <w:r w:rsidRPr="00A73A4C">
        <w:rPr>
          <w:lang w:val="es-ES_tradnl"/>
        </w:rPr>
        <w:t>elimina</w:t>
      </w:r>
      <w:r>
        <w:rPr>
          <w:lang w:val="es-ES_tradnl"/>
        </w:rPr>
        <w:t>rse</w:t>
      </w:r>
      <w:r w:rsidRPr="00A73A4C">
        <w:rPr>
          <w:lang w:val="es-ES_tradnl"/>
        </w:rPr>
        <w:t xml:space="preserve"> </w:t>
      </w:r>
      <w:r>
        <w:rPr>
          <w:lang w:val="es-ES_tradnl"/>
        </w:rPr>
        <w:t>a</w:t>
      </w:r>
      <w:r w:rsidRPr="00A73A4C">
        <w:rPr>
          <w:lang w:val="es-ES_tradnl"/>
        </w:rPr>
        <w:t>lgunas regulaciones relacionadas a la transportación de mercancías</w:t>
      </w:r>
      <w:r>
        <w:rPr>
          <w:lang w:val="es-ES_tradnl"/>
        </w:rPr>
        <w:t>, que</w:t>
      </w:r>
      <w:r w:rsidRPr="00A73A4C">
        <w:rPr>
          <w:lang w:val="es-ES_tradnl"/>
        </w:rPr>
        <w:t xml:space="preserve"> reduzcan los altos costos de transportación</w:t>
      </w:r>
      <w:r>
        <w:rPr>
          <w:lang w:val="es-ES_tradnl"/>
        </w:rPr>
        <w:t>. A la larga, pensaba Finn, el Gobierno de la Isla reduciría</w:t>
      </w:r>
      <w:r w:rsidRPr="00A73A4C">
        <w:rPr>
          <w:lang w:val="es-ES_tradnl"/>
        </w:rPr>
        <w:t xml:space="preserve"> su presupuesto y lo ajustar</w:t>
      </w:r>
      <w:r>
        <w:rPr>
          <w:lang w:val="es-ES_tradnl"/>
        </w:rPr>
        <w:t>ía</w:t>
      </w:r>
      <w:r w:rsidRPr="00A73A4C">
        <w:rPr>
          <w:lang w:val="es-ES_tradnl"/>
        </w:rPr>
        <w:t xml:space="preserve"> a los </w:t>
      </w:r>
      <w:r>
        <w:rPr>
          <w:lang w:val="es-ES_tradnl"/>
        </w:rPr>
        <w:t>de</w:t>
      </w:r>
      <w:r w:rsidRPr="00A73A4C">
        <w:rPr>
          <w:lang w:val="es-ES_tradnl"/>
        </w:rPr>
        <w:t xml:space="preserve"> otros estados.</w:t>
      </w:r>
      <w:r>
        <w:rPr>
          <w:lang w:val="es-ES_tradnl"/>
        </w:rPr>
        <w:t xml:space="preserve"> </w:t>
      </w:r>
    </w:p>
    <w:p w:rsidR="005A5E7D" w:rsidRPr="00A73A4C" w:rsidRDefault="005A5E7D" w:rsidP="005A5E7D">
      <w:pPr>
        <w:rPr>
          <w:lang w:val="es-ES_tradnl"/>
        </w:rPr>
      </w:pPr>
      <w:r>
        <w:rPr>
          <w:lang w:val="es-ES_tradnl"/>
        </w:rPr>
        <w:t>E</w:t>
      </w:r>
      <w:r w:rsidRPr="00A73A4C">
        <w:rPr>
          <w:lang w:val="es-ES_tradnl"/>
        </w:rPr>
        <w:t>n desacuerdo con el análisis de Finn</w:t>
      </w:r>
      <w:r>
        <w:rPr>
          <w:lang w:val="es-ES_tradnl"/>
        </w:rPr>
        <w:t>,</w:t>
      </w:r>
      <w:r w:rsidRPr="00A73A4C">
        <w:rPr>
          <w:lang w:val="es-ES_tradnl"/>
        </w:rPr>
        <w:t xml:space="preserve"> </w:t>
      </w:r>
      <w:r>
        <w:rPr>
          <w:lang w:val="es-ES_tradnl"/>
        </w:rPr>
        <w:t>los o</w:t>
      </w:r>
      <w:r w:rsidRPr="00A73A4C">
        <w:rPr>
          <w:lang w:val="es-ES_tradnl"/>
        </w:rPr>
        <w:t>po</w:t>
      </w:r>
      <w:r>
        <w:rPr>
          <w:lang w:val="es-ES_tradnl"/>
        </w:rPr>
        <w:t>sitor</w:t>
      </w:r>
      <w:r w:rsidRPr="00A73A4C">
        <w:rPr>
          <w:lang w:val="es-ES_tradnl"/>
        </w:rPr>
        <w:t>es a la estadidad</w:t>
      </w:r>
      <w:r>
        <w:rPr>
          <w:lang w:val="es-ES_tradnl"/>
        </w:rPr>
        <w:t xml:space="preserve"> </w:t>
      </w:r>
      <w:r w:rsidRPr="00A73A4C">
        <w:rPr>
          <w:lang w:val="es-ES_tradnl"/>
        </w:rPr>
        <w:t>argumenta</w:t>
      </w:r>
      <w:r>
        <w:rPr>
          <w:lang w:val="es-ES_tradnl"/>
        </w:rPr>
        <w:t>ro</w:t>
      </w:r>
      <w:r w:rsidRPr="00A73A4C">
        <w:rPr>
          <w:lang w:val="es-ES_tradnl"/>
        </w:rPr>
        <w:t xml:space="preserve">n que los asuntos cruciales no </w:t>
      </w:r>
      <w:r>
        <w:rPr>
          <w:lang w:val="es-ES_tradnl"/>
        </w:rPr>
        <w:t>so</w:t>
      </w:r>
      <w:r w:rsidRPr="00A73A4C">
        <w:rPr>
          <w:lang w:val="es-ES_tradnl"/>
        </w:rPr>
        <w:t>n la cantidad disponible de fondos federales</w:t>
      </w:r>
      <w:r>
        <w:rPr>
          <w:lang w:val="es-ES_tradnl"/>
        </w:rPr>
        <w:t xml:space="preserve"> </w:t>
      </w:r>
      <w:r w:rsidRPr="00A73A4C">
        <w:rPr>
          <w:lang w:val="es-ES_tradnl"/>
        </w:rPr>
        <w:t>o la entradas de capital, sino el tipo de sociedad que quieren los puertorriqueños</w:t>
      </w:r>
      <w:r>
        <w:rPr>
          <w:lang w:val="es-ES_tradnl"/>
        </w:rPr>
        <w:t>.</w:t>
      </w:r>
      <w:r w:rsidRPr="00A73A4C">
        <w:rPr>
          <w:lang w:val="es-ES_tradnl"/>
        </w:rPr>
        <w:t xml:space="preserve"> En segundo </w:t>
      </w:r>
      <w:r>
        <w:rPr>
          <w:lang w:val="es-ES_tradnl"/>
        </w:rPr>
        <w:t>lugar, el tipo de economía pos</w:t>
      </w:r>
      <w:r w:rsidRPr="00A73A4C">
        <w:rPr>
          <w:lang w:val="es-ES_tradnl"/>
        </w:rPr>
        <w:t>estadidad que describe Finn ser</w:t>
      </w:r>
      <w:r>
        <w:rPr>
          <w:lang w:val="es-ES_tradnl"/>
        </w:rPr>
        <w:t>í</w:t>
      </w:r>
      <w:r w:rsidRPr="00A73A4C">
        <w:rPr>
          <w:lang w:val="es-ES_tradnl"/>
        </w:rPr>
        <w:t xml:space="preserve">a </w:t>
      </w:r>
      <w:r>
        <w:rPr>
          <w:lang w:val="es-ES_tradnl"/>
        </w:rPr>
        <w:t>también</w:t>
      </w:r>
      <w:r w:rsidRPr="00A73A4C">
        <w:rPr>
          <w:lang w:val="es-ES_tradnl"/>
        </w:rPr>
        <w:t xml:space="preserve"> frágil</w:t>
      </w:r>
      <w:r>
        <w:rPr>
          <w:lang w:val="es-ES_tradnl"/>
        </w:rPr>
        <w:t>,</w:t>
      </w:r>
      <w:r w:rsidRPr="00A73A4C">
        <w:rPr>
          <w:lang w:val="es-ES_tradnl"/>
        </w:rPr>
        <w:t xml:space="preserve"> </w:t>
      </w:r>
      <w:r>
        <w:rPr>
          <w:lang w:val="es-ES_tradnl"/>
        </w:rPr>
        <w:t xml:space="preserve">y </w:t>
      </w:r>
      <w:r w:rsidRPr="00A73A4C">
        <w:rPr>
          <w:lang w:val="es-ES_tradnl"/>
        </w:rPr>
        <w:t>dependiente de transferencias federales y otros tipos de asistencia especiales. En tercer lugar, el recurrente argument</w:t>
      </w:r>
      <w:r>
        <w:rPr>
          <w:lang w:val="es-ES_tradnl"/>
        </w:rPr>
        <w:t>o de exceso de mano de obra (</w:t>
      </w:r>
      <w:r w:rsidRPr="00750252">
        <w:rPr>
          <w:i/>
          <w:lang w:val="es-ES_tradnl"/>
        </w:rPr>
        <w:t>surplus labor</w:t>
      </w:r>
      <w:r w:rsidRPr="00A73A4C">
        <w:rPr>
          <w:lang w:val="es-ES_tradnl"/>
        </w:rPr>
        <w:t>) implica s</w:t>
      </w:r>
      <w:r>
        <w:rPr>
          <w:lang w:val="es-ES_tradnl"/>
        </w:rPr>
        <w:t>alarios comparativos menores. ¿</w:t>
      </w:r>
      <w:r w:rsidRPr="00A73A4C">
        <w:rPr>
          <w:lang w:val="es-ES_tradnl"/>
        </w:rPr>
        <w:t>Sería ético basar la estrategia de desarrollo económico en salarios bajos? (citados en J. Heine y Bárbara Mauger, 1980)</w:t>
      </w:r>
      <w:r>
        <w:rPr>
          <w:lang w:val="es-ES_tradnl"/>
        </w:rPr>
        <w:t>.</w:t>
      </w:r>
    </w:p>
    <w:p w:rsidR="005A5E7D" w:rsidRPr="00A73A4C" w:rsidRDefault="005A5E7D" w:rsidP="005A5E7D">
      <w:pPr>
        <w:rPr>
          <w:lang w:val="es-ES_tradnl"/>
        </w:rPr>
      </w:pPr>
      <w:r>
        <w:rPr>
          <w:lang w:val="es-ES_tradnl"/>
        </w:rPr>
        <w:t>Como se mencionó antes, o</w:t>
      </w:r>
      <w:r w:rsidRPr="00A73A4C">
        <w:rPr>
          <w:lang w:val="es-ES_tradnl"/>
        </w:rPr>
        <w:t>tros defensores de la opción de estadidad para Puerto Rico son los autores</w:t>
      </w:r>
      <w:r>
        <w:rPr>
          <w:lang w:val="es-ES_tradnl"/>
        </w:rPr>
        <w:t xml:space="preserve"> </w:t>
      </w:r>
      <w:r w:rsidRPr="00A73A4C">
        <w:rPr>
          <w:lang w:val="es-ES_tradnl"/>
        </w:rPr>
        <w:t>Thomas Hexner</w:t>
      </w:r>
      <w:r>
        <w:rPr>
          <w:lang w:val="es-ES_tradnl"/>
        </w:rPr>
        <w:t xml:space="preserve"> </w:t>
      </w:r>
      <w:r w:rsidRPr="00A73A4C">
        <w:rPr>
          <w:lang w:val="es-ES_tradnl"/>
        </w:rPr>
        <w:t>y</w:t>
      </w:r>
      <w:r>
        <w:rPr>
          <w:lang w:val="es-ES_tradnl"/>
        </w:rPr>
        <w:t xml:space="preserve"> </w:t>
      </w:r>
      <w:r w:rsidRPr="00A73A4C">
        <w:rPr>
          <w:lang w:val="es-ES_tradnl"/>
        </w:rPr>
        <w:t>Glenn Jenkins. “Contrario a la sabiduría convencional, el Estado Libre Asociado ha sido un costo y no un beneficio p</w:t>
      </w:r>
      <w:r>
        <w:rPr>
          <w:lang w:val="es-ES_tradnl"/>
        </w:rPr>
        <w:t xml:space="preserve">ara Puerto Rico y el Tesoro de </w:t>
      </w:r>
      <w:r w:rsidRPr="00A73A4C">
        <w:rPr>
          <w:lang w:val="es-ES_tradnl"/>
        </w:rPr>
        <w:t>Estados Unidos</w:t>
      </w:r>
      <w:r>
        <w:rPr>
          <w:lang w:val="es-ES_tradnl"/>
        </w:rPr>
        <w:t>,</w:t>
      </w:r>
      <w:r w:rsidRPr="00A73A4C">
        <w:rPr>
          <w:lang w:val="es-ES_tradnl"/>
        </w:rPr>
        <w:t xml:space="preserve"> y erróneamente Puerto Rico sigue siendo considerado por muchos otros como un modelo</w:t>
      </w:r>
      <w:r>
        <w:rPr>
          <w:lang w:val="es-ES_tradnl"/>
        </w:rPr>
        <w:t xml:space="preserve"> exitoso</w:t>
      </w:r>
      <w:r w:rsidRPr="00A73A4C">
        <w:rPr>
          <w:lang w:val="es-ES_tradnl"/>
        </w:rPr>
        <w:t xml:space="preserve"> de desarrollo económico</w:t>
      </w:r>
      <w:r>
        <w:rPr>
          <w:lang w:val="es-ES_tradnl"/>
        </w:rPr>
        <w:t>”, s</w:t>
      </w:r>
      <w:r w:rsidRPr="00A73A4C">
        <w:rPr>
          <w:lang w:val="es-ES_tradnl"/>
        </w:rPr>
        <w:t>egún estos autores</w:t>
      </w:r>
      <w:r>
        <w:rPr>
          <w:lang w:val="es-ES_tradnl"/>
        </w:rPr>
        <w:t xml:space="preserve"> </w:t>
      </w:r>
      <w:r w:rsidRPr="00A73A4C">
        <w:rPr>
          <w:lang w:val="es-ES_tradnl"/>
        </w:rPr>
        <w:t xml:space="preserve">(Hexner, J. Thomas, Jenkins, </w:t>
      </w:r>
      <w:r>
        <w:rPr>
          <w:lang w:val="es-ES_tradnl"/>
        </w:rPr>
        <w:t xml:space="preserve">Glenn, </w:t>
      </w:r>
      <w:r w:rsidRPr="00A73A4C">
        <w:rPr>
          <w:lang w:val="es-ES_tradnl"/>
        </w:rPr>
        <w:t xml:space="preserve">1993). La economía puertorriqueña crecería significativamente rápido bajo la estadidad por dos razones: análisis de crecimiento económico moderno y sentido común. La teoría de la convergencia (refiriéndose básicamente a la tesis doctoral de </w:t>
      </w:r>
      <w:r w:rsidRPr="00A73A4C">
        <w:rPr>
          <w:szCs w:val="36"/>
          <w:lang w:val="es-ES_tradnl"/>
        </w:rPr>
        <w:t>Fernando Lefort y artículos subsiguientes sobre este tema, por ejemplo ver Lefort, 1997)</w:t>
      </w:r>
      <w:r>
        <w:rPr>
          <w:szCs w:val="36"/>
          <w:lang w:val="es-ES_tradnl"/>
        </w:rPr>
        <w:t>,</w:t>
      </w:r>
      <w:r w:rsidRPr="00A73A4C">
        <w:rPr>
          <w:lang w:val="es-ES_tradnl"/>
        </w:rPr>
        <w:t xml:space="preserve"> cuando se lleva a la práctica y al análisis de datos, muestra que las regiones menos desarrolladas de la economía estadounidense llegan</w:t>
      </w:r>
      <w:r>
        <w:rPr>
          <w:lang w:val="es-ES_tradnl"/>
        </w:rPr>
        <w:t xml:space="preserve">, </w:t>
      </w:r>
      <w:r w:rsidRPr="00A73A4C">
        <w:rPr>
          <w:lang w:val="es-ES_tradnl"/>
        </w:rPr>
        <w:t>con el tiempo</w:t>
      </w:r>
      <w:r>
        <w:rPr>
          <w:lang w:val="es-ES_tradnl"/>
        </w:rPr>
        <w:t>,</w:t>
      </w:r>
      <w:r w:rsidRPr="00A73A4C">
        <w:rPr>
          <w:lang w:val="es-ES_tradnl"/>
        </w:rPr>
        <w:t xml:space="preserve"> al nivel de las partes más</w:t>
      </w:r>
      <w:r>
        <w:rPr>
          <w:lang w:val="es-ES_tradnl"/>
        </w:rPr>
        <w:t xml:space="preserve"> prósperas</w:t>
      </w:r>
      <w:r w:rsidRPr="00A73A4C">
        <w:rPr>
          <w:lang w:val="es-ES_tradnl"/>
        </w:rPr>
        <w:t>.</w:t>
      </w:r>
    </w:p>
    <w:p w:rsidR="005A5E7D" w:rsidRPr="00A73A4C" w:rsidRDefault="005A5E7D" w:rsidP="005A5E7D">
      <w:pPr>
        <w:rPr>
          <w:lang w:val="es-ES_tradnl"/>
        </w:rPr>
      </w:pPr>
      <w:r w:rsidRPr="00A73A4C">
        <w:rPr>
          <w:lang w:val="es-ES_tradnl"/>
        </w:rPr>
        <w:t>Puerto Rico no ha convergido hacia la más rica economía estadounidense</w:t>
      </w:r>
      <w:r>
        <w:rPr>
          <w:lang w:val="es-ES_tradnl"/>
        </w:rPr>
        <w:t>,</w:t>
      </w:r>
      <w:r w:rsidRPr="00A73A4C">
        <w:rPr>
          <w:lang w:val="es-ES_tradnl"/>
        </w:rPr>
        <w:t xml:space="preserve"> a pesar de </w:t>
      </w:r>
      <w:r>
        <w:rPr>
          <w:lang w:val="es-ES_tradnl"/>
        </w:rPr>
        <w:t>su</w:t>
      </w:r>
      <w:r w:rsidRPr="00A73A4C">
        <w:rPr>
          <w:lang w:val="es-ES_tradnl"/>
        </w:rPr>
        <w:t xml:space="preserve">s cercanos lazos económicos, geográficos y políticos. Solo la total integración </w:t>
      </w:r>
      <w:r>
        <w:rPr>
          <w:lang w:val="es-ES_tradnl"/>
        </w:rPr>
        <w:t xml:space="preserve">que implica </w:t>
      </w:r>
      <w:r w:rsidRPr="00A73A4C">
        <w:rPr>
          <w:lang w:val="es-ES_tradnl"/>
        </w:rPr>
        <w:t>de la estadidad estrechará la brecha</w:t>
      </w:r>
      <w:r>
        <w:rPr>
          <w:lang w:val="es-ES_tradnl"/>
        </w:rPr>
        <w:t>, argumentaron</w:t>
      </w:r>
      <w:r w:rsidRPr="00A73A4C">
        <w:rPr>
          <w:lang w:val="es-ES_tradnl"/>
        </w:rPr>
        <w:t>.</w:t>
      </w:r>
      <w:r>
        <w:rPr>
          <w:lang w:val="es-ES_tradnl"/>
        </w:rPr>
        <w:t xml:space="preserve"> </w:t>
      </w:r>
      <w:r w:rsidRPr="00A73A4C">
        <w:rPr>
          <w:lang w:val="es-ES_tradnl"/>
        </w:rPr>
        <w:t xml:space="preserve">Estudios recientes sobre crecimiento económico indican que los estados crecen </w:t>
      </w:r>
      <w:r>
        <w:rPr>
          <w:lang w:val="es-ES_tradnl"/>
        </w:rPr>
        <w:t xml:space="preserve">un </w:t>
      </w:r>
      <w:r w:rsidRPr="00A73A4C">
        <w:rPr>
          <w:lang w:val="es-ES_tradnl"/>
        </w:rPr>
        <w:t>2% más rápido que los territorios</w:t>
      </w:r>
      <w:r>
        <w:rPr>
          <w:lang w:val="es-ES_tradnl"/>
        </w:rPr>
        <w:t>,</w:t>
      </w:r>
      <w:r w:rsidRPr="00A73A4C">
        <w:rPr>
          <w:lang w:val="es-ES_tradnl"/>
        </w:rPr>
        <w:t xml:space="preserve"> debido a su total integración con la economía estadounidense y su sistema político. Si Puerto Rico se hubie</w:t>
      </w:r>
      <w:r>
        <w:rPr>
          <w:lang w:val="es-ES_tradnl"/>
        </w:rPr>
        <w:t>se</w:t>
      </w:r>
      <w:r w:rsidRPr="00A73A4C">
        <w:rPr>
          <w:lang w:val="es-ES_tradnl"/>
        </w:rPr>
        <w:t xml:space="preserve"> </w:t>
      </w:r>
      <w:r>
        <w:rPr>
          <w:lang w:val="es-ES_tradnl"/>
        </w:rPr>
        <w:t>convertido en</w:t>
      </w:r>
      <w:r w:rsidRPr="00A73A4C">
        <w:rPr>
          <w:lang w:val="es-ES_tradnl"/>
        </w:rPr>
        <w:t xml:space="preserve"> estado en 1955, sus residentes h</w:t>
      </w:r>
      <w:r>
        <w:rPr>
          <w:lang w:val="es-ES_tradnl"/>
        </w:rPr>
        <w:t>abrí</w:t>
      </w:r>
      <w:r w:rsidRPr="00A73A4C">
        <w:rPr>
          <w:lang w:val="es-ES_tradnl"/>
        </w:rPr>
        <w:t>an estado ganando $6</w:t>
      </w:r>
      <w:r>
        <w:rPr>
          <w:lang w:val="es-ES_tradnl"/>
        </w:rPr>
        <w:t>,</w:t>
      </w:r>
      <w:r w:rsidRPr="00A73A4C">
        <w:rPr>
          <w:lang w:val="es-ES_tradnl"/>
        </w:rPr>
        <w:t xml:space="preserve">000 más por año para 1994 que bajo el Estado Libre Asociado, </w:t>
      </w:r>
      <w:r>
        <w:rPr>
          <w:lang w:val="es-ES_tradnl"/>
        </w:rPr>
        <w:t>bajo la premisa</w:t>
      </w:r>
      <w:r w:rsidRPr="00A73A4C">
        <w:rPr>
          <w:lang w:val="es-ES_tradnl"/>
        </w:rPr>
        <w:t xml:space="preserve"> </w:t>
      </w:r>
      <w:r>
        <w:rPr>
          <w:lang w:val="es-ES_tradnl"/>
        </w:rPr>
        <w:t xml:space="preserve">de </w:t>
      </w:r>
      <w:r w:rsidRPr="00A73A4C">
        <w:rPr>
          <w:lang w:val="es-ES_tradnl"/>
        </w:rPr>
        <w:t>solo una tasa de convergencia moderada. Alternativamente, si Puerto Rico se hubie</w:t>
      </w:r>
      <w:r>
        <w:rPr>
          <w:lang w:val="es-ES_tradnl"/>
        </w:rPr>
        <w:t>se</w:t>
      </w:r>
      <w:r w:rsidRPr="00A73A4C">
        <w:rPr>
          <w:lang w:val="es-ES_tradnl"/>
        </w:rPr>
        <w:t xml:space="preserve"> convertido en esta</w:t>
      </w:r>
      <w:r>
        <w:rPr>
          <w:lang w:val="es-ES_tradnl"/>
        </w:rPr>
        <w:t xml:space="preserve">do en 1994, el ingreso real per </w:t>
      </w:r>
      <w:r w:rsidRPr="00A73A4C">
        <w:rPr>
          <w:lang w:val="es-ES_tradnl"/>
        </w:rPr>
        <w:t>cápita h</w:t>
      </w:r>
      <w:r>
        <w:rPr>
          <w:lang w:val="es-ES_tradnl"/>
        </w:rPr>
        <w:t>abrí</w:t>
      </w:r>
      <w:r w:rsidRPr="00A73A4C">
        <w:rPr>
          <w:lang w:val="es-ES_tradnl"/>
        </w:rPr>
        <w:t>a crecido $1,343 más para el año 2000</w:t>
      </w:r>
      <w:r>
        <w:rPr>
          <w:lang w:val="es-ES_tradnl"/>
        </w:rPr>
        <w:t>,</w:t>
      </w:r>
      <w:r w:rsidRPr="00A73A4C">
        <w:rPr>
          <w:lang w:val="es-ES_tradnl"/>
        </w:rPr>
        <w:t xml:space="preserve"> que con el </w:t>
      </w:r>
      <w:r>
        <w:rPr>
          <w:lang w:val="es-ES_tradnl"/>
        </w:rPr>
        <w:t>ELA</w:t>
      </w:r>
      <w:r w:rsidRPr="00A73A4C">
        <w:rPr>
          <w:lang w:val="es-ES_tradnl"/>
        </w:rPr>
        <w:t xml:space="preserve">. </w:t>
      </w:r>
    </w:p>
    <w:p w:rsidR="005A5E7D" w:rsidRDefault="005A5E7D" w:rsidP="005A5E7D">
      <w:pPr>
        <w:rPr>
          <w:lang w:val="es-ES_tradnl"/>
        </w:rPr>
      </w:pPr>
      <w:r>
        <w:rPr>
          <w:lang w:val="es-ES_tradnl"/>
        </w:rPr>
        <w:t xml:space="preserve">Según </w:t>
      </w:r>
      <w:r w:rsidRPr="00A73A4C">
        <w:rPr>
          <w:lang w:val="es-ES_tradnl"/>
        </w:rPr>
        <w:t>Hexner</w:t>
      </w:r>
      <w:r>
        <w:rPr>
          <w:lang w:val="es-ES_tradnl"/>
        </w:rPr>
        <w:t xml:space="preserve"> </w:t>
      </w:r>
      <w:r w:rsidRPr="00A73A4C">
        <w:rPr>
          <w:lang w:val="es-ES_tradnl"/>
        </w:rPr>
        <w:t>y</w:t>
      </w:r>
      <w:r>
        <w:rPr>
          <w:lang w:val="es-ES_tradnl"/>
        </w:rPr>
        <w:t xml:space="preserve"> </w:t>
      </w:r>
      <w:r w:rsidRPr="00A73A4C">
        <w:rPr>
          <w:lang w:val="es-ES_tradnl"/>
        </w:rPr>
        <w:t>Jenkins</w:t>
      </w:r>
      <w:r>
        <w:rPr>
          <w:lang w:val="es-ES_tradnl"/>
        </w:rPr>
        <w:t>, e</w:t>
      </w:r>
      <w:r w:rsidRPr="00A73A4C">
        <w:rPr>
          <w:lang w:val="es-ES_tradnl"/>
        </w:rPr>
        <w:t>l argumento de sentido común es</w:t>
      </w:r>
      <w:r>
        <w:rPr>
          <w:lang w:val="es-ES_tradnl"/>
        </w:rPr>
        <w:t>tá</w:t>
      </w:r>
      <w:r w:rsidRPr="00A73A4C">
        <w:rPr>
          <w:lang w:val="es-ES_tradnl"/>
        </w:rPr>
        <w:t xml:space="preserve"> mejor representado desde la perspectiva de un inversionista. Desde</w:t>
      </w:r>
      <w:r>
        <w:rPr>
          <w:lang w:val="es-ES_tradnl"/>
        </w:rPr>
        <w:t xml:space="preserve"> es</w:t>
      </w:r>
      <w:r w:rsidRPr="00A73A4C">
        <w:rPr>
          <w:lang w:val="es-ES_tradnl"/>
        </w:rPr>
        <w:t>a perspectiva, “tú inviertes en un estado de Estados Unidos o en una entidad extranjera. Debido a que Puerto Rico no es un estado de Estados Unidos, es considerado por inversionistas potenciales como una entidad extranjera y cae en la categoría no exacta”. Lo nebuloso e incierto del estatus político de Puerto Rico prueba ser una creciente desventaja en un mundo de globalización en escalada y l</w:t>
      </w:r>
      <w:r>
        <w:rPr>
          <w:lang w:val="es-ES_tradnl"/>
        </w:rPr>
        <w:t>a expansión del libre comercio.</w:t>
      </w:r>
    </w:p>
    <w:p w:rsidR="005A5E7D" w:rsidRPr="00A73A4C" w:rsidRDefault="005A5E7D" w:rsidP="005A5E7D">
      <w:pPr>
        <w:rPr>
          <w:lang w:val="es-ES_tradnl"/>
        </w:rPr>
      </w:pPr>
      <w:r w:rsidRPr="00A73A4C">
        <w:rPr>
          <w:lang w:val="es-ES_tradnl"/>
        </w:rPr>
        <w:t>Según</w:t>
      </w:r>
      <w:r>
        <w:rPr>
          <w:lang w:val="es-ES_tradnl"/>
        </w:rPr>
        <w:t xml:space="preserve"> </w:t>
      </w:r>
      <w:r w:rsidRPr="00A73A4C">
        <w:rPr>
          <w:lang w:val="es-ES_tradnl"/>
        </w:rPr>
        <w:t xml:space="preserve">se intensifica la competencia por inversión entre economías en desarrollo, la estadidad pondría a </w:t>
      </w:r>
      <w:r>
        <w:rPr>
          <w:lang w:val="es-ES_tradnl"/>
        </w:rPr>
        <w:t>P</w:t>
      </w:r>
      <w:r w:rsidRPr="00A73A4C">
        <w:rPr>
          <w:lang w:val="es-ES_tradnl"/>
        </w:rPr>
        <w:t>uerto Rico aparte de otras potenciales localizacion</w:t>
      </w:r>
      <w:r>
        <w:rPr>
          <w:lang w:val="es-ES_tradnl"/>
        </w:rPr>
        <w:t>es en el Caribe, América Latina</w:t>
      </w:r>
      <w:r w:rsidRPr="00A73A4C">
        <w:rPr>
          <w:lang w:val="es-ES_tradnl"/>
        </w:rPr>
        <w:t xml:space="preserve"> y a través del mundo. La estadidad proveer</w:t>
      </w:r>
      <w:r>
        <w:rPr>
          <w:lang w:val="es-ES_tradnl"/>
        </w:rPr>
        <w:t>ía</w:t>
      </w:r>
      <w:r w:rsidRPr="00A73A4C">
        <w:rPr>
          <w:lang w:val="es-ES_tradnl"/>
        </w:rPr>
        <w:t xml:space="preserve"> la seguridad y estabilidad para atraer la inversión y guiar el crecimiento económico de Puerto Rico, completo acceso al más amplio </w:t>
      </w:r>
      <w:r>
        <w:rPr>
          <w:lang w:val="es-ES_tradnl"/>
        </w:rPr>
        <w:t xml:space="preserve">mercado en el mundo </w:t>
      </w:r>
      <w:r w:rsidRPr="00A73A4C">
        <w:rPr>
          <w:lang w:val="es-ES_tradnl"/>
        </w:rPr>
        <w:t>y el final a la incertidumbre que enfrentan los inversionistas con respecto a próximas reglas del juego.</w:t>
      </w:r>
    </w:p>
    <w:p w:rsidR="005A5E7D" w:rsidRDefault="005A5E7D" w:rsidP="005A5E7D">
      <w:pPr>
        <w:rPr>
          <w:lang w:val="es-ES_tradnl"/>
        </w:rPr>
      </w:pPr>
      <w:r w:rsidRPr="00A73A4C">
        <w:rPr>
          <w:lang w:val="es-ES_tradnl"/>
        </w:rPr>
        <w:t>En conclusión</w:t>
      </w:r>
      <w:r>
        <w:rPr>
          <w:lang w:val="es-ES_tradnl"/>
        </w:rPr>
        <w:t>,</w:t>
      </w:r>
      <w:r w:rsidRPr="00A73A4C">
        <w:rPr>
          <w:lang w:val="es-ES_tradnl"/>
        </w:rPr>
        <w:t xml:space="preserve"> Hexner y Jenkins plantea</w:t>
      </w:r>
      <w:r>
        <w:rPr>
          <w:lang w:val="es-ES_tradnl"/>
        </w:rPr>
        <w:t>ro</w:t>
      </w:r>
      <w:r w:rsidRPr="00A73A4C">
        <w:rPr>
          <w:lang w:val="es-ES_tradnl"/>
        </w:rPr>
        <w:t>n que Puerto Rico mismo se beneficiaría de la estadidad por el aumento en fondos federales, según los ciudadanos estadounidenses en la Isla comiencen a recibir beneficios comparables a los de los ciudadanos en el continente.</w:t>
      </w:r>
      <w:r>
        <w:rPr>
          <w:lang w:val="es-ES_tradnl"/>
        </w:rPr>
        <w:t xml:space="preserve"> Sus e</w:t>
      </w:r>
      <w:r w:rsidRPr="00A73A4C">
        <w:rPr>
          <w:lang w:val="es-ES_tradnl"/>
        </w:rPr>
        <w:t>stimados indica</w:t>
      </w:r>
      <w:r>
        <w:rPr>
          <w:lang w:val="es-ES_tradnl"/>
        </w:rPr>
        <w:t>ro</w:t>
      </w:r>
      <w:r w:rsidRPr="00A73A4C">
        <w:rPr>
          <w:lang w:val="es-ES_tradnl"/>
        </w:rPr>
        <w:t>n que la</w:t>
      </w:r>
      <w:r>
        <w:rPr>
          <w:lang w:val="es-ES_tradnl"/>
        </w:rPr>
        <w:t xml:space="preserve"> estadidad traería a la Isla $1,</w:t>
      </w:r>
      <w:r w:rsidRPr="00A73A4C">
        <w:rPr>
          <w:lang w:val="es-ES_tradnl"/>
        </w:rPr>
        <w:t>4</w:t>
      </w:r>
      <w:r>
        <w:rPr>
          <w:lang w:val="es-ES_tradnl"/>
        </w:rPr>
        <w:t>00</w:t>
      </w:r>
      <w:r w:rsidRPr="00A73A4C">
        <w:rPr>
          <w:lang w:val="es-ES_tradnl"/>
        </w:rPr>
        <w:t xml:space="preserve"> </w:t>
      </w:r>
      <w:r>
        <w:rPr>
          <w:lang w:val="es-ES_tradnl"/>
        </w:rPr>
        <w:t xml:space="preserve">millones </w:t>
      </w:r>
      <w:r w:rsidRPr="00A73A4C">
        <w:rPr>
          <w:lang w:val="es-ES_tradnl"/>
        </w:rPr>
        <w:t>adicionales en fondos federales y costar</w:t>
      </w:r>
      <w:r>
        <w:rPr>
          <w:lang w:val="es-ES_tradnl"/>
        </w:rPr>
        <w:t>ía</w:t>
      </w:r>
      <w:r w:rsidRPr="00A73A4C">
        <w:rPr>
          <w:lang w:val="es-ES_tradnl"/>
        </w:rPr>
        <w:t xml:space="preserve"> $720 millones en impue</w:t>
      </w:r>
      <w:r>
        <w:rPr>
          <w:lang w:val="es-ES_tradnl"/>
        </w:rPr>
        <w:t xml:space="preserve">stos </w:t>
      </w:r>
      <w:r w:rsidRPr="00A73A4C">
        <w:rPr>
          <w:lang w:val="es-ES_tradnl"/>
        </w:rPr>
        <w:t>a individuos</w:t>
      </w:r>
      <w:r>
        <w:rPr>
          <w:lang w:val="es-ES_tradnl"/>
        </w:rPr>
        <w:t xml:space="preserve"> y a corporaciones que no estaba</w:t>
      </w:r>
      <w:r w:rsidRPr="00A73A4C">
        <w:rPr>
          <w:lang w:val="es-ES_tradnl"/>
        </w:rPr>
        <w:t xml:space="preserve">n bajo la </w:t>
      </w:r>
      <w:r>
        <w:rPr>
          <w:lang w:val="es-ES_tradnl"/>
        </w:rPr>
        <w:t>Sección 936</w:t>
      </w:r>
      <w:r w:rsidRPr="00A73A4C">
        <w:rPr>
          <w:lang w:val="es-ES_tradnl"/>
        </w:rPr>
        <w:t>, dando lugar a un beneficio neto.</w:t>
      </w:r>
    </w:p>
    <w:p w:rsidR="005A5E7D" w:rsidRDefault="005A5E7D" w:rsidP="005A5E7D">
      <w:pPr>
        <w:rPr>
          <w:lang w:val="es-ES_tradnl"/>
        </w:rPr>
      </w:pPr>
      <w:r w:rsidRPr="00A73A4C">
        <w:rPr>
          <w:lang w:val="es-ES_tradnl"/>
        </w:rPr>
        <w:t xml:space="preserve">También puede ser falaz considerar </w:t>
      </w:r>
      <w:r>
        <w:rPr>
          <w:lang w:val="es-ES_tradnl"/>
        </w:rPr>
        <w:t>l</w:t>
      </w:r>
      <w:r w:rsidRPr="00A73A4C">
        <w:rPr>
          <w:lang w:val="es-ES_tradnl"/>
        </w:rPr>
        <w:t>os aumen</w:t>
      </w:r>
      <w:r>
        <w:rPr>
          <w:lang w:val="es-ES_tradnl"/>
        </w:rPr>
        <w:t>tos en el gasto federal como un co</w:t>
      </w:r>
      <w:r w:rsidRPr="00A73A4C">
        <w:rPr>
          <w:lang w:val="es-ES_tradnl"/>
        </w:rPr>
        <w:t>sto de la estadidad</w:t>
      </w:r>
      <w:r>
        <w:rPr>
          <w:lang w:val="es-ES_tradnl"/>
        </w:rPr>
        <w:t>,</w:t>
      </w:r>
      <w:r w:rsidRPr="00A73A4C">
        <w:rPr>
          <w:lang w:val="es-ES_tradnl"/>
        </w:rPr>
        <w:t xml:space="preserve"> en comparaci</w:t>
      </w:r>
      <w:r>
        <w:rPr>
          <w:lang w:val="es-ES_tradnl"/>
        </w:rPr>
        <w:t>ón con e</w:t>
      </w:r>
      <w:r w:rsidRPr="00A73A4C">
        <w:rPr>
          <w:lang w:val="es-ES_tradnl"/>
        </w:rPr>
        <w:t>l Estado Libre Asociado.</w:t>
      </w:r>
      <w:r>
        <w:rPr>
          <w:lang w:val="es-ES_tradnl"/>
        </w:rPr>
        <w:t xml:space="preserve"> </w:t>
      </w:r>
      <w:r w:rsidRPr="00A73A4C">
        <w:rPr>
          <w:lang w:val="es-ES_tradnl"/>
        </w:rPr>
        <w:t>Parece poco pr</w:t>
      </w:r>
      <w:r>
        <w:rPr>
          <w:lang w:val="es-ES_tradnl"/>
        </w:rPr>
        <w:t>obable que grupos ciudadanos, hispanos en particular, permitiera</w:t>
      </w:r>
      <w:r w:rsidRPr="00A73A4C">
        <w:rPr>
          <w:lang w:val="es-ES_tradnl"/>
        </w:rPr>
        <w:t>n que contin</w:t>
      </w:r>
      <w:r>
        <w:rPr>
          <w:lang w:val="es-ES_tradnl"/>
        </w:rPr>
        <w:t>uase</w:t>
      </w:r>
      <w:r w:rsidRPr="00A73A4C">
        <w:rPr>
          <w:lang w:val="es-ES_tradnl"/>
        </w:rPr>
        <w:t xml:space="preserve"> la gran disparidad entre los beneficios recibidos por ciudadanos americanos en Puerto Rico y </w:t>
      </w:r>
      <w:r>
        <w:rPr>
          <w:lang w:val="es-ES_tradnl"/>
        </w:rPr>
        <w:t>los d</w:t>
      </w:r>
      <w:r w:rsidRPr="00A73A4C">
        <w:rPr>
          <w:lang w:val="es-ES_tradnl"/>
        </w:rPr>
        <w:t>el continente</w:t>
      </w:r>
      <w:r>
        <w:rPr>
          <w:lang w:val="es-ES_tradnl"/>
        </w:rPr>
        <w:t>,</w:t>
      </w:r>
      <w:r w:rsidRPr="00A73A4C">
        <w:rPr>
          <w:lang w:val="es-ES_tradnl"/>
        </w:rPr>
        <w:t xml:space="preserve"> aun si</w:t>
      </w:r>
      <w:r>
        <w:rPr>
          <w:lang w:val="es-ES_tradnl"/>
        </w:rPr>
        <w:t xml:space="preserve"> el estatus actual persistiera.</w:t>
      </w:r>
    </w:p>
    <w:p w:rsidR="005A5E7D" w:rsidRDefault="005A5E7D" w:rsidP="005A5E7D">
      <w:pPr>
        <w:rPr>
          <w:lang w:val="es-ES_tradnl"/>
        </w:rPr>
      </w:pPr>
      <w:r w:rsidRPr="00A73A4C">
        <w:rPr>
          <w:lang w:val="es-ES_tradnl"/>
        </w:rPr>
        <w:t>En suma, el ritmo del crecimiento de Puerto Rico gira</w:t>
      </w:r>
      <w:r>
        <w:rPr>
          <w:lang w:val="es-ES_tradnl"/>
        </w:rPr>
        <w:t>ría</w:t>
      </w:r>
      <w:r w:rsidRPr="00A73A4C">
        <w:rPr>
          <w:lang w:val="es-ES_tradnl"/>
        </w:rPr>
        <w:t xml:space="preserve"> en torno a su completa integración a la economía estadounidense a través de la estadidad. El antes privilegiado estatus comercial de Puerto Rico </w:t>
      </w:r>
      <w:r>
        <w:rPr>
          <w:lang w:val="es-ES_tradnl"/>
        </w:rPr>
        <w:t>se estaba</w:t>
      </w:r>
      <w:r w:rsidRPr="00A73A4C">
        <w:rPr>
          <w:lang w:val="es-ES_tradnl"/>
        </w:rPr>
        <w:t xml:space="preserve"> erosiona</w:t>
      </w:r>
      <w:r>
        <w:rPr>
          <w:lang w:val="es-ES_tradnl"/>
        </w:rPr>
        <w:t>n</w:t>
      </w:r>
      <w:r w:rsidRPr="00A73A4C">
        <w:rPr>
          <w:lang w:val="es-ES_tradnl"/>
        </w:rPr>
        <w:t>do rápidamente por aranceles</w:t>
      </w:r>
      <w:r>
        <w:rPr>
          <w:lang w:val="es-ES_tradnl"/>
        </w:rPr>
        <w:t xml:space="preserve"> </w:t>
      </w:r>
      <w:r w:rsidRPr="00A73A4C">
        <w:rPr>
          <w:lang w:val="es-ES_tradnl"/>
        </w:rPr>
        <w:t xml:space="preserve">disminuyentes bajo </w:t>
      </w:r>
      <w:r>
        <w:rPr>
          <w:lang w:val="es-ES_tradnl"/>
        </w:rPr>
        <w:t xml:space="preserve">el </w:t>
      </w:r>
      <w:r w:rsidRPr="00A73A4C">
        <w:rPr>
          <w:lang w:val="es-ES_tradnl"/>
        </w:rPr>
        <w:t>NAFTA y el GATT. Inversionistas potenciales de Estados Unidos y otras partes no apreciar</w:t>
      </w:r>
      <w:r>
        <w:rPr>
          <w:lang w:val="es-ES_tradnl"/>
        </w:rPr>
        <w:t>ía</w:t>
      </w:r>
      <w:r w:rsidRPr="00A73A4C">
        <w:rPr>
          <w:lang w:val="es-ES_tradnl"/>
        </w:rPr>
        <w:t>n el nebuloso estatus político de Puerto Rico como una fuente de ventaja económica.</w:t>
      </w:r>
      <w:r>
        <w:rPr>
          <w:lang w:val="es-ES_tradnl"/>
        </w:rPr>
        <w:t xml:space="preserve"> Mirando hacia el siglo XXI</w:t>
      </w:r>
      <w:r w:rsidRPr="00A73A4C">
        <w:rPr>
          <w:lang w:val="es-ES_tradnl"/>
        </w:rPr>
        <w:t>, la estadidad posicionar</w:t>
      </w:r>
      <w:r>
        <w:rPr>
          <w:lang w:val="es-ES_tradnl"/>
        </w:rPr>
        <w:t>ía</w:t>
      </w:r>
      <w:r w:rsidRPr="00A73A4C">
        <w:rPr>
          <w:lang w:val="es-ES_tradnl"/>
        </w:rPr>
        <w:t xml:space="preserve"> a Puerto Rico claramente aparte de economías en desarrollo en el Caribe y América Latina</w:t>
      </w:r>
      <w:r>
        <w:rPr>
          <w:lang w:val="es-ES_tradnl"/>
        </w:rPr>
        <w:t>,</w:t>
      </w:r>
      <w:r w:rsidRPr="00A73A4C">
        <w:rPr>
          <w:lang w:val="es-ES_tradnl"/>
        </w:rPr>
        <w:t xml:space="preserve"> y l</w:t>
      </w:r>
      <w:r>
        <w:rPr>
          <w:lang w:val="es-ES_tradnl"/>
        </w:rPr>
        <w:t>e</w:t>
      </w:r>
      <w:r w:rsidRPr="00A73A4C">
        <w:rPr>
          <w:lang w:val="es-ES_tradnl"/>
        </w:rPr>
        <w:t xml:space="preserve"> </w:t>
      </w:r>
      <w:r>
        <w:rPr>
          <w:lang w:val="es-ES_tradnl"/>
        </w:rPr>
        <w:t>converti</w:t>
      </w:r>
      <w:r w:rsidRPr="00A73A4C">
        <w:rPr>
          <w:lang w:val="es-ES_tradnl"/>
        </w:rPr>
        <w:t>r</w:t>
      </w:r>
      <w:r>
        <w:rPr>
          <w:lang w:val="es-ES_tradnl"/>
        </w:rPr>
        <w:t xml:space="preserve">ía una parte inequívoca de </w:t>
      </w:r>
      <w:r w:rsidRPr="00A73A4C">
        <w:rPr>
          <w:lang w:val="es-ES_tradnl"/>
        </w:rPr>
        <w:t>Estados Unidos.</w:t>
      </w:r>
    </w:p>
    <w:p w:rsidR="005A5E7D" w:rsidRPr="00A73A4C" w:rsidRDefault="005A5E7D" w:rsidP="005A5E7D">
      <w:pPr>
        <w:rPr>
          <w:lang w:val="es-ES_tradnl"/>
        </w:rPr>
      </w:pPr>
      <w:r>
        <w:rPr>
          <w:lang w:val="es-ES_tradnl"/>
        </w:rPr>
        <w:t>La estadidad conduciría a</w:t>
      </w:r>
      <w:r w:rsidRPr="00A73A4C">
        <w:rPr>
          <w:lang w:val="es-ES_tradnl"/>
        </w:rPr>
        <w:t xml:space="preserve"> un crecimiento más rápido a través de la completa </w:t>
      </w:r>
      <w:r>
        <w:rPr>
          <w:lang w:val="es-ES_tradnl"/>
        </w:rPr>
        <w:t xml:space="preserve">integración con la economía de </w:t>
      </w:r>
      <w:r w:rsidRPr="00A73A4C">
        <w:rPr>
          <w:lang w:val="es-ES_tradnl"/>
        </w:rPr>
        <w:t>Estados Unidos y permitir</w:t>
      </w:r>
      <w:r>
        <w:rPr>
          <w:lang w:val="es-ES_tradnl"/>
        </w:rPr>
        <w:t>ía</w:t>
      </w:r>
      <w:r w:rsidRPr="00A73A4C">
        <w:rPr>
          <w:lang w:val="es-ES_tradnl"/>
        </w:rPr>
        <w:t xml:space="preserve"> a Puerto Rico optimizar su importante crecimiento potencial.</w:t>
      </w:r>
      <w:r>
        <w:rPr>
          <w:lang w:val="es-ES_tradnl"/>
        </w:rPr>
        <w:t xml:space="preserve"> Un c</w:t>
      </w:r>
      <w:r w:rsidRPr="00A73A4C">
        <w:rPr>
          <w:lang w:val="es-ES_tradnl"/>
        </w:rPr>
        <w:t>recimiento económico más rápido bajo la estadidad significar</w:t>
      </w:r>
      <w:r>
        <w:rPr>
          <w:lang w:val="es-ES_tradnl"/>
        </w:rPr>
        <w:t>ía</w:t>
      </w:r>
      <w:r w:rsidRPr="00A73A4C">
        <w:rPr>
          <w:lang w:val="es-ES_tradnl"/>
        </w:rPr>
        <w:t xml:space="preserve"> ingresos más altos para ciudadanos estadounidenses en Puerto Rico, y los ingresos más altos traer</w:t>
      </w:r>
      <w:r>
        <w:rPr>
          <w:lang w:val="es-ES_tradnl"/>
        </w:rPr>
        <w:t>ía</w:t>
      </w:r>
      <w:r w:rsidRPr="00A73A4C">
        <w:rPr>
          <w:lang w:val="es-ES_tradnl"/>
        </w:rPr>
        <w:t xml:space="preserve">n más ingresos contributivos al Tesoro </w:t>
      </w:r>
      <w:r>
        <w:rPr>
          <w:lang w:val="es-ES_tradnl"/>
        </w:rPr>
        <w:t>federal</w:t>
      </w:r>
      <w:r w:rsidRPr="00A73A4C">
        <w:rPr>
          <w:lang w:val="es-ES_tradnl"/>
        </w:rPr>
        <w:t xml:space="preserve"> </w:t>
      </w:r>
      <w:r>
        <w:rPr>
          <w:lang w:val="es-ES_tradnl"/>
        </w:rPr>
        <w:t>(</w:t>
      </w:r>
      <w:r w:rsidRPr="00A73A4C">
        <w:rPr>
          <w:lang w:val="es-ES_tradnl"/>
        </w:rPr>
        <w:t>Hexner, J. Thomas, Glenn Jenkins, 1993).</w:t>
      </w:r>
    </w:p>
    <w:p w:rsidR="005A5E7D" w:rsidRPr="00A73A4C" w:rsidRDefault="005A5E7D" w:rsidP="005A5E7D">
      <w:pPr>
        <w:rPr>
          <w:lang w:val="es-ES_tradnl"/>
        </w:rPr>
      </w:pPr>
      <w:r>
        <w:rPr>
          <w:lang w:val="es-ES_tradnl"/>
        </w:rPr>
        <w:t xml:space="preserve">Abundando sobre el tema de la convergencia, </w:t>
      </w:r>
      <w:r w:rsidRPr="00A73A4C">
        <w:rPr>
          <w:lang w:val="es-ES_tradnl"/>
        </w:rPr>
        <w:t>Hexner y Jenkins usa</w:t>
      </w:r>
      <w:r>
        <w:rPr>
          <w:lang w:val="es-ES_tradnl"/>
        </w:rPr>
        <w:t>ro</w:t>
      </w:r>
      <w:r w:rsidRPr="00A73A4C">
        <w:rPr>
          <w:lang w:val="es-ES_tradnl"/>
        </w:rPr>
        <w:t>n un argumento desarrollado en la tesis doctoral de Fernando Lefort para respaldar la opción de estadidad para Puerto Rico (resumida en Lefort, 1997). Lefort trat</w:t>
      </w:r>
      <w:r>
        <w:rPr>
          <w:lang w:val="es-ES_tradnl"/>
        </w:rPr>
        <w:t>ó</w:t>
      </w:r>
      <w:r w:rsidRPr="00A73A4C">
        <w:rPr>
          <w:lang w:val="es-ES_tradnl"/>
        </w:rPr>
        <w:t xml:space="preserve"> de aplicar la teoría de convergencia (estudiada bajo la disciplina de la teor</w:t>
      </w:r>
      <w:r>
        <w:rPr>
          <w:lang w:val="es-ES_tradnl"/>
        </w:rPr>
        <w:t>ía del desarrollo económico) a</w:t>
      </w:r>
      <w:r w:rsidRPr="00A73A4C">
        <w:rPr>
          <w:lang w:val="es-ES_tradnl"/>
        </w:rPr>
        <w:t>l problema del estatus político de Puerto Rico. “</w:t>
      </w:r>
      <w:r w:rsidRPr="00A73A4C">
        <w:rPr>
          <w:szCs w:val="20"/>
          <w:lang w:val="es-ES_tradnl"/>
        </w:rPr>
        <w:t>Las ideas que dan forma a nuestro estudio sobre el costo del Estado Libre Asociado para Puerto Rico se conoce como teoría de crecimiento convergente. Aplicadas a Puerto Rico, estas ideas ayudan a formular una respuesta a la pregunta sobre cu</w:t>
      </w:r>
      <w:r>
        <w:rPr>
          <w:szCs w:val="20"/>
          <w:lang w:val="es-ES_tradnl"/>
        </w:rPr>
        <w:t>á</w:t>
      </w:r>
      <w:r w:rsidRPr="00A73A4C">
        <w:rPr>
          <w:szCs w:val="20"/>
          <w:lang w:val="es-ES_tradnl"/>
        </w:rPr>
        <w:t>les son los costos de oportunidad del Estado Libre Asociado para Puerto Rico”. Según este autor</w:t>
      </w:r>
      <w:r>
        <w:rPr>
          <w:szCs w:val="20"/>
          <w:lang w:val="es-ES_tradnl"/>
        </w:rPr>
        <w:t>,</w:t>
      </w:r>
      <w:r w:rsidRPr="00A73A4C">
        <w:rPr>
          <w:szCs w:val="20"/>
          <w:lang w:val="es-ES_tradnl"/>
        </w:rPr>
        <w:t xml:space="preserve"> a medida que una economía comienza a converger con otra economía mas rica, inicialmente experimentará altas tasas de crecimiento hasta que va</w:t>
      </w:r>
      <w:r>
        <w:rPr>
          <w:szCs w:val="20"/>
          <w:lang w:val="es-ES_tradnl"/>
        </w:rPr>
        <w:t>y</w:t>
      </w:r>
      <w:r w:rsidRPr="00A73A4C">
        <w:rPr>
          <w:szCs w:val="20"/>
          <w:lang w:val="es-ES_tradnl"/>
        </w:rPr>
        <w:t>a alcanzando a la economía más rica, de ahí en adelante su crecimiento se tornará más lento a medida que continúe disminu</w:t>
      </w:r>
      <w:r>
        <w:rPr>
          <w:szCs w:val="20"/>
          <w:lang w:val="es-ES_tradnl"/>
        </w:rPr>
        <w:t xml:space="preserve">yendo la brecha de ingresos per </w:t>
      </w:r>
      <w:r w:rsidRPr="00A73A4C">
        <w:rPr>
          <w:szCs w:val="20"/>
          <w:lang w:val="es-ES_tradnl"/>
        </w:rPr>
        <w:t>c</w:t>
      </w:r>
      <w:r>
        <w:rPr>
          <w:szCs w:val="20"/>
          <w:lang w:val="es-ES_tradnl"/>
        </w:rPr>
        <w:t>á</w:t>
      </w:r>
      <w:r w:rsidRPr="00A73A4C">
        <w:rPr>
          <w:szCs w:val="20"/>
          <w:lang w:val="es-ES_tradnl"/>
        </w:rPr>
        <w:t>pita con la economía de mayor desarrollo.</w:t>
      </w:r>
    </w:p>
    <w:p w:rsidR="005A5E7D" w:rsidRPr="00265E5D" w:rsidRDefault="005A5E7D" w:rsidP="005A5E7D">
      <w:pPr>
        <w:rPr>
          <w:szCs w:val="20"/>
          <w:lang w:val="es-ES_tradnl"/>
        </w:rPr>
      </w:pPr>
      <w:bookmarkStart w:id="34" w:name="_Toc382585977"/>
      <w:bookmarkStart w:id="35" w:name="_Toc382586750"/>
      <w:bookmarkStart w:id="36" w:name="_Toc382588712"/>
      <w:r w:rsidRPr="00A73A4C">
        <w:rPr>
          <w:szCs w:val="20"/>
          <w:lang w:val="es-ES_tradnl"/>
        </w:rPr>
        <w:t xml:space="preserve">La conclusión principal de este estudio es que la economía de Puerto Rico no </w:t>
      </w:r>
      <w:r>
        <w:rPr>
          <w:szCs w:val="20"/>
          <w:lang w:val="es-ES_tradnl"/>
        </w:rPr>
        <w:t xml:space="preserve">ha </w:t>
      </w:r>
      <w:r w:rsidRPr="00A73A4C">
        <w:rPr>
          <w:szCs w:val="20"/>
          <w:lang w:val="es-ES_tradnl"/>
        </w:rPr>
        <w:t>converg</w:t>
      </w:r>
      <w:r>
        <w:rPr>
          <w:szCs w:val="20"/>
          <w:lang w:val="es-ES_tradnl"/>
        </w:rPr>
        <w:t>ido</w:t>
      </w:r>
      <w:r w:rsidRPr="00A73A4C">
        <w:rPr>
          <w:szCs w:val="20"/>
          <w:lang w:val="es-ES_tradnl"/>
        </w:rPr>
        <w:t xml:space="preserve"> con </w:t>
      </w:r>
      <w:r>
        <w:rPr>
          <w:szCs w:val="20"/>
          <w:lang w:val="es-ES_tradnl"/>
        </w:rPr>
        <w:t xml:space="preserve">el nivel estable de ingreso per </w:t>
      </w:r>
      <w:r w:rsidRPr="00A73A4C">
        <w:rPr>
          <w:szCs w:val="20"/>
          <w:lang w:val="es-ES_tradnl"/>
        </w:rPr>
        <w:t>c</w:t>
      </w:r>
      <w:r>
        <w:rPr>
          <w:szCs w:val="20"/>
          <w:lang w:val="es-ES_tradnl"/>
        </w:rPr>
        <w:t>á</w:t>
      </w:r>
      <w:r w:rsidRPr="00A73A4C">
        <w:rPr>
          <w:szCs w:val="20"/>
          <w:lang w:val="es-ES_tradnl"/>
        </w:rPr>
        <w:t>pita de E</w:t>
      </w:r>
      <w:r>
        <w:rPr>
          <w:szCs w:val="20"/>
          <w:lang w:val="es-ES_tradnl"/>
        </w:rPr>
        <w:t>stados Unidos. A continuación se resumen otros</w:t>
      </w:r>
      <w:r w:rsidRPr="00A73A4C">
        <w:rPr>
          <w:szCs w:val="20"/>
          <w:lang w:val="es-ES_tradnl"/>
        </w:rPr>
        <w:t xml:space="preserve"> tres resultados </w:t>
      </w:r>
      <w:r>
        <w:rPr>
          <w:szCs w:val="20"/>
          <w:lang w:val="es-ES_tradnl"/>
        </w:rPr>
        <w:t>import</w:t>
      </w:r>
      <w:r w:rsidRPr="00A73A4C">
        <w:rPr>
          <w:szCs w:val="20"/>
          <w:lang w:val="es-ES_tradnl"/>
        </w:rPr>
        <w:t>antes</w:t>
      </w:r>
      <w:bookmarkEnd w:id="34"/>
      <w:bookmarkEnd w:id="35"/>
      <w:bookmarkEnd w:id="36"/>
      <w:r>
        <w:rPr>
          <w:szCs w:val="20"/>
          <w:lang w:val="es-ES_tradnl"/>
        </w:rPr>
        <w:t xml:space="preserve">. </w:t>
      </w:r>
      <w:r w:rsidRPr="00A73A4C">
        <w:rPr>
          <w:szCs w:val="20"/>
          <w:lang w:val="es-ES_tradnl"/>
        </w:rPr>
        <w:t>El efecto de integración de la estadidad es, de hecho, una variable vital económica y política</w:t>
      </w:r>
      <w:r>
        <w:rPr>
          <w:szCs w:val="20"/>
          <w:lang w:val="es-ES_tradnl"/>
        </w:rPr>
        <w:t xml:space="preserve"> que</w:t>
      </w:r>
      <w:r w:rsidRPr="00A73A4C">
        <w:rPr>
          <w:szCs w:val="20"/>
          <w:lang w:val="es-ES_tradnl"/>
        </w:rPr>
        <w:t xml:space="preserve"> explica la escasa convergencia de Puerto Rico con </w:t>
      </w:r>
      <w:r>
        <w:rPr>
          <w:szCs w:val="20"/>
          <w:lang w:val="es-ES_tradnl"/>
        </w:rPr>
        <w:t>Estados Unidos</w:t>
      </w:r>
      <w:r w:rsidRPr="00A73A4C">
        <w:rPr>
          <w:szCs w:val="20"/>
          <w:lang w:val="es-ES_tradnl"/>
        </w:rPr>
        <w:t xml:space="preserve">. </w:t>
      </w:r>
      <w:r w:rsidRPr="00265E5D">
        <w:rPr>
          <w:szCs w:val="20"/>
          <w:lang w:val="es-ES_tradnl"/>
        </w:rPr>
        <w:t xml:space="preserve">El costo del </w:t>
      </w:r>
      <w:r>
        <w:rPr>
          <w:szCs w:val="20"/>
          <w:lang w:val="es-ES_tradnl"/>
        </w:rPr>
        <w:t>ELA es enorme. S</w:t>
      </w:r>
      <w:r w:rsidRPr="00A73A4C">
        <w:rPr>
          <w:szCs w:val="20"/>
          <w:lang w:val="es-ES_tradnl"/>
        </w:rPr>
        <w:t>i Puerto Rico hubiese convergid</w:t>
      </w:r>
      <w:r>
        <w:rPr>
          <w:szCs w:val="20"/>
          <w:lang w:val="es-ES_tradnl"/>
        </w:rPr>
        <w:t>o con el nivel de ingreso per cápita del estado de Mis</w:t>
      </w:r>
      <w:r w:rsidRPr="00A73A4C">
        <w:rPr>
          <w:szCs w:val="20"/>
          <w:lang w:val="es-ES_tradnl"/>
        </w:rPr>
        <w:t xml:space="preserve">isipi (el </w:t>
      </w:r>
      <w:r>
        <w:rPr>
          <w:szCs w:val="20"/>
          <w:lang w:val="es-ES_tradnl"/>
        </w:rPr>
        <w:t>estado más pobre)</w:t>
      </w:r>
      <w:r w:rsidRPr="00265E5D">
        <w:rPr>
          <w:szCs w:val="20"/>
          <w:lang w:val="es-ES_tradnl"/>
        </w:rPr>
        <w:t xml:space="preserve"> </w:t>
      </w:r>
      <w:r>
        <w:rPr>
          <w:szCs w:val="20"/>
          <w:lang w:val="es-ES_tradnl"/>
        </w:rPr>
        <w:t xml:space="preserve">para </w:t>
      </w:r>
      <w:r w:rsidRPr="00265E5D">
        <w:rPr>
          <w:szCs w:val="20"/>
          <w:lang w:val="es-ES_tradnl"/>
        </w:rPr>
        <w:t>1994</w:t>
      </w:r>
      <w:r>
        <w:rPr>
          <w:szCs w:val="20"/>
          <w:lang w:val="es-ES_tradnl"/>
        </w:rPr>
        <w:t xml:space="preserve">, </w:t>
      </w:r>
      <w:r w:rsidRPr="00265E5D">
        <w:rPr>
          <w:szCs w:val="20"/>
          <w:lang w:val="es-ES_tradnl"/>
        </w:rPr>
        <w:t>el puertorriqueño promedio estaría recib</w:t>
      </w:r>
      <w:r>
        <w:rPr>
          <w:szCs w:val="20"/>
          <w:lang w:val="es-ES_tradnl"/>
        </w:rPr>
        <w:t>iendo $6,000 al año en ingresos.</w:t>
      </w:r>
      <w:r w:rsidRPr="00265E5D">
        <w:rPr>
          <w:szCs w:val="20"/>
          <w:lang w:val="es-ES_tradnl"/>
        </w:rPr>
        <w:t xml:space="preserve"> Sin la estadidad, Puerto Rico nunca evolucionará económicamente lo suficiente como para conv</w:t>
      </w:r>
      <w:r>
        <w:rPr>
          <w:szCs w:val="20"/>
          <w:lang w:val="es-ES_tradnl"/>
        </w:rPr>
        <w:t xml:space="preserve">erger con la economía de </w:t>
      </w:r>
      <w:r w:rsidRPr="00A73A4C">
        <w:rPr>
          <w:szCs w:val="20"/>
          <w:lang w:val="es-ES_tradnl"/>
        </w:rPr>
        <w:t>E</w:t>
      </w:r>
      <w:r>
        <w:rPr>
          <w:szCs w:val="20"/>
          <w:lang w:val="es-ES_tradnl"/>
        </w:rPr>
        <w:t xml:space="preserve">stados Unidos continental. </w:t>
      </w:r>
      <w:r w:rsidRPr="00265E5D">
        <w:rPr>
          <w:szCs w:val="20"/>
          <w:lang w:val="es-ES_tradnl"/>
        </w:rPr>
        <w:t>Por la escasa conve</w:t>
      </w:r>
      <w:r>
        <w:rPr>
          <w:szCs w:val="20"/>
          <w:lang w:val="es-ES_tradnl"/>
        </w:rPr>
        <w:t>rgencia económica, la estadidad</w:t>
      </w:r>
      <w:r w:rsidRPr="00265E5D">
        <w:rPr>
          <w:szCs w:val="20"/>
          <w:lang w:val="es-ES_tradnl"/>
        </w:rPr>
        <w:t xml:space="preserve"> representa </w:t>
      </w:r>
      <w:r w:rsidRPr="008B456C">
        <w:t>—</w:t>
      </w:r>
      <w:r>
        <w:t xml:space="preserve">desde el punto de vista </w:t>
      </w:r>
      <w:r w:rsidRPr="00265E5D">
        <w:rPr>
          <w:szCs w:val="20"/>
          <w:lang w:val="es-ES_tradnl"/>
        </w:rPr>
        <w:t>económic</w:t>
      </w:r>
      <w:r>
        <w:rPr>
          <w:szCs w:val="20"/>
          <w:lang w:val="es-ES_tradnl"/>
        </w:rPr>
        <w:t>o</w:t>
      </w:r>
      <w:r w:rsidRPr="008B456C">
        <w:t>—</w:t>
      </w:r>
      <w:r w:rsidRPr="00265E5D">
        <w:rPr>
          <w:szCs w:val="20"/>
          <w:lang w:val="es-ES_tradnl"/>
        </w:rPr>
        <w:t xml:space="preserve"> una encrucijada entre nadar para salir a flote o hundirse.</w:t>
      </w:r>
      <w:r>
        <w:rPr>
          <w:szCs w:val="20"/>
          <w:lang w:val="es-ES_tradnl"/>
        </w:rPr>
        <w:t xml:space="preserve"> </w:t>
      </w:r>
    </w:p>
    <w:p w:rsidR="005A5E7D" w:rsidRPr="00A73A4C" w:rsidRDefault="005A5E7D" w:rsidP="005A5E7D">
      <w:pPr>
        <w:rPr>
          <w:szCs w:val="20"/>
          <w:lang w:val="es-ES_tradnl"/>
        </w:rPr>
      </w:pPr>
      <w:r w:rsidRPr="00A73A4C">
        <w:rPr>
          <w:szCs w:val="20"/>
          <w:lang w:val="es-ES_tradnl"/>
        </w:rPr>
        <w:t xml:space="preserve">Pero </w:t>
      </w:r>
      <w:r>
        <w:rPr>
          <w:szCs w:val="20"/>
          <w:lang w:val="es-ES_tradnl"/>
        </w:rPr>
        <w:t>al final del día la pregunta es</w:t>
      </w:r>
      <w:r w:rsidRPr="00A73A4C">
        <w:rPr>
          <w:szCs w:val="20"/>
          <w:lang w:val="es-ES_tradnl"/>
        </w:rPr>
        <w:t xml:space="preserve"> y siempre ha sido: ¿Cuál será el costo de la estadidad? Mi análisis concluye que la p</w:t>
      </w:r>
      <w:r>
        <w:rPr>
          <w:szCs w:val="20"/>
          <w:lang w:val="es-ES_tradnl"/>
        </w:rPr>
        <w:t>regunta a hacerse debe ser: ¿Cuá</w:t>
      </w:r>
      <w:r w:rsidRPr="00A73A4C">
        <w:rPr>
          <w:szCs w:val="20"/>
          <w:lang w:val="es-ES_tradnl"/>
        </w:rPr>
        <w:t xml:space="preserve">nto ha sido el costo del Estado Libre Asociado? </w:t>
      </w:r>
    </w:p>
    <w:p w:rsidR="005A5E7D" w:rsidRPr="00A73A4C" w:rsidRDefault="005A5E7D" w:rsidP="005A5E7D">
      <w:pPr>
        <w:rPr>
          <w:b/>
          <w:lang w:val="es-ES_tradnl"/>
        </w:rPr>
      </w:pPr>
      <w:r>
        <w:rPr>
          <w:szCs w:val="20"/>
          <w:lang w:val="es-ES_tradnl"/>
        </w:rPr>
        <w:t>La teoría de la convergencia</w:t>
      </w:r>
      <w:r w:rsidRPr="00A73A4C">
        <w:rPr>
          <w:szCs w:val="20"/>
          <w:lang w:val="es-ES_tradnl"/>
        </w:rPr>
        <w:t xml:space="preserve"> </w:t>
      </w:r>
      <w:r w:rsidRPr="008B456C">
        <w:t>—</w:t>
      </w:r>
      <w:r w:rsidRPr="00A73A4C">
        <w:rPr>
          <w:szCs w:val="20"/>
          <w:lang w:val="es-ES_tradnl"/>
        </w:rPr>
        <w:t xml:space="preserve">en el que </w:t>
      </w:r>
      <w:r>
        <w:rPr>
          <w:szCs w:val="20"/>
          <w:lang w:val="es-ES_tradnl"/>
        </w:rPr>
        <w:t xml:space="preserve">se </w:t>
      </w:r>
      <w:r w:rsidRPr="00A73A4C">
        <w:rPr>
          <w:szCs w:val="20"/>
          <w:lang w:val="es-ES_tradnl"/>
        </w:rPr>
        <w:t>basa</w:t>
      </w:r>
      <w:r>
        <w:rPr>
          <w:szCs w:val="20"/>
          <w:lang w:val="es-ES_tradnl"/>
        </w:rPr>
        <w:t xml:space="preserve"> </w:t>
      </w:r>
      <w:r w:rsidRPr="00A73A4C">
        <w:rPr>
          <w:szCs w:val="20"/>
          <w:lang w:val="es-ES_tradnl"/>
        </w:rPr>
        <w:t>este desafío a</w:t>
      </w:r>
      <w:r>
        <w:rPr>
          <w:szCs w:val="20"/>
          <w:lang w:val="es-ES_tradnl"/>
        </w:rPr>
        <w:t>l conocimiento convencional</w:t>
      </w:r>
      <w:r w:rsidRPr="008B456C">
        <w:t>—</w:t>
      </w:r>
      <w:r w:rsidRPr="00A73A4C">
        <w:rPr>
          <w:szCs w:val="20"/>
          <w:lang w:val="es-ES_tradnl"/>
        </w:rPr>
        <w:t xml:space="preserve"> predice que las entidades integradas (o economías con características compatibles) tienden a converger más rápido al principio y luego a una tasa más lenta, a medida que se acerca al objetivo.</w:t>
      </w:r>
    </w:p>
    <w:p w:rsidR="005A5E7D" w:rsidRPr="00A73A4C" w:rsidRDefault="005A5E7D" w:rsidP="005A5E7D">
      <w:pPr>
        <w:rPr>
          <w:szCs w:val="20"/>
          <w:lang w:val="es-ES_tradnl"/>
        </w:rPr>
      </w:pPr>
      <w:r w:rsidRPr="00A73A4C">
        <w:rPr>
          <w:lang w:val="es-ES_tradnl"/>
        </w:rPr>
        <w:t xml:space="preserve">Por </w:t>
      </w:r>
      <w:r>
        <w:rPr>
          <w:lang w:val="es-ES_tradnl"/>
        </w:rPr>
        <w:t>ú</w:t>
      </w:r>
      <w:r w:rsidRPr="00A73A4C">
        <w:rPr>
          <w:lang w:val="es-ES_tradnl"/>
        </w:rPr>
        <w:t>ltimo</w:t>
      </w:r>
      <w:r>
        <w:rPr>
          <w:lang w:val="es-ES_tradnl"/>
        </w:rPr>
        <w:t xml:space="preserve">, </w:t>
      </w:r>
      <w:r w:rsidRPr="00A73A4C">
        <w:rPr>
          <w:lang w:val="es-ES_tradnl"/>
        </w:rPr>
        <w:t xml:space="preserve">un estudio encomendado por el Partido </w:t>
      </w:r>
      <w:r>
        <w:rPr>
          <w:lang w:val="es-ES_tradnl"/>
        </w:rPr>
        <w:t>N</w:t>
      </w:r>
      <w:r w:rsidRPr="00A73A4C">
        <w:rPr>
          <w:lang w:val="es-ES_tradnl"/>
        </w:rPr>
        <w:t xml:space="preserve">uevo Progresista (McKee, 1990) </w:t>
      </w:r>
      <w:r>
        <w:rPr>
          <w:lang w:val="es-ES_tradnl"/>
        </w:rPr>
        <w:t xml:space="preserve">planteó </w:t>
      </w:r>
      <w:r w:rsidRPr="00A73A4C">
        <w:rPr>
          <w:lang w:val="es-ES_tradnl"/>
        </w:rPr>
        <w:t>“</w:t>
      </w:r>
      <w:r w:rsidRPr="00A73A4C">
        <w:rPr>
          <w:szCs w:val="20"/>
          <w:lang w:val="es-ES_tradnl"/>
        </w:rPr>
        <w:t>las consecuencias de tres supuestos muy conservadores sobre el desarrollo económico del nuevo estado</w:t>
      </w:r>
      <w:r>
        <w:rPr>
          <w:szCs w:val="20"/>
          <w:lang w:val="es-ES_tradnl"/>
        </w:rPr>
        <w:t>”</w:t>
      </w:r>
      <w:r w:rsidRPr="00A73A4C">
        <w:rPr>
          <w:szCs w:val="20"/>
          <w:lang w:val="es-ES_tradnl"/>
        </w:rPr>
        <w:t>: (1) que s</w:t>
      </w:r>
      <w:r>
        <w:rPr>
          <w:szCs w:val="20"/>
          <w:lang w:val="es-ES_tradnl"/>
        </w:rPr>
        <w:t>o</w:t>
      </w:r>
      <w:r w:rsidRPr="00A73A4C">
        <w:rPr>
          <w:szCs w:val="20"/>
          <w:lang w:val="es-ES_tradnl"/>
        </w:rPr>
        <w:t>lo se obt</w:t>
      </w:r>
      <w:r>
        <w:rPr>
          <w:szCs w:val="20"/>
          <w:lang w:val="es-ES_tradnl"/>
        </w:rPr>
        <w:t>endría</w:t>
      </w:r>
      <w:r w:rsidRPr="00A73A4C">
        <w:rPr>
          <w:szCs w:val="20"/>
          <w:lang w:val="es-ES_tradnl"/>
        </w:rPr>
        <w:t xml:space="preserve"> el 25</w:t>
      </w:r>
      <w:r>
        <w:rPr>
          <w:szCs w:val="20"/>
          <w:lang w:val="es-ES_tradnl"/>
        </w:rPr>
        <w:t>%</w:t>
      </w:r>
      <w:r w:rsidRPr="00A73A4C">
        <w:rPr>
          <w:szCs w:val="20"/>
          <w:lang w:val="es-ES_tradnl"/>
        </w:rPr>
        <w:t xml:space="preserve"> del promedio per</w:t>
      </w:r>
      <w:r>
        <w:rPr>
          <w:szCs w:val="20"/>
          <w:lang w:val="es-ES_tradnl"/>
        </w:rPr>
        <w:t xml:space="preserve"> cá</w:t>
      </w:r>
      <w:r w:rsidRPr="00A73A4C">
        <w:rPr>
          <w:szCs w:val="20"/>
          <w:lang w:val="es-ES_tradnl"/>
        </w:rPr>
        <w:t>pita</w:t>
      </w:r>
      <w:r>
        <w:rPr>
          <w:szCs w:val="20"/>
          <w:lang w:val="es-ES_tradnl"/>
        </w:rPr>
        <w:t xml:space="preserve"> </w:t>
      </w:r>
      <w:r w:rsidRPr="00A73A4C">
        <w:rPr>
          <w:szCs w:val="20"/>
          <w:lang w:val="es-ES_tradnl"/>
        </w:rPr>
        <w:t>de inversión extranjera directa</w:t>
      </w:r>
      <w:r>
        <w:rPr>
          <w:szCs w:val="20"/>
          <w:lang w:val="es-ES_tradnl"/>
        </w:rPr>
        <w:t xml:space="preserve"> </w:t>
      </w:r>
      <w:r w:rsidRPr="00A73A4C">
        <w:rPr>
          <w:szCs w:val="20"/>
          <w:lang w:val="es-ES_tradnl"/>
        </w:rPr>
        <w:t>que se ha</w:t>
      </w:r>
      <w:r>
        <w:rPr>
          <w:szCs w:val="20"/>
          <w:lang w:val="es-ES_tradnl"/>
        </w:rPr>
        <w:t>ya</w:t>
      </w:r>
      <w:r w:rsidRPr="00A73A4C">
        <w:rPr>
          <w:szCs w:val="20"/>
          <w:lang w:val="es-ES_tradnl"/>
        </w:rPr>
        <w:t xml:space="preserve"> producido</w:t>
      </w:r>
      <w:r>
        <w:rPr>
          <w:szCs w:val="20"/>
          <w:lang w:val="es-ES_tradnl"/>
        </w:rPr>
        <w:t xml:space="preserve"> </w:t>
      </w:r>
      <w:r w:rsidRPr="00A73A4C">
        <w:rPr>
          <w:szCs w:val="20"/>
          <w:lang w:val="es-ES_tradnl"/>
        </w:rPr>
        <w:t>recientemente en los estados continentales, (2</w:t>
      </w:r>
      <w:r>
        <w:rPr>
          <w:szCs w:val="20"/>
          <w:lang w:val="es-ES_tradnl"/>
        </w:rPr>
        <w:t>)</w:t>
      </w:r>
      <w:r w:rsidRPr="00A73A4C">
        <w:rPr>
          <w:szCs w:val="20"/>
          <w:lang w:val="es-ES_tradnl"/>
        </w:rPr>
        <w:t xml:space="preserve"> que las ganancias de la industria del turismo bajo estadidad suma</w:t>
      </w:r>
      <w:r>
        <w:rPr>
          <w:szCs w:val="20"/>
          <w:lang w:val="es-ES_tradnl"/>
        </w:rPr>
        <w:t>rían</w:t>
      </w:r>
      <w:r w:rsidRPr="00A73A4C">
        <w:rPr>
          <w:szCs w:val="20"/>
          <w:lang w:val="es-ES_tradnl"/>
        </w:rPr>
        <w:t xml:space="preserve"> s</w:t>
      </w:r>
      <w:r>
        <w:rPr>
          <w:szCs w:val="20"/>
          <w:lang w:val="es-ES_tradnl"/>
        </w:rPr>
        <w:t>o</w:t>
      </w:r>
      <w:r w:rsidRPr="00A73A4C">
        <w:rPr>
          <w:szCs w:val="20"/>
          <w:lang w:val="es-ES_tradnl"/>
        </w:rPr>
        <w:t>lo el 25</w:t>
      </w:r>
      <w:r>
        <w:rPr>
          <w:szCs w:val="20"/>
          <w:lang w:val="es-ES_tradnl"/>
        </w:rPr>
        <w:t>%</w:t>
      </w:r>
      <w:r w:rsidRPr="00A73A4C">
        <w:rPr>
          <w:szCs w:val="20"/>
          <w:lang w:val="es-ES_tradnl"/>
        </w:rPr>
        <w:t xml:space="preserve"> </w:t>
      </w:r>
      <w:r>
        <w:rPr>
          <w:szCs w:val="20"/>
          <w:lang w:val="es-ES_tradnl"/>
        </w:rPr>
        <w:t>del auge experimentado por Hawái</w:t>
      </w:r>
      <w:r w:rsidRPr="00A73A4C">
        <w:rPr>
          <w:szCs w:val="20"/>
          <w:lang w:val="es-ES_tradnl"/>
        </w:rPr>
        <w:t xml:space="preserve"> después de </w:t>
      </w:r>
      <w:r>
        <w:rPr>
          <w:szCs w:val="20"/>
          <w:lang w:val="es-ES_tradnl"/>
        </w:rPr>
        <w:t>convertirse en</w:t>
      </w:r>
      <w:r w:rsidRPr="00A73A4C">
        <w:rPr>
          <w:szCs w:val="20"/>
          <w:lang w:val="es-ES_tradnl"/>
        </w:rPr>
        <w:t xml:space="preserve"> </w:t>
      </w:r>
      <w:r>
        <w:rPr>
          <w:szCs w:val="20"/>
          <w:lang w:val="es-ES_tradnl"/>
        </w:rPr>
        <w:t>estado</w:t>
      </w:r>
      <w:r w:rsidRPr="00A73A4C">
        <w:rPr>
          <w:szCs w:val="20"/>
          <w:lang w:val="es-ES_tradnl"/>
        </w:rPr>
        <w:t xml:space="preserve"> y (3) que, en términos de la contratación federal y el empleo, aumenta</w:t>
      </w:r>
      <w:r>
        <w:rPr>
          <w:szCs w:val="20"/>
          <w:lang w:val="es-ES_tradnl"/>
        </w:rPr>
        <w:t>ría</w:t>
      </w:r>
      <w:r w:rsidRPr="00A73A4C">
        <w:rPr>
          <w:szCs w:val="20"/>
          <w:lang w:val="es-ES_tradnl"/>
        </w:rPr>
        <w:t xml:space="preserve">n </w:t>
      </w:r>
      <w:r>
        <w:rPr>
          <w:szCs w:val="20"/>
          <w:lang w:val="es-ES_tradnl"/>
        </w:rPr>
        <w:t>“</w:t>
      </w:r>
      <w:r w:rsidRPr="00A73A4C">
        <w:rPr>
          <w:szCs w:val="20"/>
          <w:lang w:val="es-ES_tradnl"/>
        </w:rPr>
        <w:t>hasta la parte inferior de la lista de estados</w:t>
      </w:r>
      <w:r>
        <w:rPr>
          <w:szCs w:val="20"/>
          <w:lang w:val="es-ES_tradnl"/>
        </w:rPr>
        <w:t>”</w:t>
      </w:r>
      <w:r w:rsidRPr="00A73A4C">
        <w:rPr>
          <w:szCs w:val="20"/>
          <w:lang w:val="es-ES_tradnl"/>
        </w:rPr>
        <w:t xml:space="preserve">. </w:t>
      </w:r>
    </w:p>
    <w:p w:rsidR="005A5E7D" w:rsidRDefault="005A5E7D" w:rsidP="005A5E7D">
      <w:pPr>
        <w:rPr>
          <w:szCs w:val="20"/>
          <w:lang w:val="es-ES_tradnl"/>
        </w:rPr>
      </w:pPr>
      <w:r>
        <w:rPr>
          <w:szCs w:val="20"/>
          <w:lang w:val="es-ES_tradnl"/>
        </w:rPr>
        <w:t xml:space="preserve">Estos tres supuestos solos </w:t>
      </w:r>
      <w:r w:rsidRPr="008B456C">
        <w:t>—</w:t>
      </w:r>
      <w:r>
        <w:rPr>
          <w:szCs w:val="20"/>
          <w:lang w:val="es-ES_tradnl"/>
        </w:rPr>
        <w:t>sin el “</w:t>
      </w:r>
      <w:r w:rsidRPr="00A73A4C">
        <w:rPr>
          <w:szCs w:val="20"/>
          <w:lang w:val="es-ES_tradnl"/>
        </w:rPr>
        <w:t>milagro</w:t>
      </w:r>
      <w:r>
        <w:rPr>
          <w:szCs w:val="20"/>
          <w:lang w:val="es-ES_tradnl"/>
        </w:rPr>
        <w:t xml:space="preserve"> turismo”</w:t>
      </w:r>
      <w:r>
        <w:t>,</w:t>
      </w:r>
      <w:r w:rsidRPr="00A73A4C">
        <w:rPr>
          <w:szCs w:val="20"/>
          <w:lang w:val="es-ES_tradnl"/>
        </w:rPr>
        <w:t xml:space="preserve"> </w:t>
      </w:r>
      <w:r>
        <w:rPr>
          <w:szCs w:val="20"/>
          <w:lang w:val="es-ES_tradnl"/>
        </w:rPr>
        <w:t>sin</w:t>
      </w:r>
      <w:r w:rsidRPr="00A73A4C">
        <w:rPr>
          <w:szCs w:val="20"/>
          <w:lang w:val="es-ES_tradnl"/>
        </w:rPr>
        <w:t xml:space="preserve"> nuevas industrias</w:t>
      </w:r>
      <w:r>
        <w:rPr>
          <w:szCs w:val="20"/>
          <w:lang w:val="es-ES_tradnl"/>
        </w:rPr>
        <w:t>,</w:t>
      </w:r>
      <w:r w:rsidRPr="00A73A4C">
        <w:rPr>
          <w:szCs w:val="20"/>
          <w:lang w:val="es-ES_tradnl"/>
        </w:rPr>
        <w:t xml:space="preserve"> sin la rápida expansión del sector de servicios fuera del turismo</w:t>
      </w:r>
      <w:r>
        <w:rPr>
          <w:szCs w:val="20"/>
          <w:lang w:val="es-ES_tradnl"/>
        </w:rPr>
        <w:t>,</w:t>
      </w:r>
      <w:r w:rsidRPr="00A73A4C">
        <w:rPr>
          <w:szCs w:val="20"/>
          <w:lang w:val="es-ES_tradnl"/>
        </w:rPr>
        <w:t xml:space="preserve"> </w:t>
      </w:r>
      <w:r>
        <w:rPr>
          <w:szCs w:val="20"/>
          <w:lang w:val="es-ES_tradnl"/>
        </w:rPr>
        <w:t>sin</w:t>
      </w:r>
      <w:r w:rsidRPr="00A73A4C">
        <w:rPr>
          <w:szCs w:val="20"/>
          <w:lang w:val="es-ES_tradnl"/>
        </w:rPr>
        <w:t xml:space="preserve"> compensación de re</w:t>
      </w:r>
      <w:r>
        <w:rPr>
          <w:szCs w:val="20"/>
          <w:lang w:val="es-ES_tradnl"/>
        </w:rPr>
        <w:t>ndimient</w:t>
      </w:r>
      <w:r w:rsidRPr="00A73A4C">
        <w:rPr>
          <w:szCs w:val="20"/>
          <w:lang w:val="es-ES_tradnl"/>
        </w:rPr>
        <w:t xml:space="preserve">o de la inversión del continente o </w:t>
      </w:r>
      <w:r>
        <w:rPr>
          <w:szCs w:val="20"/>
          <w:lang w:val="es-ES_tradnl"/>
        </w:rPr>
        <w:t xml:space="preserve">la </w:t>
      </w:r>
      <w:r w:rsidRPr="00A73A4C">
        <w:rPr>
          <w:szCs w:val="20"/>
          <w:lang w:val="es-ES_tradnl"/>
        </w:rPr>
        <w:t>decisión sorpresa de las empresas 936 a invertir más que lo que estim</w:t>
      </w:r>
      <w:r>
        <w:rPr>
          <w:szCs w:val="20"/>
          <w:lang w:val="es-ES_tradnl"/>
        </w:rPr>
        <w:t>ó la CBO</w:t>
      </w:r>
      <w:r w:rsidRPr="008B456C">
        <w:t>—</w:t>
      </w:r>
      <w:r>
        <w:rPr>
          <w:szCs w:val="20"/>
          <w:lang w:val="es-ES_tradnl"/>
        </w:rPr>
        <w:t xml:space="preserve"> </w:t>
      </w:r>
      <w:r w:rsidRPr="00A73A4C">
        <w:rPr>
          <w:szCs w:val="20"/>
          <w:lang w:val="es-ES_tradnl"/>
        </w:rPr>
        <w:t>son suficientes para más que compensar la mayor parte de los efectos negativos calculados por la CBO</w:t>
      </w:r>
      <w:r>
        <w:rPr>
          <w:szCs w:val="20"/>
          <w:lang w:val="es-ES_tradnl"/>
        </w:rPr>
        <w:t>.</w:t>
      </w:r>
      <w:r w:rsidRPr="00A73A4C">
        <w:rPr>
          <w:szCs w:val="20"/>
          <w:lang w:val="es-ES_tradnl"/>
        </w:rPr>
        <w:t xml:space="preserve"> Incluso en el peor caso de</w:t>
      </w:r>
      <w:r>
        <w:rPr>
          <w:szCs w:val="20"/>
          <w:lang w:val="es-ES_tradnl"/>
        </w:rPr>
        <w:t xml:space="preserve"> </w:t>
      </w:r>
      <w:r w:rsidRPr="00A73A4C">
        <w:rPr>
          <w:szCs w:val="20"/>
          <w:lang w:val="es-ES_tradnl"/>
        </w:rPr>
        <w:t xml:space="preserve">la estadidad </w:t>
      </w:r>
      <w:r>
        <w:rPr>
          <w:szCs w:val="20"/>
          <w:lang w:val="es-ES_tradnl"/>
        </w:rPr>
        <w:t>para la CBO</w:t>
      </w:r>
      <w:r w:rsidRPr="00A73A4C">
        <w:rPr>
          <w:szCs w:val="20"/>
          <w:lang w:val="es-ES_tradnl"/>
        </w:rPr>
        <w:t xml:space="preserve"> (al menos en comparación con el ELA</w:t>
      </w:r>
      <w:r>
        <w:rPr>
          <w:szCs w:val="20"/>
          <w:lang w:val="es-ES_tradnl"/>
        </w:rPr>
        <w:t>),</w:t>
      </w:r>
      <w:r w:rsidRPr="00A73A4C">
        <w:rPr>
          <w:szCs w:val="20"/>
          <w:lang w:val="es-ES_tradnl"/>
        </w:rPr>
        <w:t xml:space="preserve"> estos supuestos conservadores conforman todos los puestos de trabajo perdidos y más de la mitad de la diferencia de ingresos</w:t>
      </w:r>
      <w:r>
        <w:rPr>
          <w:szCs w:val="20"/>
          <w:lang w:val="es-ES_tradnl"/>
        </w:rPr>
        <w:t>.</w:t>
      </w:r>
    </w:p>
    <w:p w:rsidR="005A5E7D" w:rsidRDefault="005A5E7D" w:rsidP="005A5E7D">
      <w:pPr>
        <w:rPr>
          <w:szCs w:val="20"/>
          <w:lang w:val="es-ES_tradnl"/>
        </w:rPr>
      </w:pPr>
      <w:r>
        <w:rPr>
          <w:szCs w:val="20"/>
          <w:lang w:val="es-ES_tradnl"/>
        </w:rPr>
        <w:t>Las razones</w:t>
      </w:r>
      <w:r w:rsidRPr="00A73A4C">
        <w:rPr>
          <w:szCs w:val="20"/>
          <w:lang w:val="es-ES_tradnl"/>
        </w:rPr>
        <w:t xml:space="preserve"> </w:t>
      </w:r>
      <w:r w:rsidRPr="008B456C">
        <w:t>—</w:t>
      </w:r>
      <w:r w:rsidRPr="00A73A4C">
        <w:rPr>
          <w:szCs w:val="20"/>
          <w:lang w:val="es-ES_tradnl"/>
        </w:rPr>
        <w:t>incluso</w:t>
      </w:r>
      <w:r>
        <w:rPr>
          <w:szCs w:val="20"/>
          <w:lang w:val="es-ES_tradnl"/>
        </w:rPr>
        <w:t xml:space="preserve"> </w:t>
      </w:r>
      <w:r w:rsidRPr="00A73A4C">
        <w:rPr>
          <w:szCs w:val="20"/>
          <w:lang w:val="es-ES_tradnl"/>
        </w:rPr>
        <w:t>las suposiciones conservadoras sobre los beneficios de la estadidad, que conducen a</w:t>
      </w:r>
      <w:r>
        <w:rPr>
          <w:szCs w:val="20"/>
          <w:lang w:val="es-ES_tradnl"/>
        </w:rPr>
        <w:t xml:space="preserve"> </w:t>
      </w:r>
      <w:r w:rsidRPr="00A73A4C">
        <w:rPr>
          <w:szCs w:val="20"/>
          <w:lang w:val="es-ES_tradnl"/>
        </w:rPr>
        <w:t>mejores resultados en comparación con el ELA</w:t>
      </w:r>
      <w:r w:rsidRPr="008B456C">
        <w:t>—</w:t>
      </w:r>
      <w:r w:rsidRPr="00A73A4C">
        <w:rPr>
          <w:szCs w:val="20"/>
          <w:lang w:val="es-ES_tradnl"/>
        </w:rPr>
        <w:t xml:space="preserve">son de dos tipos. En primer lugar, </w:t>
      </w:r>
      <w:r>
        <w:rPr>
          <w:szCs w:val="20"/>
          <w:lang w:val="es-ES_tradnl"/>
        </w:rPr>
        <w:t xml:space="preserve">como </w:t>
      </w:r>
      <w:r w:rsidRPr="00A73A4C">
        <w:rPr>
          <w:szCs w:val="20"/>
          <w:lang w:val="es-ES_tradnl"/>
        </w:rPr>
        <w:t>Puerto Rico tiene una economía</w:t>
      </w:r>
      <w:r>
        <w:rPr>
          <w:szCs w:val="20"/>
          <w:lang w:val="es-ES_tradnl"/>
        </w:rPr>
        <w:t xml:space="preserve"> de tamaño reducido,</w:t>
      </w:r>
      <w:r w:rsidRPr="00A73A4C">
        <w:rPr>
          <w:szCs w:val="20"/>
          <w:lang w:val="es-ES_tradnl"/>
        </w:rPr>
        <w:t xml:space="preserve"> los cambios </w:t>
      </w:r>
      <w:r>
        <w:rPr>
          <w:szCs w:val="20"/>
          <w:lang w:val="es-ES_tradnl"/>
        </w:rPr>
        <w:t xml:space="preserve">se visualizan como pequeños </w:t>
      </w:r>
      <w:r w:rsidRPr="00A73A4C">
        <w:rPr>
          <w:szCs w:val="20"/>
          <w:lang w:val="es-ES_tradnl"/>
        </w:rPr>
        <w:t>para los estándares continental</w:t>
      </w:r>
      <w:r>
        <w:rPr>
          <w:szCs w:val="20"/>
          <w:lang w:val="es-ES_tradnl"/>
        </w:rPr>
        <w:t>es pero</w:t>
      </w:r>
      <w:r w:rsidRPr="00A73A4C">
        <w:rPr>
          <w:szCs w:val="20"/>
          <w:lang w:val="es-ES_tradnl"/>
        </w:rPr>
        <w:t xml:space="preserve"> pueden tener impactos considerables en la </w:t>
      </w:r>
      <w:r>
        <w:rPr>
          <w:szCs w:val="20"/>
          <w:lang w:val="es-ES_tradnl"/>
        </w:rPr>
        <w:t>I</w:t>
      </w:r>
      <w:r w:rsidRPr="00A73A4C">
        <w:rPr>
          <w:szCs w:val="20"/>
          <w:lang w:val="es-ES_tradnl"/>
        </w:rPr>
        <w:t xml:space="preserve">sla. En segundo lugar, </w:t>
      </w:r>
      <w:r>
        <w:rPr>
          <w:szCs w:val="20"/>
          <w:lang w:val="es-ES_tradnl"/>
        </w:rPr>
        <w:t>“</w:t>
      </w:r>
      <w:r w:rsidRPr="00A73A4C">
        <w:rPr>
          <w:szCs w:val="20"/>
          <w:lang w:val="es-ES_tradnl"/>
        </w:rPr>
        <w:t>como hemos demostrado</w:t>
      </w:r>
      <w:r>
        <w:rPr>
          <w:szCs w:val="20"/>
          <w:lang w:val="es-ES_tradnl"/>
        </w:rPr>
        <w:t>,</w:t>
      </w:r>
      <w:r w:rsidRPr="00A73A4C">
        <w:rPr>
          <w:szCs w:val="20"/>
          <w:lang w:val="es-ES_tradnl"/>
        </w:rPr>
        <w:t xml:space="preserve"> los beneficios de </w:t>
      </w:r>
      <w:r>
        <w:rPr>
          <w:szCs w:val="20"/>
          <w:lang w:val="es-ES_tradnl"/>
        </w:rPr>
        <w:t xml:space="preserve">la Sección </w:t>
      </w:r>
      <w:r w:rsidRPr="00A73A4C">
        <w:rPr>
          <w:szCs w:val="20"/>
          <w:lang w:val="es-ES_tradnl"/>
        </w:rPr>
        <w:t>936 no son simplemente t</w:t>
      </w:r>
      <w:r>
        <w:rPr>
          <w:szCs w:val="20"/>
          <w:lang w:val="es-ES_tradnl"/>
        </w:rPr>
        <w:t xml:space="preserve">an </w:t>
      </w:r>
      <w:r w:rsidRPr="00A73A4C">
        <w:rPr>
          <w:szCs w:val="20"/>
          <w:lang w:val="es-ES_tradnl"/>
        </w:rPr>
        <w:t>grande</w:t>
      </w:r>
      <w:r>
        <w:rPr>
          <w:szCs w:val="20"/>
          <w:lang w:val="es-ES_tradnl"/>
        </w:rPr>
        <w:t>s para la economía de la I</w:t>
      </w:r>
      <w:r w:rsidRPr="00A73A4C">
        <w:rPr>
          <w:szCs w:val="20"/>
          <w:lang w:val="es-ES_tradnl"/>
        </w:rPr>
        <w:t>sla y</w:t>
      </w:r>
      <w:r>
        <w:rPr>
          <w:szCs w:val="20"/>
          <w:lang w:val="es-ES_tradnl"/>
        </w:rPr>
        <w:t>,</w:t>
      </w:r>
      <w:r w:rsidRPr="00A73A4C">
        <w:rPr>
          <w:szCs w:val="20"/>
          <w:lang w:val="es-ES_tradnl"/>
        </w:rPr>
        <w:t xml:space="preserve"> por lo tanto</w:t>
      </w:r>
      <w:r>
        <w:rPr>
          <w:szCs w:val="20"/>
          <w:lang w:val="es-ES_tradnl"/>
        </w:rPr>
        <w:t>,</w:t>
      </w:r>
      <w:r w:rsidRPr="00A73A4C">
        <w:rPr>
          <w:szCs w:val="20"/>
          <w:lang w:val="es-ES_tradnl"/>
        </w:rPr>
        <w:t xml:space="preserve"> no son tan difícil</w:t>
      </w:r>
      <w:r>
        <w:rPr>
          <w:szCs w:val="20"/>
          <w:lang w:val="es-ES_tradnl"/>
        </w:rPr>
        <w:t>es</w:t>
      </w:r>
      <w:r w:rsidRPr="00A73A4C">
        <w:rPr>
          <w:szCs w:val="20"/>
          <w:lang w:val="es-ES_tradnl"/>
        </w:rPr>
        <w:t xml:space="preserve"> de compensar.</w:t>
      </w:r>
      <w:r>
        <w:rPr>
          <w:szCs w:val="20"/>
          <w:lang w:val="es-ES_tradnl"/>
        </w:rPr>
        <w:t xml:space="preserve"> Y el hecho es</w:t>
      </w:r>
      <w:r w:rsidRPr="00A73A4C">
        <w:rPr>
          <w:szCs w:val="20"/>
          <w:lang w:val="es-ES_tradnl"/>
        </w:rPr>
        <w:t xml:space="preserve"> que Puerto Rico no obtiene ahora lo que tiene un </w:t>
      </w:r>
      <w:r>
        <w:rPr>
          <w:szCs w:val="20"/>
          <w:lang w:val="es-ES_tradnl"/>
        </w:rPr>
        <w:t>e</w:t>
      </w:r>
      <w:r w:rsidRPr="00A73A4C">
        <w:rPr>
          <w:szCs w:val="20"/>
          <w:lang w:val="es-ES_tradnl"/>
        </w:rPr>
        <w:t>stado”</w:t>
      </w:r>
      <w:r>
        <w:rPr>
          <w:szCs w:val="20"/>
          <w:lang w:val="es-ES_tradnl"/>
        </w:rPr>
        <w:t xml:space="preserve"> de Estados Unidos, según el estudio comisionado a McKee</w:t>
      </w:r>
      <w:r w:rsidRPr="00A73A4C">
        <w:rPr>
          <w:szCs w:val="20"/>
          <w:lang w:val="es-ES_tradnl"/>
        </w:rPr>
        <w:t>.</w:t>
      </w:r>
    </w:p>
    <w:p w:rsidR="005A5E7D" w:rsidRDefault="005A5E7D" w:rsidP="005A5E7D">
      <w:pPr>
        <w:pStyle w:val="Heading4"/>
        <w:rPr>
          <w:noProof/>
          <w:lang w:val="es-ES_tradnl" w:eastAsia="ja-JP"/>
        </w:rPr>
      </w:pPr>
    </w:p>
    <w:p w:rsidR="005A5E7D" w:rsidRPr="00012080" w:rsidRDefault="005A5E7D" w:rsidP="00816D6E">
      <w:pPr>
        <w:pStyle w:val="Heading3"/>
      </w:pPr>
      <w:bookmarkStart w:id="37" w:name="_Toc384769736"/>
      <w:r w:rsidRPr="00012080">
        <w:t xml:space="preserve">F.3 </w:t>
      </w:r>
      <w:r>
        <w:tab/>
      </w:r>
      <w:r w:rsidRPr="00012080">
        <w:t>E</w:t>
      </w:r>
      <w:r>
        <w:t xml:space="preserve">stado </w:t>
      </w:r>
      <w:r w:rsidRPr="00012080">
        <w:t>L</w:t>
      </w:r>
      <w:r>
        <w:t xml:space="preserve">ibre </w:t>
      </w:r>
      <w:r w:rsidRPr="00012080">
        <w:t>A</w:t>
      </w:r>
      <w:r>
        <w:t>sociado</w:t>
      </w:r>
      <w:bookmarkEnd w:id="37"/>
    </w:p>
    <w:p w:rsidR="005A5E7D" w:rsidRDefault="005A5E7D" w:rsidP="005A5E7D">
      <w:pPr>
        <w:spacing w:line="360" w:lineRule="auto"/>
        <w:rPr>
          <w:lang w:val="es-ES_tradnl"/>
        </w:rPr>
      </w:pPr>
    </w:p>
    <w:p w:rsidR="005A5E7D" w:rsidRPr="00583822" w:rsidRDefault="005A5E7D" w:rsidP="005A5E7D">
      <w:pPr>
        <w:rPr>
          <w:lang w:val="es-ES_tradnl"/>
        </w:rPr>
      </w:pPr>
      <w:r w:rsidRPr="00583822">
        <w:rPr>
          <w:lang w:val="es-ES_tradnl"/>
        </w:rPr>
        <w:t>Los defensores del E</w:t>
      </w:r>
      <w:r>
        <w:rPr>
          <w:lang w:val="es-ES_tradnl"/>
        </w:rPr>
        <w:t xml:space="preserve">stado </w:t>
      </w:r>
      <w:r w:rsidRPr="00583822">
        <w:rPr>
          <w:lang w:val="es-ES_tradnl"/>
        </w:rPr>
        <w:t>L</w:t>
      </w:r>
      <w:r>
        <w:rPr>
          <w:lang w:val="es-ES_tradnl"/>
        </w:rPr>
        <w:t xml:space="preserve">ibre </w:t>
      </w:r>
      <w:r w:rsidRPr="00583822">
        <w:rPr>
          <w:lang w:val="es-ES_tradnl"/>
        </w:rPr>
        <w:t>A</w:t>
      </w:r>
      <w:r>
        <w:rPr>
          <w:lang w:val="es-ES_tradnl"/>
        </w:rPr>
        <w:t>sociado</w:t>
      </w:r>
      <w:r w:rsidRPr="00583822">
        <w:rPr>
          <w:lang w:val="es-ES_tradnl"/>
        </w:rPr>
        <w:t xml:space="preserve"> argumentan que el sistema político actual es el mejor vehículo para responder a los problemas específicos de Puerto Rico y a los retos que presenta la globalización de la economía mundial. Bajo el ELA, Puerto Rico ya goza de muchas de las ventajas económicas que o</w:t>
      </w:r>
      <w:r>
        <w:rPr>
          <w:lang w:val="es-ES_tradnl"/>
        </w:rPr>
        <w:t xml:space="preserve">frece la afiliación política a </w:t>
      </w:r>
      <w:r w:rsidRPr="00583822">
        <w:rPr>
          <w:lang w:val="es-ES_tradnl"/>
        </w:rPr>
        <w:t>Estados Unidos, como son su integración en l</w:t>
      </w:r>
      <w:r>
        <w:rPr>
          <w:lang w:val="es-ES_tradnl"/>
        </w:rPr>
        <w:t>os sistemas judicial, monetario</w:t>
      </w:r>
      <w:r w:rsidRPr="00583822">
        <w:rPr>
          <w:lang w:val="es-ES_tradnl"/>
        </w:rPr>
        <w:t xml:space="preserve"> y comercial. Es precisamente este contexto institucional el que ha servido de base al rápido crecimiento económico del país por décadas (Maldonado 1994; Ross 1976). La flexibilidad que ofrece el ELA ha sido importante para atraer inversión extranjera</w:t>
      </w:r>
      <w:r>
        <w:rPr>
          <w:lang w:val="es-ES_tradnl"/>
        </w:rPr>
        <w:t>,</w:t>
      </w:r>
      <w:r w:rsidRPr="00583822">
        <w:rPr>
          <w:lang w:val="es-ES_tradnl"/>
        </w:rPr>
        <w:t xml:space="preserve"> y juega un papel cada vez más importante en la economía regional del Caribe y América</w:t>
      </w:r>
      <w:r>
        <w:rPr>
          <w:lang w:val="es-ES_tradnl"/>
        </w:rPr>
        <w:t xml:space="preserve"> </w:t>
      </w:r>
      <w:r w:rsidRPr="00583822">
        <w:rPr>
          <w:lang w:val="es-ES_tradnl"/>
        </w:rPr>
        <w:t>Latin</w:t>
      </w:r>
      <w:r>
        <w:rPr>
          <w:lang w:val="es-ES_tradnl"/>
        </w:rPr>
        <w:t>a.</w:t>
      </w:r>
    </w:p>
    <w:p w:rsidR="005A5E7D" w:rsidRPr="00583822" w:rsidRDefault="005A5E7D" w:rsidP="005A5E7D">
      <w:pPr>
        <w:rPr>
          <w:lang w:val="es-ES_tradnl"/>
        </w:rPr>
      </w:pPr>
      <w:r>
        <w:rPr>
          <w:lang w:val="es-ES_tradnl"/>
        </w:rPr>
        <w:t>N</w:t>
      </w:r>
      <w:r w:rsidRPr="00583822">
        <w:rPr>
          <w:lang w:val="es-ES_tradnl"/>
        </w:rPr>
        <w:t xml:space="preserve">o obstante, </w:t>
      </w:r>
      <w:r>
        <w:rPr>
          <w:lang w:val="es-ES_tradnl"/>
        </w:rPr>
        <w:t xml:space="preserve">el ELA </w:t>
      </w:r>
      <w:r w:rsidRPr="00583822">
        <w:rPr>
          <w:lang w:val="es-ES_tradnl"/>
        </w:rPr>
        <w:t xml:space="preserve">confronta retos de envergadura. </w:t>
      </w:r>
      <w:r>
        <w:rPr>
          <w:lang w:val="es-ES_tradnl"/>
        </w:rPr>
        <w:t>En aquel entonces</w:t>
      </w:r>
      <w:r w:rsidRPr="00583822">
        <w:rPr>
          <w:lang w:val="es-ES_tradnl"/>
        </w:rPr>
        <w:t xml:space="preserve"> </w:t>
      </w:r>
      <w:r>
        <w:rPr>
          <w:lang w:val="es-ES_tradnl"/>
        </w:rPr>
        <w:t>era</w:t>
      </w:r>
      <w:r w:rsidRPr="00583822">
        <w:rPr>
          <w:lang w:val="es-ES_tradnl"/>
        </w:rPr>
        <w:t xml:space="preserve"> sumamente importante mantener la exención contributiva federal</w:t>
      </w:r>
      <w:r>
        <w:rPr>
          <w:lang w:val="es-ES_tradnl"/>
        </w:rPr>
        <w:t>,</w:t>
      </w:r>
      <w:r w:rsidRPr="00583822">
        <w:rPr>
          <w:lang w:val="es-ES_tradnl"/>
        </w:rPr>
        <w:t xml:space="preserve"> pues continua</w:t>
      </w:r>
      <w:r>
        <w:rPr>
          <w:lang w:val="es-ES_tradnl"/>
        </w:rPr>
        <w:t>ba</w:t>
      </w:r>
      <w:r w:rsidRPr="00583822">
        <w:rPr>
          <w:lang w:val="es-ES_tradnl"/>
        </w:rPr>
        <w:t xml:space="preserve"> jugando un rol crítico en la promoción industrial de </w:t>
      </w:r>
      <w:r>
        <w:rPr>
          <w:lang w:val="es-ES_tradnl"/>
        </w:rPr>
        <w:t>Puerto Rico</w:t>
      </w:r>
      <w:r w:rsidRPr="00583822">
        <w:rPr>
          <w:lang w:val="es-ES_tradnl"/>
        </w:rPr>
        <w:t>. Las empresas 936 prove</w:t>
      </w:r>
      <w:r>
        <w:rPr>
          <w:lang w:val="es-ES_tradnl"/>
        </w:rPr>
        <w:t>ía</w:t>
      </w:r>
      <w:r w:rsidRPr="00583822">
        <w:rPr>
          <w:lang w:val="es-ES_tradnl"/>
        </w:rPr>
        <w:t xml:space="preserve">n alrededor de </w:t>
      </w:r>
      <w:r>
        <w:rPr>
          <w:lang w:val="es-ES_tradnl"/>
        </w:rPr>
        <w:t>100,000</w:t>
      </w:r>
      <w:r w:rsidRPr="00583822">
        <w:rPr>
          <w:lang w:val="es-ES_tradnl"/>
        </w:rPr>
        <w:t xml:space="preserve"> empleos directos en la manufactura, y probablemente alrededor de dos veces esta c</w:t>
      </w:r>
      <w:r>
        <w:rPr>
          <w:lang w:val="es-ES_tradnl"/>
        </w:rPr>
        <w:t>ifra</w:t>
      </w:r>
      <w:r w:rsidRPr="00583822">
        <w:rPr>
          <w:lang w:val="es-ES_tradnl"/>
        </w:rPr>
        <w:t xml:space="preserve"> si se consideran los empleos indirectos.</w:t>
      </w:r>
    </w:p>
    <w:p w:rsidR="005A5E7D" w:rsidRPr="00336C93" w:rsidRDefault="005A5E7D" w:rsidP="005A5E7D">
      <w:pPr>
        <w:rPr>
          <w:lang w:val="es-ES_tradnl"/>
        </w:rPr>
      </w:pPr>
      <w:r w:rsidRPr="00336C93">
        <w:rPr>
          <w:lang w:val="es-ES_tradnl"/>
        </w:rPr>
        <w:t>“Aun cuando las reformas implementadas durante la última década hayan eliminado la Sección 936, el Congreso de Estados Unidos ha reconocido consistentemente la importancia de esta herramienta de promoción industrial y es de esperarse que este apoyo continúe en el futuro. Es precisamente la flexibilidad que provee el ELA como sistema político lo que permite mantener la exención contributiva como incentivo a la inversión extranjera. Lograr paridad en la asignación de fondos federales constituye un segundo reto para el ELA. Si bien es cierto que la mayor parte de los programas de beneficencia federales se han extendido a Puerto Rico, aún existe disparidad en cuatro de los programas más importantes, incluyendo el de asistencia alimenticia. Para los defensores del ELA, obtener este beneficio no implica la anexión como estado” (Meléndez y Ruiz 1998).</w:t>
      </w:r>
    </w:p>
    <w:p w:rsidR="005A5E7D" w:rsidRPr="00AB524F" w:rsidRDefault="005A5E7D" w:rsidP="005A5E7D">
      <w:pPr>
        <w:rPr>
          <w:lang w:val="es-ES_tradnl"/>
        </w:rPr>
      </w:pPr>
      <w:r w:rsidRPr="00AB524F">
        <w:rPr>
          <w:lang w:val="es-ES_tradnl"/>
        </w:rPr>
        <w:t>Javier Col</w:t>
      </w:r>
      <w:r>
        <w:rPr>
          <w:lang w:val="es-ES_tradnl"/>
        </w:rPr>
        <w:t>ó</w:t>
      </w:r>
      <w:r w:rsidRPr="00AB524F">
        <w:rPr>
          <w:lang w:val="es-ES_tradnl"/>
        </w:rPr>
        <w:t>n</w:t>
      </w:r>
      <w:r>
        <w:rPr>
          <w:lang w:val="es-ES_tradnl"/>
        </w:rPr>
        <w:t xml:space="preserve"> comentó</w:t>
      </w:r>
      <w:r w:rsidRPr="00AB524F">
        <w:rPr>
          <w:lang w:val="es-ES_tradnl"/>
        </w:rPr>
        <w:t xml:space="preserve"> que </w:t>
      </w:r>
      <w:r>
        <w:rPr>
          <w:lang w:val="es-ES_tradnl"/>
        </w:rPr>
        <w:t>u</w:t>
      </w:r>
      <w:r w:rsidRPr="00AB524F">
        <w:rPr>
          <w:lang w:val="es-ES_tradnl"/>
        </w:rPr>
        <w:t>no de los propósitos principales de esta opción política es mejorar las capacidades del Estado Libre Asociado para regular la actividad económica en un contexto económico global, mientras obtiene</w:t>
      </w:r>
      <w:r>
        <w:rPr>
          <w:lang w:val="es-ES_tradnl"/>
        </w:rPr>
        <w:t>,</w:t>
      </w:r>
      <w:r w:rsidRPr="00AB524F">
        <w:rPr>
          <w:lang w:val="es-ES_tradnl"/>
        </w:rPr>
        <w:t xml:space="preserve"> al mismo tiempo, paridad de financiamiento federal con el resto de los estados</w:t>
      </w:r>
      <w:r>
        <w:rPr>
          <w:lang w:val="es-ES_tradnl"/>
        </w:rPr>
        <w:t xml:space="preserve"> (Colón, 1998)</w:t>
      </w:r>
      <w:r w:rsidRPr="00AB524F">
        <w:rPr>
          <w:lang w:val="es-ES_tradnl"/>
        </w:rPr>
        <w:t>. Las nuevas herra</w:t>
      </w:r>
      <w:r>
        <w:rPr>
          <w:lang w:val="es-ES_tradnl"/>
        </w:rPr>
        <w:t xml:space="preserve">mientas políticas y económicas </w:t>
      </w:r>
      <w:r w:rsidRPr="008B456C">
        <w:t>—</w:t>
      </w:r>
      <w:r w:rsidRPr="00AB524F">
        <w:rPr>
          <w:lang w:val="es-ES_tradnl"/>
        </w:rPr>
        <w:t xml:space="preserve">capacidad para entrar en acuerdos comerciales internacionales, mayor rol del </w:t>
      </w:r>
      <w:r>
        <w:rPr>
          <w:lang w:val="es-ES_tradnl"/>
        </w:rPr>
        <w:t>g</w:t>
      </w:r>
      <w:r w:rsidRPr="00AB524F">
        <w:rPr>
          <w:lang w:val="es-ES_tradnl"/>
        </w:rPr>
        <w:t>obernador para representar a Puerto Rico internacionalmente, participación de la Isla en acuerdos comerciales, mayor capacidad para prote</w:t>
      </w:r>
      <w:r>
        <w:rPr>
          <w:lang w:val="es-ES_tradnl"/>
        </w:rPr>
        <w:t>ger propiedad intelectual, etc.</w:t>
      </w:r>
      <w:r w:rsidRPr="008B456C">
        <w:t>—</w:t>
      </w:r>
      <w:r w:rsidRPr="00AB524F">
        <w:rPr>
          <w:lang w:val="es-ES_tradnl"/>
        </w:rPr>
        <w:t xml:space="preserve"> ayudaría</w:t>
      </w:r>
      <w:r>
        <w:rPr>
          <w:lang w:val="es-ES_tradnl"/>
        </w:rPr>
        <w:t>n</w:t>
      </w:r>
      <w:r w:rsidRPr="00AB524F">
        <w:rPr>
          <w:lang w:val="es-ES_tradnl"/>
        </w:rPr>
        <w:t xml:space="preserve"> al </w:t>
      </w:r>
      <w:r>
        <w:rPr>
          <w:lang w:val="es-ES_tradnl"/>
        </w:rPr>
        <w:t>ELA</w:t>
      </w:r>
      <w:r w:rsidRPr="00AB524F">
        <w:rPr>
          <w:lang w:val="es-ES_tradnl"/>
        </w:rPr>
        <w:t xml:space="preserve"> a sobrevivir y crecer en un contexto internacional drásticamente alterado. Con estas enmiendas esperaban obtener “lo mejor de los dos mundos”: fondos federales, la seguridad </w:t>
      </w:r>
      <w:r>
        <w:rPr>
          <w:lang w:val="es-ES_tradnl"/>
        </w:rPr>
        <w:t>de la ciudadanía estadounidense,</w:t>
      </w:r>
      <w:r w:rsidRPr="00AB524F">
        <w:rPr>
          <w:lang w:val="es-ES_tradnl"/>
        </w:rPr>
        <w:t xml:space="preserve"> y las opciones provistas por nuevas áreas de autonomía económica y política. </w:t>
      </w:r>
    </w:p>
    <w:p w:rsidR="005A5E7D" w:rsidRPr="00AB524F" w:rsidRDefault="005A5E7D" w:rsidP="005A5E7D">
      <w:pPr>
        <w:rPr>
          <w:lang w:val="es-ES_tradnl"/>
        </w:rPr>
      </w:pPr>
      <w:r w:rsidRPr="00AB524F">
        <w:rPr>
          <w:lang w:val="es-ES_tradnl"/>
        </w:rPr>
        <w:t xml:space="preserve">A pesar de su interés en desarrollar aún más el </w:t>
      </w:r>
      <w:r>
        <w:rPr>
          <w:lang w:val="es-ES_tradnl"/>
        </w:rPr>
        <w:t>ELA</w:t>
      </w:r>
      <w:r w:rsidRPr="00AB524F">
        <w:rPr>
          <w:lang w:val="es-ES_tradnl"/>
        </w:rPr>
        <w:t>, el PPD sostiene que estarían en desventaja con la es</w:t>
      </w:r>
      <w:r>
        <w:rPr>
          <w:lang w:val="es-ES_tradnl"/>
        </w:rPr>
        <w:t>tadidad en un proceso electoral, m</w:t>
      </w:r>
      <w:r w:rsidRPr="00AB524F">
        <w:rPr>
          <w:lang w:val="es-ES_tradnl"/>
        </w:rPr>
        <w:t xml:space="preserve">ientras el </w:t>
      </w:r>
      <w:r>
        <w:rPr>
          <w:lang w:val="es-ES_tradnl"/>
        </w:rPr>
        <w:t>PNP</w:t>
      </w:r>
      <w:r w:rsidRPr="00AB524F">
        <w:rPr>
          <w:lang w:val="es-ES_tradnl"/>
        </w:rPr>
        <w:t xml:space="preserve"> pueda reclamar traer una</w:t>
      </w:r>
      <w:r>
        <w:rPr>
          <w:lang w:val="es-ES_tradnl"/>
        </w:rPr>
        <w:t xml:space="preserve"> </w:t>
      </w:r>
      <w:r w:rsidRPr="00AB524F">
        <w:rPr>
          <w:lang w:val="es-ES_tradnl"/>
        </w:rPr>
        <w:t xml:space="preserve">bonanza económica inmediata a través del aumento en </w:t>
      </w:r>
      <w:r>
        <w:rPr>
          <w:lang w:val="es-ES_tradnl"/>
        </w:rPr>
        <w:t xml:space="preserve">el </w:t>
      </w:r>
      <w:r w:rsidRPr="00AB524F">
        <w:rPr>
          <w:lang w:val="es-ES_tradnl"/>
        </w:rPr>
        <w:t>gasto federal.</w:t>
      </w:r>
      <w:r>
        <w:rPr>
          <w:lang w:val="es-ES_tradnl"/>
        </w:rPr>
        <w:t xml:space="preserve"> </w:t>
      </w:r>
      <w:r w:rsidRPr="00AB524F">
        <w:rPr>
          <w:lang w:val="es-ES_tradnl"/>
        </w:rPr>
        <w:t>A fin de hacer un compromiso para participar y estar en una posición para ganar un plebiscito, el PPD solicitó al Congreso de Esta</w:t>
      </w:r>
      <w:r>
        <w:rPr>
          <w:lang w:val="es-ES_tradnl"/>
        </w:rPr>
        <w:t>dos Unidos una garantía de que h</w:t>
      </w:r>
      <w:r w:rsidRPr="00AB524F">
        <w:rPr>
          <w:lang w:val="es-ES_tradnl"/>
        </w:rPr>
        <w:t>abría un campo de juego nivelado en el área crucial del gasto federal bajo estas dos fórmulas de estatus. En el ámbito político, la propuesta inicial o “lista de deseos” que el PPD sometió al Comité de Energía del Senado trataba de limitar las áreas de jurisdicción federal en la Isla</w:t>
      </w:r>
      <w:r>
        <w:rPr>
          <w:lang w:val="es-ES_tradnl"/>
        </w:rPr>
        <w:t>,</w:t>
      </w:r>
      <w:r w:rsidRPr="00AB524F">
        <w:rPr>
          <w:lang w:val="es-ES_tradnl"/>
        </w:rPr>
        <w:t xml:space="preserve"> enmendando la Ley de Relaciones Federales.</w:t>
      </w:r>
      <w:r>
        <w:rPr>
          <w:lang w:val="es-ES_tradnl"/>
        </w:rPr>
        <w:t xml:space="preserve"> </w:t>
      </w:r>
      <w:r w:rsidRPr="00AB524F">
        <w:rPr>
          <w:lang w:val="es-ES_tradnl"/>
        </w:rPr>
        <w:t>Esta propuesta h</w:t>
      </w:r>
      <w:r>
        <w:rPr>
          <w:lang w:val="es-ES_tradnl"/>
        </w:rPr>
        <w:t>abría</w:t>
      </w:r>
      <w:r w:rsidRPr="00AB524F">
        <w:rPr>
          <w:lang w:val="es-ES_tradnl"/>
        </w:rPr>
        <w:t xml:space="preserve"> limitado la intervención federal en esas áreas</w:t>
      </w:r>
      <w:r>
        <w:rPr>
          <w:lang w:val="es-ES_tradnl"/>
        </w:rPr>
        <w:t>,</w:t>
      </w:r>
      <w:r w:rsidRPr="00AB524F">
        <w:rPr>
          <w:lang w:val="es-ES_tradnl"/>
        </w:rPr>
        <w:t xml:space="preserve"> que no eran inconsistentes con la política federal hacia </w:t>
      </w:r>
      <w:r>
        <w:rPr>
          <w:lang w:val="es-ES_tradnl"/>
        </w:rPr>
        <w:t>Puerto Rico</w:t>
      </w:r>
      <w:r w:rsidRPr="00AB524F">
        <w:rPr>
          <w:lang w:val="es-ES_tradnl"/>
        </w:rPr>
        <w:t>.</w:t>
      </w:r>
    </w:p>
    <w:p w:rsidR="005A5E7D" w:rsidRPr="00AB524F" w:rsidRDefault="005A5E7D" w:rsidP="005A5E7D">
      <w:pPr>
        <w:rPr>
          <w:lang w:val="es-ES_tradnl"/>
        </w:rPr>
      </w:pPr>
      <w:r w:rsidRPr="00AB524F">
        <w:rPr>
          <w:lang w:val="es-ES_tradnl"/>
        </w:rPr>
        <w:t xml:space="preserve">La propuesta </w:t>
      </w:r>
      <w:r>
        <w:rPr>
          <w:lang w:val="es-ES_tradnl"/>
        </w:rPr>
        <w:t>S. 712</w:t>
      </w:r>
      <w:r w:rsidRPr="00AB524F">
        <w:rPr>
          <w:lang w:val="es-ES_tradnl"/>
        </w:rPr>
        <w:t xml:space="preserve"> del PPD estaba dirigida a dar al Estado Libre Asociado flexibilidad adicional para convertirse en un actor autónomo en el curso de la economía internacional y las transacciones comerciales.</w:t>
      </w:r>
      <w:r>
        <w:rPr>
          <w:lang w:val="es-ES_tradnl"/>
        </w:rPr>
        <w:t xml:space="preserve"> </w:t>
      </w:r>
      <w:r w:rsidRPr="00AB524F">
        <w:rPr>
          <w:lang w:val="es-ES_tradnl"/>
        </w:rPr>
        <w:t xml:space="preserve">Hubo varias partes de la propuesta dirigidas a expandir la presencia internacional del </w:t>
      </w:r>
      <w:r>
        <w:rPr>
          <w:lang w:val="es-ES_tradnl"/>
        </w:rPr>
        <w:t>ELA</w:t>
      </w:r>
      <w:r w:rsidRPr="00AB524F">
        <w:rPr>
          <w:lang w:val="es-ES_tradnl"/>
        </w:rPr>
        <w:t>.</w:t>
      </w:r>
      <w:r>
        <w:rPr>
          <w:lang w:val="es-ES_tradnl"/>
        </w:rPr>
        <w:t xml:space="preserve"> </w:t>
      </w:r>
      <w:r w:rsidRPr="00AB524F">
        <w:rPr>
          <w:lang w:val="es-ES_tradnl"/>
        </w:rPr>
        <w:t xml:space="preserve">Una de ellas </w:t>
      </w:r>
      <w:r>
        <w:rPr>
          <w:lang w:val="es-ES_tradnl"/>
        </w:rPr>
        <w:t>le hubiese</w:t>
      </w:r>
      <w:r w:rsidRPr="00AB524F">
        <w:rPr>
          <w:lang w:val="es-ES_tradnl"/>
        </w:rPr>
        <w:t xml:space="preserve"> permitido “entrar en su propio nombre en acuerdos internacionales culturales, comerciales, educativos y deportivos, y otros acuerdos de naturaleza similar”. Adicionalmente, la petición </w:t>
      </w:r>
      <w:r>
        <w:rPr>
          <w:lang w:val="es-ES_tradnl"/>
        </w:rPr>
        <w:t xml:space="preserve">le </w:t>
      </w:r>
      <w:r w:rsidRPr="00AB524F">
        <w:rPr>
          <w:lang w:val="es-ES_tradnl"/>
        </w:rPr>
        <w:t>h</w:t>
      </w:r>
      <w:r>
        <w:rPr>
          <w:lang w:val="es-ES_tradnl"/>
        </w:rPr>
        <w:t>abrí</w:t>
      </w:r>
      <w:r w:rsidRPr="00AB524F">
        <w:rPr>
          <w:lang w:val="es-ES_tradnl"/>
        </w:rPr>
        <w:t xml:space="preserve">a permitido al </w:t>
      </w:r>
      <w:r>
        <w:rPr>
          <w:lang w:val="es-ES_tradnl"/>
        </w:rPr>
        <w:t>g</w:t>
      </w:r>
      <w:r w:rsidRPr="00AB524F">
        <w:rPr>
          <w:lang w:val="es-ES_tradnl"/>
        </w:rPr>
        <w:t>obernador</w:t>
      </w:r>
      <w:r>
        <w:rPr>
          <w:lang w:val="es-ES_tradnl"/>
        </w:rPr>
        <w:t xml:space="preserve"> de la Isla</w:t>
      </w:r>
      <w:r w:rsidRPr="00AB524F">
        <w:rPr>
          <w:lang w:val="es-ES_tradnl"/>
        </w:rPr>
        <w:t xml:space="preserve"> “tomar acción oficial para promover los intereses internacionales de Puerto Rico que requieren el consentimiento de los Estados Unidos y no está</w:t>
      </w:r>
      <w:r>
        <w:rPr>
          <w:lang w:val="es-ES_tradnl"/>
        </w:rPr>
        <w:t xml:space="preserve"> expresamente prohibido por ley</w:t>
      </w:r>
      <w:r w:rsidRPr="00AB524F">
        <w:rPr>
          <w:lang w:val="es-ES_tradnl"/>
        </w:rPr>
        <w:t>”</w:t>
      </w:r>
      <w:r>
        <w:rPr>
          <w:lang w:val="es-ES_tradnl"/>
        </w:rPr>
        <w:t>.</w:t>
      </w:r>
    </w:p>
    <w:p w:rsidR="005A5E7D" w:rsidRDefault="005A5E7D" w:rsidP="005A5E7D">
      <w:pPr>
        <w:rPr>
          <w:lang w:val="es-ES_tradnl"/>
        </w:rPr>
      </w:pPr>
      <w:r w:rsidRPr="00AB524F">
        <w:rPr>
          <w:lang w:val="es-ES_tradnl"/>
        </w:rPr>
        <w:t>En el área del comercio internacional, la legislación federal se enmendaría para expandir la capacidad del Estado Libre Asociado de proteger la producción local.</w:t>
      </w:r>
      <w:r>
        <w:rPr>
          <w:lang w:val="es-ES_tradnl"/>
        </w:rPr>
        <w:t xml:space="preserve"> </w:t>
      </w:r>
      <w:r w:rsidRPr="00AB524F">
        <w:rPr>
          <w:lang w:val="es-ES_tradnl"/>
        </w:rPr>
        <w:t>Con respecto a la transportación marítima, el PPD solicitaba una enmienda a la Ley de Relaciones Federales para permitir</w:t>
      </w:r>
      <w:r>
        <w:rPr>
          <w:lang w:val="es-ES_tradnl"/>
        </w:rPr>
        <w:t>le</w:t>
      </w:r>
      <w:r w:rsidRPr="00AB524F">
        <w:rPr>
          <w:lang w:val="es-ES_tradnl"/>
        </w:rPr>
        <w:t xml:space="preserve"> a Puerto Rico “establecer su propia Comisión Marítima la cual, establecida en acuerdo con las leyes de Puerto Rico</w:t>
      </w:r>
      <w:r>
        <w:rPr>
          <w:lang w:val="es-ES_tradnl"/>
        </w:rPr>
        <w:t>,</w:t>
      </w:r>
      <w:r w:rsidRPr="00AB524F">
        <w:rPr>
          <w:lang w:val="es-ES_tradnl"/>
        </w:rPr>
        <w:t xml:space="preserve"> debería ejercer jurisdicción exclusiva sobre servicio, tasas, tarifas y prácticas que rigen el comercio entre Puerto Rico </w:t>
      </w:r>
      <w:r>
        <w:rPr>
          <w:lang w:val="es-ES_tradnl"/>
        </w:rPr>
        <w:t>y los estados de Estados Unidos</w:t>
      </w:r>
      <w:r w:rsidRPr="00AB524F">
        <w:rPr>
          <w:lang w:val="es-ES_tradnl"/>
        </w:rPr>
        <w:t>”</w:t>
      </w:r>
      <w:r>
        <w:rPr>
          <w:lang w:val="es-ES_tradnl"/>
        </w:rPr>
        <w:t>.</w:t>
      </w:r>
      <w:r w:rsidRPr="00AB524F">
        <w:rPr>
          <w:lang w:val="es-ES_tradnl"/>
        </w:rPr>
        <w:t xml:space="preserve"> La propuesta del PPD también incluyó enmiendas a leyes federales</w:t>
      </w:r>
      <w:r>
        <w:rPr>
          <w:lang w:val="es-ES_tradnl"/>
        </w:rPr>
        <w:t>,</w:t>
      </w:r>
      <w:r w:rsidRPr="00AB524F">
        <w:rPr>
          <w:lang w:val="es-ES_tradnl"/>
        </w:rPr>
        <w:t xml:space="preserve"> con el fin de garantizar que el </w:t>
      </w:r>
      <w:r>
        <w:rPr>
          <w:lang w:val="es-ES_tradnl"/>
        </w:rPr>
        <w:t>ELA</w:t>
      </w:r>
      <w:r w:rsidRPr="00AB524F">
        <w:rPr>
          <w:lang w:val="es-ES_tradnl"/>
        </w:rPr>
        <w:t xml:space="preserve"> pu</w:t>
      </w:r>
      <w:r>
        <w:rPr>
          <w:lang w:val="es-ES_tradnl"/>
        </w:rPr>
        <w:t>diese</w:t>
      </w:r>
      <w:r w:rsidRPr="00AB524F">
        <w:rPr>
          <w:lang w:val="es-ES_tradnl"/>
        </w:rPr>
        <w:t xml:space="preserve"> proteger</w:t>
      </w:r>
      <w:r>
        <w:rPr>
          <w:lang w:val="es-ES_tradnl"/>
        </w:rPr>
        <w:t xml:space="preserve"> </w:t>
      </w:r>
      <w:r w:rsidRPr="00AB524F">
        <w:rPr>
          <w:lang w:val="es-ES_tradnl"/>
        </w:rPr>
        <w:t>productos con “diseño de origen puertorriqueño” como propiedad intelectual</w:t>
      </w:r>
      <w:r>
        <w:rPr>
          <w:lang w:val="es-ES_tradnl"/>
        </w:rPr>
        <w:t>,</w:t>
      </w:r>
      <w:r w:rsidRPr="00AB524F">
        <w:rPr>
          <w:lang w:val="es-ES_tradnl"/>
        </w:rPr>
        <w:t xml:space="preserve"> cuando un porcentaje particular del proceso de producción ocurre en la Isla.</w:t>
      </w:r>
      <w:r>
        <w:rPr>
          <w:lang w:val="es-ES_tradnl"/>
        </w:rPr>
        <w:t xml:space="preserve"> </w:t>
      </w:r>
      <w:r w:rsidRPr="00AB524F">
        <w:rPr>
          <w:lang w:val="es-ES_tradnl"/>
        </w:rPr>
        <w:t>Bajo estas propuestas</w:t>
      </w:r>
      <w:r>
        <w:rPr>
          <w:lang w:val="es-ES_tradnl"/>
        </w:rPr>
        <w:t>,</w:t>
      </w:r>
      <w:r w:rsidRPr="00AB524F">
        <w:rPr>
          <w:lang w:val="es-ES_tradnl"/>
        </w:rPr>
        <w:t xml:space="preserve"> el </w:t>
      </w:r>
      <w:r>
        <w:rPr>
          <w:lang w:val="es-ES_tradnl"/>
        </w:rPr>
        <w:t>Gobierno</w:t>
      </w:r>
      <w:r w:rsidRPr="00AB524F">
        <w:rPr>
          <w:lang w:val="es-ES_tradnl"/>
        </w:rPr>
        <w:t xml:space="preserve"> del Estado Libre Asociado ganaría herramientas significativas para regular y administrar la economía puertorriqueña.</w:t>
      </w:r>
      <w:r>
        <w:rPr>
          <w:lang w:val="es-ES_tradnl"/>
        </w:rPr>
        <w:t xml:space="preserve"> </w:t>
      </w:r>
      <w:r w:rsidRPr="00AB524F">
        <w:rPr>
          <w:lang w:val="es-ES_tradnl"/>
        </w:rPr>
        <w:t xml:space="preserve">El paquete de reformas implica que Puerto Rico sería casi soberano en ciertas áreas (tratados comerciales, por ejemplo) y consultado en negociaciones comerciales que tendrían un impacto significativo en su economía. En general, la capacidad del </w:t>
      </w:r>
      <w:r>
        <w:rPr>
          <w:lang w:val="es-ES_tradnl"/>
        </w:rPr>
        <w:t>Gobierno</w:t>
      </w:r>
      <w:r w:rsidRPr="00AB524F">
        <w:rPr>
          <w:lang w:val="es-ES_tradnl"/>
        </w:rPr>
        <w:t xml:space="preserve"> </w:t>
      </w:r>
      <w:r>
        <w:rPr>
          <w:lang w:val="es-ES_tradnl"/>
        </w:rPr>
        <w:t>de la Isla</w:t>
      </w:r>
      <w:r w:rsidRPr="00AB524F">
        <w:rPr>
          <w:lang w:val="es-ES_tradnl"/>
        </w:rPr>
        <w:t xml:space="preserve"> para regular asuntos económicos se amplificaría.</w:t>
      </w:r>
    </w:p>
    <w:p w:rsidR="005A5E7D" w:rsidRPr="002407CC" w:rsidRDefault="005A5E7D" w:rsidP="005A5E7D">
      <w:pPr>
        <w:spacing w:line="240" w:lineRule="auto"/>
        <w:rPr>
          <w:lang w:val="es-ES_tradnl"/>
        </w:rPr>
      </w:pPr>
    </w:p>
    <w:p w:rsidR="005A5E7D" w:rsidRPr="00A73A4C" w:rsidRDefault="005A5E7D" w:rsidP="005A5E7D">
      <w:pPr>
        <w:pStyle w:val="Heading2"/>
        <w:ind w:left="426" w:hanging="426"/>
      </w:pPr>
      <w:bookmarkStart w:id="38" w:name="_Toc384769737"/>
      <w:r w:rsidRPr="00A73A4C">
        <w:t xml:space="preserve">Impactos </w:t>
      </w:r>
      <w:r>
        <w:t>s</w:t>
      </w:r>
      <w:r w:rsidRPr="00A73A4C">
        <w:t xml:space="preserve">obre </w:t>
      </w:r>
      <w:r>
        <w:t>la migració</w:t>
      </w:r>
      <w:r w:rsidRPr="00A73A4C">
        <w:t>n</w:t>
      </w:r>
      <w:bookmarkEnd w:id="38"/>
    </w:p>
    <w:p w:rsidR="005A5E7D" w:rsidRDefault="005A5E7D" w:rsidP="005A5E7D">
      <w:pPr>
        <w:spacing w:line="360" w:lineRule="auto"/>
        <w:rPr>
          <w:lang w:val="es-ES_tradnl"/>
        </w:rPr>
      </w:pPr>
    </w:p>
    <w:p w:rsidR="005A5E7D" w:rsidRPr="00A73A4C" w:rsidRDefault="005A5E7D" w:rsidP="005A5E7D">
      <w:pPr>
        <w:rPr>
          <w:lang w:val="es-ES_tradnl"/>
        </w:rPr>
      </w:pPr>
      <w:r w:rsidRPr="00A73A4C">
        <w:rPr>
          <w:lang w:val="es-ES_tradnl"/>
        </w:rPr>
        <w:t>Cualquier discusión sobre los cambios en la relac</w:t>
      </w:r>
      <w:r>
        <w:rPr>
          <w:lang w:val="es-ES_tradnl"/>
        </w:rPr>
        <w:t xml:space="preserve">ión política y económica entre </w:t>
      </w:r>
      <w:r w:rsidRPr="00A73A4C">
        <w:rPr>
          <w:lang w:val="es-ES_tradnl"/>
        </w:rPr>
        <w:t>Estados Unidos y Puerto Rico debe abordar su impacto en la migración laboral. Entre los artículos que abordan este tema</w:t>
      </w:r>
      <w:r>
        <w:rPr>
          <w:lang w:val="es-ES_tradnl"/>
        </w:rPr>
        <w:t>, hay</w:t>
      </w:r>
      <w:r w:rsidRPr="00A73A4C">
        <w:rPr>
          <w:lang w:val="es-ES_tradnl"/>
        </w:rPr>
        <w:t xml:space="preserve"> </w:t>
      </w:r>
      <w:r>
        <w:rPr>
          <w:lang w:val="es-ES_tradnl"/>
        </w:rPr>
        <w:t>dos trabajos publicados</w:t>
      </w:r>
      <w:r w:rsidRPr="00A73A4C">
        <w:rPr>
          <w:lang w:val="es-ES_tradnl"/>
        </w:rPr>
        <w:t xml:space="preserve"> </w:t>
      </w:r>
      <w:r w:rsidRPr="008B456C">
        <w:t>—</w:t>
      </w:r>
      <w:r w:rsidRPr="00A73A4C">
        <w:rPr>
          <w:lang w:val="es-ES_tradnl"/>
        </w:rPr>
        <w:t>a raíz</w:t>
      </w:r>
      <w:r>
        <w:rPr>
          <w:lang w:val="es-ES_tradnl"/>
        </w:rPr>
        <w:t xml:space="preserve"> del proyecto del senado S. 712</w:t>
      </w:r>
      <w:r w:rsidRPr="008B456C">
        <w:t>—</w:t>
      </w:r>
      <w:r w:rsidRPr="00A73A4C">
        <w:rPr>
          <w:lang w:val="es-ES_tradnl"/>
        </w:rPr>
        <w:t xml:space="preserve"> en un libro editado p</w:t>
      </w:r>
      <w:r>
        <w:rPr>
          <w:lang w:val="es-ES_tradnl"/>
        </w:rPr>
        <w:t>or Edwin Meléndez y Ángel Ruiz, publicado por la E</w:t>
      </w:r>
      <w:r w:rsidRPr="00A73A4C">
        <w:rPr>
          <w:lang w:val="es-ES_tradnl"/>
        </w:rPr>
        <w:t xml:space="preserve">ditorial de la Universidad Interamericana (Edwin Meléndez y Ángel Ruiz, 1998). </w:t>
      </w:r>
      <w:r>
        <w:rPr>
          <w:lang w:val="es-ES_tradnl"/>
        </w:rPr>
        <w:t>Sus autores son</w:t>
      </w:r>
      <w:r w:rsidRPr="00A73A4C">
        <w:rPr>
          <w:lang w:val="es-ES_tradnl"/>
        </w:rPr>
        <w:t xml:space="preserve"> Ca</w:t>
      </w:r>
      <w:r>
        <w:rPr>
          <w:lang w:val="es-ES_tradnl"/>
        </w:rPr>
        <w:t>rlos Santiago (páginas 247-286) e</w:t>
      </w:r>
      <w:r w:rsidRPr="00A73A4C">
        <w:rPr>
          <w:lang w:val="es-ES_tradnl"/>
        </w:rPr>
        <w:t xml:space="preserve"> Irma Pérez-Johnson (páginas 223-246)</w:t>
      </w:r>
      <w:r>
        <w:rPr>
          <w:lang w:val="es-ES_tradnl"/>
        </w:rPr>
        <w:t>,</w:t>
      </w:r>
      <w:r w:rsidRPr="00A73A4C">
        <w:rPr>
          <w:lang w:val="es-ES_tradnl"/>
        </w:rPr>
        <w:t xml:space="preserve"> y </w:t>
      </w:r>
      <w:r>
        <w:rPr>
          <w:lang w:val="es-ES_tradnl"/>
        </w:rPr>
        <w:t xml:space="preserve">se </w:t>
      </w:r>
      <w:r w:rsidRPr="00A73A4C">
        <w:rPr>
          <w:lang w:val="es-ES_tradnl"/>
        </w:rPr>
        <w:t>comenta</w:t>
      </w:r>
      <w:r>
        <w:rPr>
          <w:lang w:val="es-ES_tradnl"/>
        </w:rPr>
        <w:t>ron</w:t>
      </w:r>
      <w:r w:rsidRPr="00A73A4C">
        <w:rPr>
          <w:lang w:val="es-ES_tradnl"/>
        </w:rPr>
        <w:t xml:space="preserve"> por Edwin Meléndez y Ángel Ruiz (páginas 26-28). </w:t>
      </w:r>
    </w:p>
    <w:p w:rsidR="005A5E7D" w:rsidRDefault="005A5E7D" w:rsidP="005A5E7D">
      <w:pPr>
        <w:rPr>
          <w:lang w:val="es-ES_tradnl"/>
        </w:rPr>
      </w:pPr>
      <w:r w:rsidRPr="00A73A4C">
        <w:rPr>
          <w:lang w:val="es-ES_tradnl"/>
        </w:rPr>
        <w:t>Carlos Santiago examin</w:t>
      </w:r>
      <w:r>
        <w:rPr>
          <w:lang w:val="es-ES_tradnl"/>
        </w:rPr>
        <w:t>ó</w:t>
      </w:r>
      <w:r w:rsidRPr="00A73A4C">
        <w:rPr>
          <w:lang w:val="es-ES_tradnl"/>
        </w:rPr>
        <w:t xml:space="preserve"> la implicación potencial de los cambios en el </w:t>
      </w:r>
      <w:r>
        <w:rPr>
          <w:lang w:val="es-ES_tradnl"/>
        </w:rPr>
        <w:t>estatus político de Puerto Rico</w:t>
      </w:r>
      <w:r w:rsidRPr="00A73A4C">
        <w:rPr>
          <w:lang w:val="es-ES_tradnl"/>
        </w:rPr>
        <w:t xml:space="preserve"> en el mercado laboral</w:t>
      </w:r>
      <w:r>
        <w:rPr>
          <w:lang w:val="es-ES_tradnl"/>
        </w:rPr>
        <w:t>,</w:t>
      </w:r>
      <w:r w:rsidRPr="00A73A4C">
        <w:rPr>
          <w:lang w:val="es-ES_tradnl"/>
        </w:rPr>
        <w:t xml:space="preserve"> y su im</w:t>
      </w:r>
      <w:r>
        <w:rPr>
          <w:lang w:val="es-ES_tradnl"/>
        </w:rPr>
        <w:t>pacto en la migración entre la I</w:t>
      </w:r>
      <w:r w:rsidRPr="00A73A4C">
        <w:rPr>
          <w:lang w:val="es-ES_tradnl"/>
        </w:rPr>
        <w:t>sl</w:t>
      </w:r>
      <w:r>
        <w:rPr>
          <w:lang w:val="es-ES_tradnl"/>
        </w:rPr>
        <w:t>a y Estados Unidos. “E</w:t>
      </w:r>
      <w:r w:rsidRPr="00A73A4C">
        <w:rPr>
          <w:lang w:val="es-ES_tradnl"/>
        </w:rPr>
        <w:t>l documento no se centra en los cambios en la política de inmigración de los EE.UU. hacia Puerto Rico en virtud de las diversas opciones de estado. Más bien, se ponen de relieve los cambios en la estructura salarial de islas</w:t>
      </w:r>
      <w:r>
        <w:rPr>
          <w:lang w:val="es-ES_tradnl"/>
        </w:rPr>
        <w:t>,</w:t>
      </w:r>
      <w:r w:rsidRPr="00A73A4C">
        <w:rPr>
          <w:lang w:val="es-ES_tradnl"/>
        </w:rPr>
        <w:t xml:space="preserve"> </w:t>
      </w:r>
      <w:r>
        <w:rPr>
          <w:lang w:val="es-ES_tradnl"/>
        </w:rPr>
        <w:t>a</w:t>
      </w:r>
      <w:r w:rsidRPr="00A73A4C">
        <w:rPr>
          <w:lang w:val="es-ES_tradnl"/>
        </w:rPr>
        <w:t xml:space="preserve"> consecuencia de alteraciones políticamente designadas en el salario mínimo legal. La aplicación de los salarios mínimos en Puerto Rico es tal que los salarios de la isla, el crecimiento del empleo y el desempleo afectan en última instancia a la migración laboral</w:t>
      </w:r>
      <w:r>
        <w:rPr>
          <w:lang w:val="es-ES_tradnl"/>
        </w:rPr>
        <w:t>”, expuso el autor.</w:t>
      </w:r>
    </w:p>
    <w:p w:rsidR="005A5E7D" w:rsidRPr="00A73A4C" w:rsidRDefault="005A5E7D" w:rsidP="005A5E7D">
      <w:pPr>
        <w:rPr>
          <w:lang w:val="es-ES_tradnl"/>
        </w:rPr>
      </w:pPr>
      <w:r w:rsidRPr="00A73A4C">
        <w:rPr>
          <w:lang w:val="es-ES_tradnl"/>
        </w:rPr>
        <w:t>Además, el documento examin</w:t>
      </w:r>
      <w:r>
        <w:rPr>
          <w:lang w:val="es-ES_tradnl"/>
        </w:rPr>
        <w:t>ó</w:t>
      </w:r>
      <w:r w:rsidRPr="00A73A4C">
        <w:rPr>
          <w:lang w:val="es-ES_tradnl"/>
        </w:rPr>
        <w:t xml:space="preserve"> los efectos en el flujo neto de mano de obra de las diferencias en las perspectivas de empleo en Puerto Rico y el área de Nueva York. Santiago especific</w:t>
      </w:r>
      <w:r>
        <w:rPr>
          <w:lang w:val="es-ES_tradnl"/>
        </w:rPr>
        <w:t>ó</w:t>
      </w:r>
      <w:r w:rsidRPr="00A73A4C">
        <w:rPr>
          <w:lang w:val="es-ES_tradnl"/>
        </w:rPr>
        <w:t xml:space="preserve"> y estim</w:t>
      </w:r>
      <w:r>
        <w:rPr>
          <w:lang w:val="es-ES_tradnl"/>
        </w:rPr>
        <w:t xml:space="preserve">ó </w:t>
      </w:r>
      <w:r w:rsidRPr="00A73A4C">
        <w:rPr>
          <w:lang w:val="es-ES_tradnl"/>
        </w:rPr>
        <w:t>un modelo multivariable</w:t>
      </w:r>
      <w:r>
        <w:rPr>
          <w:lang w:val="es-ES_tradnl"/>
        </w:rPr>
        <w:t xml:space="preserve"> </w:t>
      </w:r>
      <w:r w:rsidRPr="00A73A4C">
        <w:rPr>
          <w:lang w:val="es-ES_tradnl"/>
        </w:rPr>
        <w:t>de series de tiempo</w:t>
      </w:r>
      <w:r>
        <w:rPr>
          <w:lang w:val="es-ES_tradnl"/>
        </w:rPr>
        <w:t>,</w:t>
      </w:r>
      <w:r w:rsidRPr="00A73A4C">
        <w:rPr>
          <w:lang w:val="es-ES_tradnl"/>
        </w:rPr>
        <w:t xml:space="preserve"> con el objet</w:t>
      </w:r>
      <w:r>
        <w:rPr>
          <w:lang w:val="es-ES_tradnl"/>
        </w:rPr>
        <w:t>iv</w:t>
      </w:r>
      <w:r w:rsidRPr="00A73A4C">
        <w:rPr>
          <w:lang w:val="es-ES_tradnl"/>
        </w:rPr>
        <w:t xml:space="preserve">o de examinar </w:t>
      </w:r>
      <w:r>
        <w:rPr>
          <w:lang w:val="es-ES_tradnl"/>
        </w:rPr>
        <w:t xml:space="preserve">cómo se traducirían </w:t>
      </w:r>
      <w:r w:rsidRPr="00A73A4C">
        <w:rPr>
          <w:lang w:val="es-ES_tradnl"/>
        </w:rPr>
        <w:t>los efectos</w:t>
      </w:r>
      <w:r>
        <w:rPr>
          <w:lang w:val="es-ES_tradnl"/>
        </w:rPr>
        <w:t xml:space="preserve"> </w:t>
      </w:r>
      <w:r w:rsidRPr="00A73A4C">
        <w:rPr>
          <w:lang w:val="es-ES_tradnl"/>
        </w:rPr>
        <w:t xml:space="preserve">de los cambios en el </w:t>
      </w:r>
      <w:r>
        <w:rPr>
          <w:lang w:val="es-ES_tradnl"/>
        </w:rPr>
        <w:t>estatus político de Puerto Rico</w:t>
      </w:r>
      <w:r w:rsidRPr="00A73A4C">
        <w:rPr>
          <w:lang w:val="es-ES_tradnl"/>
        </w:rPr>
        <w:t xml:space="preserve"> en el mercado laboral</w:t>
      </w:r>
      <w:r>
        <w:rPr>
          <w:lang w:val="es-ES_tradnl"/>
        </w:rPr>
        <w:t>.</w:t>
      </w:r>
      <w:r w:rsidRPr="00A73A4C">
        <w:rPr>
          <w:lang w:val="es-ES_tradnl"/>
        </w:rPr>
        <w:t xml:space="preserve"> El modelo teórico subyacente destac</w:t>
      </w:r>
      <w:r>
        <w:rPr>
          <w:lang w:val="es-ES_tradnl"/>
        </w:rPr>
        <w:t>ó</w:t>
      </w:r>
      <w:r w:rsidRPr="00A73A4C">
        <w:rPr>
          <w:lang w:val="es-ES_tradnl"/>
        </w:rPr>
        <w:t xml:space="preserve"> la estructura de los salarios y las perspectivas de empleo en la región de origen y destino en la decisión de los migrantes a moverse. Las variables dependientes incluye</w:t>
      </w:r>
      <w:r>
        <w:rPr>
          <w:lang w:val="es-ES_tradnl"/>
        </w:rPr>
        <w:t>ro</w:t>
      </w:r>
      <w:r w:rsidRPr="00A73A4C">
        <w:rPr>
          <w:lang w:val="es-ES_tradnl"/>
        </w:rPr>
        <w:t>n la tasa bruta de emigración</w:t>
      </w:r>
      <w:r>
        <w:rPr>
          <w:lang w:val="es-ES_tradnl"/>
        </w:rPr>
        <w:t>, la tasa bruta de inmigración</w:t>
      </w:r>
      <w:r w:rsidRPr="00A73A4C">
        <w:rPr>
          <w:lang w:val="es-ES_tradnl"/>
        </w:rPr>
        <w:t xml:space="preserve"> y la tasa de migración neta. Las variables independientes incluye</w:t>
      </w:r>
      <w:r>
        <w:rPr>
          <w:lang w:val="es-ES_tradnl"/>
        </w:rPr>
        <w:t>ro</w:t>
      </w:r>
      <w:r w:rsidRPr="00A73A4C">
        <w:rPr>
          <w:lang w:val="es-ES_tradnl"/>
        </w:rPr>
        <w:t xml:space="preserve">n el ratio del salario mínimo en Puerto Rico como </w:t>
      </w:r>
      <w:r>
        <w:rPr>
          <w:lang w:val="es-ES_tradnl"/>
        </w:rPr>
        <w:t>porcentaje</w:t>
      </w:r>
      <w:r w:rsidRPr="00A73A4C">
        <w:rPr>
          <w:lang w:val="es-ES_tradnl"/>
        </w:rPr>
        <w:t xml:space="preserve"> del</w:t>
      </w:r>
      <w:r>
        <w:rPr>
          <w:lang w:val="es-ES_tradnl"/>
        </w:rPr>
        <w:t xml:space="preserve"> </w:t>
      </w:r>
      <w:r w:rsidRPr="00A73A4C">
        <w:rPr>
          <w:lang w:val="es-ES_tradnl"/>
        </w:rPr>
        <w:t>diferencial de la tasa de</w:t>
      </w:r>
      <w:r>
        <w:rPr>
          <w:lang w:val="es-ES_tradnl"/>
        </w:rPr>
        <w:t xml:space="preserve"> desempleo entre Puerto Rico y </w:t>
      </w:r>
      <w:r w:rsidRPr="00A73A4C">
        <w:rPr>
          <w:lang w:val="es-ES_tradnl"/>
        </w:rPr>
        <w:t>Estados Unidos.</w:t>
      </w:r>
    </w:p>
    <w:p w:rsidR="005A5E7D" w:rsidRDefault="005A5E7D" w:rsidP="005A5E7D">
      <w:pPr>
        <w:rPr>
          <w:lang w:val="es-ES_tradnl"/>
        </w:rPr>
      </w:pPr>
      <w:r w:rsidRPr="00A73A4C">
        <w:rPr>
          <w:lang w:val="es-ES_tradnl"/>
        </w:rPr>
        <w:t xml:space="preserve">El principal hallazgo de este estudio </w:t>
      </w:r>
      <w:r>
        <w:rPr>
          <w:lang w:val="es-ES_tradnl"/>
        </w:rPr>
        <w:t>fue</w:t>
      </w:r>
      <w:r w:rsidRPr="00A73A4C">
        <w:rPr>
          <w:lang w:val="es-ES_tradnl"/>
        </w:rPr>
        <w:t xml:space="preserve"> que la migración laboral neta</w:t>
      </w:r>
      <w:r>
        <w:rPr>
          <w:lang w:val="es-ES_tradnl"/>
        </w:rPr>
        <w:t>,</w:t>
      </w:r>
      <w:r w:rsidRPr="00A73A4C">
        <w:rPr>
          <w:lang w:val="es-ES_tradnl"/>
        </w:rPr>
        <w:t xml:space="preserve"> bajo cualquiera de las tres opciones de </w:t>
      </w:r>
      <w:r>
        <w:rPr>
          <w:lang w:val="es-ES_tradnl"/>
        </w:rPr>
        <w:t>e</w:t>
      </w:r>
      <w:r w:rsidRPr="00A73A4C">
        <w:rPr>
          <w:lang w:val="es-ES_tradnl"/>
        </w:rPr>
        <w:t>status político</w:t>
      </w:r>
      <w:r>
        <w:rPr>
          <w:lang w:val="es-ES_tradnl"/>
        </w:rPr>
        <w:t>,</w:t>
      </w:r>
      <w:r w:rsidRPr="00A73A4C">
        <w:rPr>
          <w:lang w:val="es-ES_tradnl"/>
        </w:rPr>
        <w:t xml:space="preserve"> n</w:t>
      </w:r>
      <w:r>
        <w:rPr>
          <w:lang w:val="es-ES_tradnl"/>
        </w:rPr>
        <w:t>o sería</w:t>
      </w:r>
      <w:r w:rsidRPr="00A73A4C">
        <w:rPr>
          <w:lang w:val="es-ES_tradnl"/>
        </w:rPr>
        <w:t xml:space="preserve"> significativamente mayor que los niveles históricos</w:t>
      </w:r>
      <w:r>
        <w:rPr>
          <w:lang w:val="es-ES_tradnl"/>
        </w:rPr>
        <w:t>.</w:t>
      </w:r>
      <w:r w:rsidRPr="00A73A4C">
        <w:rPr>
          <w:lang w:val="es-ES_tradnl"/>
        </w:rPr>
        <w:t xml:space="preserve"> Un aumento en el salario mínimo legal tendrá una tendencia a reducir la emigración neta a Estados Unidos. Por lo tanto</w:t>
      </w:r>
      <w:r>
        <w:rPr>
          <w:lang w:val="es-ES_tradnl"/>
        </w:rPr>
        <w:t>,</w:t>
      </w:r>
      <w:r w:rsidRPr="00A73A4C">
        <w:rPr>
          <w:lang w:val="es-ES_tradnl"/>
        </w:rPr>
        <w:t xml:space="preserve"> la emigración neta será mayor </w:t>
      </w:r>
      <w:r>
        <w:rPr>
          <w:lang w:val="es-ES_tradnl"/>
        </w:rPr>
        <w:t>bajo</w:t>
      </w:r>
      <w:r w:rsidRPr="00A73A4C">
        <w:rPr>
          <w:lang w:val="es-ES_tradnl"/>
        </w:rPr>
        <w:t xml:space="preserve"> la opción de independencia, no tanto en virtud</w:t>
      </w:r>
      <w:r>
        <w:rPr>
          <w:lang w:val="es-ES_tradnl"/>
        </w:rPr>
        <w:t xml:space="preserve"> de una opción del ELA mejorado y mucho menos</w:t>
      </w:r>
      <w:r w:rsidRPr="00A73A4C">
        <w:rPr>
          <w:lang w:val="es-ES_tradnl"/>
        </w:rPr>
        <w:t xml:space="preserve"> bajo la estadidad</w:t>
      </w:r>
      <w:r>
        <w:rPr>
          <w:lang w:val="es-ES_tradnl"/>
        </w:rPr>
        <w:t>.</w:t>
      </w:r>
      <w:r w:rsidRPr="00A73A4C">
        <w:rPr>
          <w:lang w:val="es-ES_tradnl"/>
        </w:rPr>
        <w:t xml:space="preserve"> Las simulaciones sugieren que</w:t>
      </w:r>
      <w:r>
        <w:rPr>
          <w:lang w:val="es-ES_tradnl"/>
        </w:rPr>
        <w:t>,</w:t>
      </w:r>
      <w:r w:rsidRPr="00A73A4C">
        <w:rPr>
          <w:lang w:val="es-ES_tradnl"/>
        </w:rPr>
        <w:t xml:space="preserve"> entre los años 1990 y 2000</w:t>
      </w:r>
      <w:r>
        <w:rPr>
          <w:lang w:val="es-ES_tradnl"/>
        </w:rPr>
        <w:t>, la migración neta alcanzaría</w:t>
      </w:r>
      <w:r w:rsidRPr="00A73A4C">
        <w:rPr>
          <w:lang w:val="es-ES_tradnl"/>
        </w:rPr>
        <w:t xml:space="preserve"> 342,845, 302,915 y 223,053 personas bajo la </w:t>
      </w:r>
      <w:r>
        <w:rPr>
          <w:lang w:val="es-ES_tradnl"/>
        </w:rPr>
        <w:t>i</w:t>
      </w:r>
      <w:r w:rsidRPr="00A73A4C">
        <w:rPr>
          <w:lang w:val="es-ES_tradnl"/>
        </w:rPr>
        <w:t>ndependencia</w:t>
      </w:r>
      <w:r>
        <w:rPr>
          <w:lang w:val="es-ES_tradnl"/>
        </w:rPr>
        <w:t>,</w:t>
      </w:r>
      <w:r w:rsidRPr="00A73A4C">
        <w:rPr>
          <w:lang w:val="es-ES_tradnl"/>
        </w:rPr>
        <w:t xml:space="preserve"> el</w:t>
      </w:r>
      <w:r>
        <w:rPr>
          <w:lang w:val="es-ES_tradnl"/>
        </w:rPr>
        <w:t xml:space="preserve"> Estado Libre Asociado mejorado</w:t>
      </w:r>
      <w:r w:rsidRPr="00A73A4C">
        <w:rPr>
          <w:lang w:val="es-ES_tradnl"/>
        </w:rPr>
        <w:t xml:space="preserve"> y </w:t>
      </w:r>
      <w:r>
        <w:rPr>
          <w:lang w:val="es-ES_tradnl"/>
        </w:rPr>
        <w:t>la e</w:t>
      </w:r>
      <w:r w:rsidRPr="00A73A4C">
        <w:rPr>
          <w:lang w:val="es-ES_tradnl"/>
        </w:rPr>
        <w:t>stadidad</w:t>
      </w:r>
      <w:r>
        <w:rPr>
          <w:lang w:val="es-ES_tradnl"/>
        </w:rPr>
        <w:t>,</w:t>
      </w:r>
      <w:r w:rsidRPr="00A73A4C">
        <w:rPr>
          <w:lang w:val="es-ES_tradnl"/>
        </w:rPr>
        <w:t xml:space="preserve"> respectivamente.</w:t>
      </w:r>
    </w:p>
    <w:p w:rsidR="005A5E7D" w:rsidRDefault="005A5E7D" w:rsidP="005A5E7D">
      <w:pPr>
        <w:rPr>
          <w:lang w:val="es-ES_tradnl"/>
        </w:rPr>
      </w:pPr>
      <w:r w:rsidRPr="00A73A4C">
        <w:rPr>
          <w:lang w:val="es-ES_tradnl"/>
        </w:rPr>
        <w:t>A pesar de estas diferencias cua</w:t>
      </w:r>
      <w:r>
        <w:rPr>
          <w:lang w:val="es-ES_tradnl"/>
        </w:rPr>
        <w:t>n</w:t>
      </w:r>
      <w:r w:rsidRPr="00A73A4C">
        <w:rPr>
          <w:lang w:val="es-ES_tradnl"/>
        </w:rPr>
        <w:t>ti</w:t>
      </w:r>
      <w:r>
        <w:rPr>
          <w:lang w:val="es-ES_tradnl"/>
        </w:rPr>
        <w:t>tati</w:t>
      </w:r>
      <w:r w:rsidRPr="00A73A4C">
        <w:rPr>
          <w:lang w:val="es-ES_tradnl"/>
        </w:rPr>
        <w:t>vas</w:t>
      </w:r>
      <w:r>
        <w:rPr>
          <w:lang w:val="es-ES_tradnl"/>
        </w:rPr>
        <w:t>,</w:t>
      </w:r>
      <w:r w:rsidRPr="00A73A4C">
        <w:rPr>
          <w:lang w:val="es-ES_tradnl"/>
        </w:rPr>
        <w:t xml:space="preserve"> “la emigración neta no será mayor que 1.5 por ciento de la población total en un determinado año</w:t>
      </w:r>
      <w:r>
        <w:rPr>
          <w:lang w:val="es-ES_tradnl"/>
        </w:rPr>
        <w:t>,</w:t>
      </w:r>
      <w:r w:rsidRPr="00A73A4C">
        <w:rPr>
          <w:lang w:val="es-ES_tradnl"/>
        </w:rPr>
        <w:t xml:space="preserve"> un promedio de 37,000 personas por año entre 1996 y 2000 (bajo la opción de la independencia)</w:t>
      </w:r>
      <w:r>
        <w:rPr>
          <w:lang w:val="es-ES_tradnl"/>
        </w:rPr>
        <w:t>.</w:t>
      </w:r>
      <w:r w:rsidRPr="00A73A4C">
        <w:rPr>
          <w:lang w:val="es-ES_tradnl"/>
        </w:rPr>
        <w:t xml:space="preserve"> El impacto acumulativo 1996-2000 podría alcanzar el 7 por ciento de la población bajo la opción de la independencia</w:t>
      </w:r>
      <w:r>
        <w:rPr>
          <w:lang w:val="es-ES_tradnl"/>
        </w:rPr>
        <w:t>”</w:t>
      </w:r>
      <w:r w:rsidRPr="00A73A4C">
        <w:rPr>
          <w:lang w:val="es-ES_tradnl"/>
        </w:rPr>
        <w:t>. E</w:t>
      </w:r>
      <w:r>
        <w:rPr>
          <w:lang w:val="es-ES_tradnl"/>
        </w:rPr>
        <w:t>l autor argumentó que e</w:t>
      </w:r>
      <w:r w:rsidRPr="00A73A4C">
        <w:rPr>
          <w:lang w:val="es-ES_tradnl"/>
        </w:rPr>
        <w:t>stos resultados sugieren que la migración</w:t>
      </w:r>
      <w:r>
        <w:rPr>
          <w:lang w:val="es-ES_tradnl"/>
        </w:rPr>
        <w:t xml:space="preserve"> </w:t>
      </w:r>
      <w:r w:rsidRPr="00A73A4C">
        <w:rPr>
          <w:lang w:val="es-ES_tradnl"/>
        </w:rPr>
        <w:t>laboral neta variar</w:t>
      </w:r>
      <w:r>
        <w:rPr>
          <w:lang w:val="es-ES_tradnl"/>
        </w:rPr>
        <w:t>ía</w:t>
      </w:r>
      <w:r w:rsidRPr="00A73A4C">
        <w:rPr>
          <w:lang w:val="es-ES_tradnl"/>
        </w:rPr>
        <w:t xml:space="preserve"> dependi</w:t>
      </w:r>
      <w:r>
        <w:rPr>
          <w:lang w:val="es-ES_tradnl"/>
        </w:rPr>
        <w:t>endo del estatus político, p</w:t>
      </w:r>
      <w:r w:rsidRPr="00A73A4C">
        <w:rPr>
          <w:lang w:val="es-ES_tradnl"/>
        </w:rPr>
        <w:t xml:space="preserve">ero </w:t>
      </w:r>
      <w:r>
        <w:rPr>
          <w:lang w:val="es-ES_tradnl"/>
        </w:rPr>
        <w:t xml:space="preserve">que </w:t>
      </w:r>
      <w:r w:rsidRPr="00A73A4C">
        <w:rPr>
          <w:lang w:val="es-ES_tradnl"/>
        </w:rPr>
        <w:t>las implicaciones del mercado de trabajo de las distintas opciones de estatus no se traducir</w:t>
      </w:r>
      <w:r>
        <w:rPr>
          <w:lang w:val="es-ES_tradnl"/>
        </w:rPr>
        <w:t>ía</w:t>
      </w:r>
      <w:r w:rsidRPr="00A73A4C">
        <w:rPr>
          <w:lang w:val="es-ES_tradnl"/>
        </w:rPr>
        <w:t xml:space="preserve"> </w:t>
      </w:r>
      <w:r>
        <w:rPr>
          <w:lang w:val="es-ES_tradnl"/>
        </w:rPr>
        <w:t>“</w:t>
      </w:r>
      <w:r w:rsidRPr="00A73A4C">
        <w:rPr>
          <w:lang w:val="es-ES_tradnl"/>
        </w:rPr>
        <w:t>en un nivel excesiva</w:t>
      </w:r>
      <w:r>
        <w:rPr>
          <w:lang w:val="es-ES_tradnl"/>
        </w:rPr>
        <w:t>mente alto en la migración neta”</w:t>
      </w:r>
      <w:r w:rsidRPr="00A73A4C">
        <w:rPr>
          <w:lang w:val="es-ES_tradnl"/>
        </w:rPr>
        <w:t xml:space="preserve"> (Santiago, 1998). </w:t>
      </w:r>
      <w:r>
        <w:rPr>
          <w:lang w:val="es-ES_tradnl"/>
        </w:rPr>
        <w:t>Advirtió</w:t>
      </w:r>
      <w:r w:rsidRPr="00A73A4C">
        <w:rPr>
          <w:lang w:val="es-ES_tradnl"/>
        </w:rPr>
        <w:t xml:space="preserve"> que hay una serie de otros factores</w:t>
      </w:r>
      <w:r>
        <w:rPr>
          <w:lang w:val="es-ES_tradnl"/>
        </w:rPr>
        <w:t>,</w:t>
      </w:r>
      <w:r w:rsidRPr="00A73A4C">
        <w:rPr>
          <w:lang w:val="es-ES_tradnl"/>
        </w:rPr>
        <w:t xml:space="preserve"> además de los discutidos en su trabajo,</w:t>
      </w:r>
      <w:r>
        <w:rPr>
          <w:lang w:val="es-ES_tradnl"/>
        </w:rPr>
        <w:t xml:space="preserve"> </w:t>
      </w:r>
      <w:r w:rsidRPr="00A73A4C">
        <w:rPr>
          <w:lang w:val="es-ES_tradnl"/>
        </w:rPr>
        <w:t>asociados a la condición política que posiblemente afectar</w:t>
      </w:r>
      <w:r>
        <w:rPr>
          <w:lang w:val="es-ES_tradnl"/>
        </w:rPr>
        <w:t>ían</w:t>
      </w:r>
      <w:r w:rsidRPr="00A73A4C">
        <w:rPr>
          <w:lang w:val="es-ES_tradnl"/>
        </w:rPr>
        <w:t xml:space="preserve"> </w:t>
      </w:r>
      <w:r>
        <w:rPr>
          <w:lang w:val="es-ES_tradnl"/>
        </w:rPr>
        <w:t xml:space="preserve">la migración entre </w:t>
      </w:r>
      <w:r w:rsidRPr="00A73A4C">
        <w:rPr>
          <w:lang w:val="es-ES_tradnl"/>
        </w:rPr>
        <w:t>Estados Unidos y Puerto Rico.</w:t>
      </w:r>
    </w:p>
    <w:p w:rsidR="005A5E7D" w:rsidRPr="00A73A4C" w:rsidRDefault="005A5E7D" w:rsidP="005A5E7D">
      <w:pPr>
        <w:rPr>
          <w:lang w:val="es-ES_tradnl"/>
        </w:rPr>
      </w:pPr>
      <w:r w:rsidRPr="00A73A4C">
        <w:rPr>
          <w:lang w:val="es-ES_tradnl"/>
        </w:rPr>
        <w:t>Al considerar los efectos que tendría un cambio en el sistema político sobre la migración, hay que plantearse el tema de la composición de la fuerza laboral industrial en la Isla. Para poder calcular cambios en la composición de la fuerza laboral se necesita un modelo que pueda predecir las características por ocupación de esta fuerza laboral migrante. Con este propósito</w:t>
      </w:r>
      <w:r>
        <w:rPr>
          <w:lang w:val="es-ES_tradnl"/>
        </w:rPr>
        <w:t>,</w:t>
      </w:r>
      <w:r w:rsidRPr="00A73A4C">
        <w:rPr>
          <w:lang w:val="es-ES_tradnl"/>
        </w:rPr>
        <w:t xml:space="preserve"> se usaron los resultados concernientes al desempleo y a la demanda de empleo por ocupación o</w:t>
      </w:r>
      <w:r>
        <w:rPr>
          <w:lang w:val="es-ES_tradnl"/>
        </w:rPr>
        <w:t>btenidos usando el modelo inter</w:t>
      </w:r>
      <w:r w:rsidRPr="00A73A4C">
        <w:rPr>
          <w:lang w:val="es-ES_tradnl"/>
        </w:rPr>
        <w:t>industrial para el año 2000 (Ruiz y Meléndez, 1993). La planificadora Irma Pérez-Johnson consider</w:t>
      </w:r>
      <w:r>
        <w:rPr>
          <w:lang w:val="es-ES_tradnl"/>
        </w:rPr>
        <w:t>ó</w:t>
      </w:r>
      <w:r w:rsidRPr="00A73A4C">
        <w:rPr>
          <w:lang w:val="es-ES_tradnl"/>
        </w:rPr>
        <w:t xml:space="preserve"> este aspecto en su trabajo.</w:t>
      </w:r>
    </w:p>
    <w:p w:rsidR="005A5E7D" w:rsidRDefault="005A5E7D" w:rsidP="005A5E7D">
      <w:pPr>
        <w:rPr>
          <w:lang w:val="es-ES_tradnl"/>
        </w:rPr>
      </w:pPr>
      <w:r>
        <w:rPr>
          <w:lang w:val="es-ES_tradnl" w:eastAsia="ja-JP"/>
        </w:rPr>
        <w:t>Irma Pérez</w:t>
      </w:r>
      <w:r w:rsidRPr="00A73A4C">
        <w:rPr>
          <w:lang w:val="es-ES_tradnl"/>
        </w:rPr>
        <w:t>-Johnson</w:t>
      </w:r>
      <w:r>
        <w:rPr>
          <w:lang w:val="es-ES_tradnl" w:eastAsia="ja-JP"/>
        </w:rPr>
        <w:t xml:space="preserve"> empezó</w:t>
      </w:r>
      <w:r w:rsidRPr="00A73A4C">
        <w:rPr>
          <w:lang w:val="es-ES_tradnl" w:eastAsia="ja-JP"/>
        </w:rPr>
        <w:t xml:space="preserve"> su trabajo formulá</w:t>
      </w:r>
      <w:r>
        <w:rPr>
          <w:lang w:val="es-ES_tradnl" w:eastAsia="ja-JP"/>
        </w:rPr>
        <w:t>ndose la siguiente interrogante:</w:t>
      </w:r>
      <w:r w:rsidRPr="00A73A4C">
        <w:rPr>
          <w:lang w:val="es-ES_tradnl" w:eastAsia="ja-JP"/>
        </w:rPr>
        <w:t xml:space="preserve"> ¿Cuáles son los efectos prospectivos de un cambio en el estatus político sobre la migración puertorriqueña? Para </w:t>
      </w:r>
      <w:r>
        <w:rPr>
          <w:lang w:val="es-ES_tradnl" w:eastAsia="ja-JP"/>
        </w:rPr>
        <w:t xml:space="preserve">intentar </w:t>
      </w:r>
      <w:r w:rsidRPr="00A73A4C">
        <w:rPr>
          <w:lang w:val="es-ES_tradnl" w:eastAsia="ja-JP"/>
        </w:rPr>
        <w:t>contestar</w:t>
      </w:r>
      <w:r>
        <w:rPr>
          <w:lang w:val="es-ES_tradnl" w:eastAsia="ja-JP"/>
        </w:rPr>
        <w:t xml:space="preserve"> la </w:t>
      </w:r>
      <w:r w:rsidRPr="00A73A4C">
        <w:rPr>
          <w:lang w:val="es-ES_tradnl" w:eastAsia="ja-JP"/>
        </w:rPr>
        <w:t xml:space="preserve"> </w:t>
      </w:r>
      <w:r>
        <w:rPr>
          <w:lang w:val="es-ES_tradnl" w:eastAsia="ja-JP"/>
        </w:rPr>
        <w:t>pregunta</w:t>
      </w:r>
      <w:r w:rsidRPr="00A73A4C">
        <w:rPr>
          <w:lang w:val="es-ES_tradnl" w:eastAsia="ja-JP"/>
        </w:rPr>
        <w:t xml:space="preserve"> </w:t>
      </w:r>
      <w:r w:rsidRPr="00A73A4C">
        <w:rPr>
          <w:lang w:val="es-ES_tradnl"/>
        </w:rPr>
        <w:t xml:space="preserve">(Meléndez </w:t>
      </w:r>
      <w:r>
        <w:rPr>
          <w:lang w:val="es-ES_tradnl"/>
        </w:rPr>
        <w:t xml:space="preserve">y </w:t>
      </w:r>
      <w:r w:rsidRPr="00A73A4C">
        <w:rPr>
          <w:lang w:val="es-ES_tradnl"/>
        </w:rPr>
        <w:t>Ruiz</w:t>
      </w:r>
      <w:r>
        <w:rPr>
          <w:lang w:val="es-ES_tradnl"/>
        </w:rPr>
        <w:t>,</w:t>
      </w:r>
      <w:r w:rsidRPr="00A73A4C">
        <w:rPr>
          <w:lang w:val="es-ES_tradnl"/>
        </w:rPr>
        <w:t xml:space="preserve"> 1998, páginas 223-46)</w:t>
      </w:r>
      <w:r>
        <w:rPr>
          <w:lang w:val="es-ES_tradnl"/>
        </w:rPr>
        <w:t>,</w:t>
      </w:r>
      <w:r w:rsidRPr="00A73A4C">
        <w:rPr>
          <w:lang w:val="es-ES_tradnl"/>
        </w:rPr>
        <w:t xml:space="preserve"> utiliz</w:t>
      </w:r>
      <w:r>
        <w:rPr>
          <w:lang w:val="es-ES_tradnl"/>
        </w:rPr>
        <w:t>ó</w:t>
      </w:r>
      <w:r w:rsidRPr="00A73A4C">
        <w:rPr>
          <w:lang w:val="es-ES_tradnl"/>
        </w:rPr>
        <w:t xml:space="preserve"> un modelo econométrico de reg</w:t>
      </w:r>
      <w:r>
        <w:rPr>
          <w:lang w:val="es-ES_tradnl"/>
        </w:rPr>
        <w:t>resión múltiple y un modelo de i</w:t>
      </w:r>
      <w:r w:rsidRPr="00A73A4C">
        <w:rPr>
          <w:lang w:val="es-ES_tradnl"/>
        </w:rPr>
        <w:t xml:space="preserve">nsumo-producto, junto </w:t>
      </w:r>
      <w:r>
        <w:rPr>
          <w:lang w:val="es-ES_tradnl"/>
        </w:rPr>
        <w:t>con</w:t>
      </w:r>
      <w:r w:rsidRPr="00A73A4C">
        <w:rPr>
          <w:lang w:val="es-ES_tradnl"/>
        </w:rPr>
        <w:t xml:space="preserve"> una matriz ocupacional</w:t>
      </w:r>
      <w:r>
        <w:rPr>
          <w:lang w:val="es-ES_tradnl"/>
        </w:rPr>
        <w:t>;</w:t>
      </w:r>
      <w:r w:rsidRPr="00A73A4C">
        <w:rPr>
          <w:lang w:val="es-ES_tradnl"/>
        </w:rPr>
        <w:t xml:space="preserve"> </w:t>
      </w:r>
      <w:r>
        <w:rPr>
          <w:lang w:val="es-ES_tradnl"/>
        </w:rPr>
        <w:t>e hizo</w:t>
      </w:r>
      <w:r w:rsidRPr="00A73A4C">
        <w:rPr>
          <w:lang w:val="es-ES_tradnl"/>
        </w:rPr>
        <w:t xml:space="preserve"> proyecciones de migración l</w:t>
      </w:r>
      <w:r>
        <w:rPr>
          <w:lang w:val="es-ES_tradnl"/>
        </w:rPr>
        <w:t xml:space="preserve">aboral por ocupación principal y formuló </w:t>
      </w:r>
      <w:r w:rsidRPr="00A73A4C">
        <w:rPr>
          <w:lang w:val="es-ES_tradnl"/>
        </w:rPr>
        <w:t xml:space="preserve">tres </w:t>
      </w:r>
      <w:r>
        <w:rPr>
          <w:lang w:val="es-ES_tradnl"/>
        </w:rPr>
        <w:t>escenarios.</w:t>
      </w:r>
    </w:p>
    <w:p w:rsidR="005A5E7D" w:rsidRDefault="005A5E7D" w:rsidP="005A5E7D">
      <w:pPr>
        <w:rPr>
          <w:szCs w:val="20"/>
          <w:lang w:val="es-ES_tradnl"/>
        </w:rPr>
      </w:pPr>
      <w:r>
        <w:rPr>
          <w:szCs w:val="20"/>
          <w:lang w:val="es-ES_tradnl"/>
        </w:rPr>
        <w:t>En primer lugar, desarrolló</w:t>
      </w:r>
      <w:r w:rsidRPr="00A73A4C">
        <w:rPr>
          <w:szCs w:val="20"/>
          <w:lang w:val="es-ES_tradnl"/>
        </w:rPr>
        <w:t xml:space="preserve"> un modelo econométrico de las tasas de emigración de la categoría ocupacional de profesionales</w:t>
      </w:r>
      <w:r>
        <w:rPr>
          <w:szCs w:val="20"/>
          <w:lang w:val="es-ES_tradnl"/>
        </w:rPr>
        <w:t>,</w:t>
      </w:r>
      <w:r w:rsidRPr="00A73A4C">
        <w:rPr>
          <w:szCs w:val="20"/>
          <w:lang w:val="es-ES_tradnl"/>
        </w:rPr>
        <w:t xml:space="preserve"> en el cual utiliz</w:t>
      </w:r>
      <w:r>
        <w:rPr>
          <w:szCs w:val="20"/>
          <w:lang w:val="es-ES_tradnl"/>
        </w:rPr>
        <w:t>ó</w:t>
      </w:r>
      <w:r w:rsidRPr="00A73A4C">
        <w:rPr>
          <w:szCs w:val="20"/>
          <w:lang w:val="es-ES_tradnl"/>
        </w:rPr>
        <w:t xml:space="preserve"> datos </w:t>
      </w:r>
      <w:r>
        <w:rPr>
          <w:szCs w:val="20"/>
          <w:lang w:val="es-ES_tradnl"/>
        </w:rPr>
        <w:t xml:space="preserve">de la Junta de Planificación </w:t>
      </w:r>
      <w:r w:rsidRPr="00A73A4C">
        <w:rPr>
          <w:szCs w:val="20"/>
          <w:lang w:val="es-ES_tradnl"/>
        </w:rPr>
        <w:t xml:space="preserve">(JP), </w:t>
      </w:r>
      <w:r>
        <w:rPr>
          <w:szCs w:val="20"/>
          <w:lang w:val="es-ES_tradnl"/>
        </w:rPr>
        <w:t xml:space="preserve">la </w:t>
      </w:r>
      <w:r w:rsidRPr="00A73A4C">
        <w:rPr>
          <w:szCs w:val="20"/>
          <w:lang w:val="es-ES_tradnl"/>
        </w:rPr>
        <w:t>Encuesta de Migración para el período 1982-1988, junto con los datos de empleo del Departamento de Trabajo de la Encuesta de Vivienda de Puerto Rico para el mismo período. En segundo lugar, estim</w:t>
      </w:r>
      <w:r>
        <w:rPr>
          <w:szCs w:val="20"/>
          <w:lang w:val="es-ES_tradnl"/>
        </w:rPr>
        <w:t>ó</w:t>
      </w:r>
      <w:r w:rsidRPr="00A73A4C">
        <w:rPr>
          <w:szCs w:val="20"/>
          <w:lang w:val="es-ES_tradnl"/>
        </w:rPr>
        <w:t xml:space="preserve"> proyecciones específicas de escenarios de tasas de desempleo por ocupación. Además</w:t>
      </w:r>
      <w:r>
        <w:rPr>
          <w:szCs w:val="20"/>
          <w:lang w:val="es-ES_tradnl"/>
        </w:rPr>
        <w:t>,</w:t>
      </w:r>
      <w:r w:rsidRPr="00A73A4C">
        <w:rPr>
          <w:szCs w:val="20"/>
          <w:lang w:val="es-ES_tradnl"/>
        </w:rPr>
        <w:t xml:space="preserve"> estim</w:t>
      </w:r>
      <w:r>
        <w:rPr>
          <w:szCs w:val="20"/>
          <w:lang w:val="es-ES_tradnl"/>
        </w:rPr>
        <w:t>ó</w:t>
      </w:r>
      <w:r w:rsidRPr="00A73A4C">
        <w:rPr>
          <w:szCs w:val="20"/>
          <w:lang w:val="es-ES_tradnl"/>
        </w:rPr>
        <w:t xml:space="preserve"> para el</w:t>
      </w:r>
      <w:r>
        <w:rPr>
          <w:szCs w:val="20"/>
          <w:lang w:val="es-ES_tradnl"/>
        </w:rPr>
        <w:t xml:space="preserve"> año 2000, usando un modelo de insumo-p</w:t>
      </w:r>
      <w:r w:rsidRPr="00A73A4C">
        <w:rPr>
          <w:szCs w:val="20"/>
          <w:lang w:val="es-ES_tradnl"/>
        </w:rPr>
        <w:t>roducto de la economía de Puerto Rico para los años 1982-1988</w:t>
      </w:r>
      <w:r>
        <w:rPr>
          <w:szCs w:val="20"/>
          <w:lang w:val="es-ES_tradnl"/>
        </w:rPr>
        <w:t>,</w:t>
      </w:r>
      <w:r w:rsidRPr="00A73A4C">
        <w:rPr>
          <w:szCs w:val="20"/>
          <w:lang w:val="es-ES_tradnl"/>
        </w:rPr>
        <w:t xml:space="preserve"> combinado con proyecciones de series de tiempo de la d</w:t>
      </w:r>
      <w:r>
        <w:rPr>
          <w:szCs w:val="20"/>
          <w:lang w:val="es-ES_tradnl"/>
        </w:rPr>
        <w:t>emanda de trabajo por industria</w:t>
      </w:r>
      <w:r w:rsidRPr="00A73A4C">
        <w:rPr>
          <w:szCs w:val="20"/>
          <w:lang w:val="es-ES_tradnl"/>
        </w:rPr>
        <w:t xml:space="preserve"> y una matriz de coeficientes para la demanda laboral por sector industrial. En tercer lugar, se alimenta</w:t>
      </w:r>
      <w:r>
        <w:rPr>
          <w:szCs w:val="20"/>
          <w:lang w:val="es-ES_tradnl"/>
        </w:rPr>
        <w:t>ro</w:t>
      </w:r>
      <w:r w:rsidRPr="00A73A4C">
        <w:rPr>
          <w:szCs w:val="20"/>
          <w:lang w:val="es-ES_tradnl"/>
        </w:rPr>
        <w:t>n las proyecciones de las tasas de desempleo por ocupación, producidos en el paso dos, en el modelo de tasas migratorias para estimar el volumen y la composición de los flujos de</w:t>
      </w:r>
      <w:r>
        <w:rPr>
          <w:szCs w:val="20"/>
          <w:lang w:val="es-ES_tradnl"/>
        </w:rPr>
        <w:t xml:space="preserve"> </w:t>
      </w:r>
      <w:r w:rsidRPr="00A73A4C">
        <w:rPr>
          <w:szCs w:val="20"/>
          <w:lang w:val="es-ES_tradnl"/>
        </w:rPr>
        <w:t>migración laboral para cada es</w:t>
      </w:r>
      <w:r>
        <w:rPr>
          <w:szCs w:val="20"/>
          <w:lang w:val="es-ES_tradnl"/>
        </w:rPr>
        <w:t>cenario.</w:t>
      </w:r>
    </w:p>
    <w:p w:rsidR="005A5E7D" w:rsidRPr="00A73A4C" w:rsidRDefault="005A5E7D" w:rsidP="005A5E7D">
      <w:pPr>
        <w:rPr>
          <w:lang w:val="es-ES_tradnl" w:eastAsia="ja-JP"/>
        </w:rPr>
      </w:pPr>
      <w:r w:rsidRPr="00A73A4C">
        <w:rPr>
          <w:szCs w:val="20"/>
          <w:lang w:val="es-ES_tradnl"/>
        </w:rPr>
        <w:t>La importancia de este trabajo es que us</w:t>
      </w:r>
      <w:r>
        <w:rPr>
          <w:szCs w:val="20"/>
          <w:lang w:val="es-ES_tradnl"/>
        </w:rPr>
        <w:t>ó</w:t>
      </w:r>
      <w:r w:rsidRPr="00A73A4C">
        <w:rPr>
          <w:szCs w:val="20"/>
          <w:lang w:val="es-ES_tradnl"/>
        </w:rPr>
        <w:t xml:space="preserve"> un modelo econométrico combinado con matrices de insumo-producto y ocupacionales para </w:t>
      </w:r>
      <w:r>
        <w:rPr>
          <w:szCs w:val="20"/>
          <w:lang w:val="es-ES_tradnl"/>
        </w:rPr>
        <w:t xml:space="preserve">producir </w:t>
      </w:r>
      <w:r w:rsidRPr="00A73A4C">
        <w:rPr>
          <w:szCs w:val="20"/>
          <w:lang w:val="es-ES_tradnl"/>
        </w:rPr>
        <w:t>sus proyecciones. Según esta autora</w:t>
      </w:r>
      <w:r>
        <w:rPr>
          <w:szCs w:val="20"/>
          <w:lang w:val="es-ES_tradnl"/>
        </w:rPr>
        <w:t>,</w:t>
      </w:r>
      <w:r w:rsidRPr="00A73A4C">
        <w:rPr>
          <w:szCs w:val="20"/>
          <w:lang w:val="es-ES_tradnl"/>
        </w:rPr>
        <w:t xml:space="preserve"> h</w:t>
      </w:r>
      <w:r w:rsidRPr="00A73A4C">
        <w:rPr>
          <w:lang w:val="es-ES_tradnl" w:eastAsia="ja-JP"/>
        </w:rPr>
        <w:t xml:space="preserve">istóricamente, los movimientos de individuos por motivos económicos han compuesto la mayor proporción de emigrantes puertorriqueños de 1982 a 1988. “La emigración puertorriqueña estuvo impulsada principalmente por las oportunidades de empleo en EE.UU., más que por diferencias en los ingresos entre la Isla y EE.UU. continental”. </w:t>
      </w:r>
      <w:r>
        <w:rPr>
          <w:lang w:val="es-ES_tradnl" w:eastAsia="ja-JP"/>
        </w:rPr>
        <w:t>E</w:t>
      </w:r>
      <w:r w:rsidRPr="00A73A4C">
        <w:rPr>
          <w:lang w:val="es-ES_tradnl" w:eastAsia="ja-JP"/>
        </w:rPr>
        <w:t>specific</w:t>
      </w:r>
      <w:r>
        <w:rPr>
          <w:lang w:val="es-ES_tradnl" w:eastAsia="ja-JP"/>
        </w:rPr>
        <w:t xml:space="preserve">ó que </w:t>
      </w:r>
      <w:r w:rsidRPr="00A73A4C">
        <w:rPr>
          <w:lang w:val="es-ES_tradnl" w:eastAsia="ja-JP"/>
        </w:rPr>
        <w:t>los escenarios del mercado laboral y la emigración confirm</w:t>
      </w:r>
      <w:r>
        <w:rPr>
          <w:lang w:val="es-ES_tradnl" w:eastAsia="ja-JP"/>
        </w:rPr>
        <w:t>an el conocimiento convencional,</w:t>
      </w:r>
      <w:r w:rsidRPr="00A73A4C">
        <w:rPr>
          <w:lang w:val="es-ES_tradnl" w:eastAsia="ja-JP"/>
        </w:rPr>
        <w:t xml:space="preserve"> que el crecimiento del empleo dentro de la economía puertorriqueña ocurrirá en sectores más allá del de la manufactura bajo la </w:t>
      </w:r>
      <w:r>
        <w:rPr>
          <w:lang w:val="es-ES_tradnl" w:eastAsia="ja-JP"/>
        </w:rPr>
        <w:t>S</w:t>
      </w:r>
      <w:r w:rsidRPr="00A73A4C">
        <w:rPr>
          <w:lang w:val="es-ES_tradnl" w:eastAsia="ja-JP"/>
        </w:rPr>
        <w:t>ección 936. Para el año 2000, la expansión proyectada del sector orientado a los servicios y el declive relativo de los sectores productivos dentro de la economía puertorriqueña implican un crecimiento laboral limitado para las ocupaciones de mediana y alt</w:t>
      </w:r>
      <w:r>
        <w:rPr>
          <w:lang w:val="es-ES_tradnl" w:eastAsia="ja-JP"/>
        </w:rPr>
        <w:t>a calificación laboral, co</w:t>
      </w:r>
      <w:r w:rsidRPr="00A73A4C">
        <w:rPr>
          <w:lang w:val="es-ES_tradnl" w:eastAsia="ja-JP"/>
        </w:rPr>
        <w:t>n relación al crecimiento de toda la fuerza laboral, y por consiguiente un nivel de desempleo similar, o peor, al de los años 1982 a 1988.</w:t>
      </w:r>
      <w:r>
        <w:rPr>
          <w:lang w:val="es-ES_tradnl" w:eastAsia="ja-JP"/>
        </w:rPr>
        <w:t xml:space="preserve"> E</w:t>
      </w:r>
      <w:r w:rsidRPr="00A73A4C">
        <w:rPr>
          <w:lang w:val="es-ES_tradnl" w:eastAsia="ja-JP"/>
        </w:rPr>
        <w:t>l mercado laboral puertorriqueño para el año 2000 no</w:t>
      </w:r>
      <w:r>
        <w:rPr>
          <w:lang w:val="es-ES_tradnl" w:eastAsia="ja-JP"/>
        </w:rPr>
        <w:t xml:space="preserve"> </w:t>
      </w:r>
      <w:r w:rsidRPr="00A73A4C">
        <w:rPr>
          <w:lang w:val="es-ES_tradnl" w:eastAsia="ja-JP"/>
        </w:rPr>
        <w:t>promet</w:t>
      </w:r>
      <w:r>
        <w:rPr>
          <w:lang w:val="es-ES_tradnl" w:eastAsia="ja-JP"/>
        </w:rPr>
        <w:t>ía</w:t>
      </w:r>
      <w:r w:rsidRPr="00A73A4C">
        <w:rPr>
          <w:lang w:val="es-ES_tradnl" w:eastAsia="ja-JP"/>
        </w:rPr>
        <w:t xml:space="preserve"> mejorías</w:t>
      </w:r>
      <w:r>
        <w:rPr>
          <w:lang w:val="es-ES_tradnl" w:eastAsia="ja-JP"/>
        </w:rPr>
        <w:t xml:space="preserve"> p</w:t>
      </w:r>
      <w:r w:rsidRPr="00A73A4C">
        <w:rPr>
          <w:lang w:val="es-ES_tradnl" w:eastAsia="ja-JP"/>
        </w:rPr>
        <w:t xml:space="preserve">ara la mayoría de </w:t>
      </w:r>
      <w:r>
        <w:rPr>
          <w:lang w:val="es-ES_tradnl" w:eastAsia="ja-JP"/>
        </w:rPr>
        <w:t xml:space="preserve">las </w:t>
      </w:r>
      <w:r w:rsidRPr="00A73A4C">
        <w:rPr>
          <w:lang w:val="es-ES_tradnl" w:eastAsia="ja-JP"/>
        </w:rPr>
        <w:t xml:space="preserve">ocupaciones. </w:t>
      </w:r>
    </w:p>
    <w:p w:rsidR="005A5E7D" w:rsidRPr="00A73A4C" w:rsidRDefault="005A5E7D" w:rsidP="005A5E7D">
      <w:pPr>
        <w:rPr>
          <w:lang w:val="es-ES_tradnl" w:eastAsia="ja-JP"/>
        </w:rPr>
      </w:pPr>
      <w:r w:rsidRPr="00A73A4C">
        <w:rPr>
          <w:lang w:val="es-ES_tradnl" w:eastAsia="ja-JP"/>
        </w:rPr>
        <w:t>Las ocupaciones de relativamente bajo nivel de capacitación (ventas, servic</w:t>
      </w:r>
      <w:r>
        <w:rPr>
          <w:lang w:val="es-ES_tradnl" w:eastAsia="ja-JP"/>
        </w:rPr>
        <w:t>ios, administrativos, etc.) sería</w:t>
      </w:r>
      <w:r w:rsidRPr="00A73A4C">
        <w:rPr>
          <w:lang w:val="es-ES_tradnl" w:eastAsia="ja-JP"/>
        </w:rPr>
        <w:t>n el único grupo para el cual el empleo estaría apto para expandirse lo suficiente como para acomodar el crecimiento de la fuerza laboral y contribuir al crecimiento en empleo. La limitada creación de empleo relativo al crecimiento de la fuerza laboral p</w:t>
      </w:r>
      <w:r>
        <w:rPr>
          <w:lang w:val="es-ES_tradnl" w:eastAsia="ja-JP"/>
        </w:rPr>
        <w:t>odría</w:t>
      </w:r>
      <w:r w:rsidRPr="00A73A4C">
        <w:rPr>
          <w:lang w:val="es-ES_tradnl" w:eastAsia="ja-JP"/>
        </w:rPr>
        <w:t xml:space="preserve"> resultar en un aumento en el desempleo cinco veces mayor al observado durante 1982 a 1988 en los empleos altamente calificados. En los empleos de calificación media también se vislumbra</w:t>
      </w:r>
      <w:r>
        <w:rPr>
          <w:lang w:val="es-ES_tradnl" w:eastAsia="ja-JP"/>
        </w:rPr>
        <w:t>ba</w:t>
      </w:r>
      <w:r w:rsidRPr="00A73A4C">
        <w:rPr>
          <w:lang w:val="es-ES_tradnl" w:eastAsia="ja-JP"/>
        </w:rPr>
        <w:t xml:space="preserve"> un escenario aparentemente limitado. Por causa de la poca capacidad de creación de empleo en el sector manufacturero, se espera</w:t>
      </w:r>
      <w:r>
        <w:rPr>
          <w:lang w:val="es-ES_tradnl" w:eastAsia="ja-JP"/>
        </w:rPr>
        <w:t>ba</w:t>
      </w:r>
      <w:r w:rsidRPr="00A73A4C">
        <w:rPr>
          <w:lang w:val="es-ES_tradnl" w:eastAsia="ja-JP"/>
        </w:rPr>
        <w:t xml:space="preserve"> un aumento en la incidencia de desempleo entre la ocupación de operarios en el sector de la</w:t>
      </w:r>
      <w:r>
        <w:rPr>
          <w:lang w:val="es-ES_tradnl" w:eastAsia="ja-JP"/>
        </w:rPr>
        <w:t xml:space="preserve"> </w:t>
      </w:r>
      <w:r w:rsidRPr="00A73A4C">
        <w:rPr>
          <w:lang w:val="es-ES_tradnl" w:eastAsia="ja-JP"/>
        </w:rPr>
        <w:t>manufactura.</w:t>
      </w:r>
      <w:r>
        <w:rPr>
          <w:lang w:val="es-ES_tradnl" w:eastAsia="ja-JP"/>
        </w:rPr>
        <w:t xml:space="preserve"> </w:t>
      </w:r>
    </w:p>
    <w:p w:rsidR="005A5E7D" w:rsidRPr="00A73A4C" w:rsidRDefault="005A5E7D" w:rsidP="005A5E7D">
      <w:pPr>
        <w:rPr>
          <w:lang w:val="es-ES_tradnl" w:eastAsia="ja-JP"/>
        </w:rPr>
      </w:pPr>
      <w:r w:rsidRPr="00A73A4C">
        <w:rPr>
          <w:lang w:val="es-ES_tradnl" w:eastAsia="ja-JP"/>
        </w:rPr>
        <w:t xml:space="preserve">Bajo el </w:t>
      </w:r>
      <w:r>
        <w:rPr>
          <w:lang w:val="es-ES_tradnl" w:eastAsia="ja-JP"/>
        </w:rPr>
        <w:t>escenari</w:t>
      </w:r>
      <w:r w:rsidRPr="00A73A4C">
        <w:rPr>
          <w:lang w:val="es-ES_tradnl" w:eastAsia="ja-JP"/>
        </w:rPr>
        <w:t>o de una reducción (o eliminación) de l</w:t>
      </w:r>
      <w:r>
        <w:rPr>
          <w:lang w:val="es-ES_tradnl" w:eastAsia="ja-JP"/>
        </w:rPr>
        <w:t>a actividad industrial bajo la S</w:t>
      </w:r>
      <w:r w:rsidRPr="00A73A4C">
        <w:rPr>
          <w:lang w:val="es-ES_tradnl" w:eastAsia="ja-JP"/>
        </w:rPr>
        <w:t>ección 936, se espera</w:t>
      </w:r>
      <w:r>
        <w:rPr>
          <w:lang w:val="es-ES_tradnl" w:eastAsia="ja-JP"/>
        </w:rPr>
        <w:t>ba</w:t>
      </w:r>
      <w:r w:rsidRPr="00A73A4C">
        <w:rPr>
          <w:lang w:val="es-ES_tradnl" w:eastAsia="ja-JP"/>
        </w:rPr>
        <w:t xml:space="preserve"> que las tendencias migratorias en las distintas ocupaciones se increment</w:t>
      </w:r>
      <w:r>
        <w:rPr>
          <w:lang w:val="es-ES_tradnl" w:eastAsia="ja-JP"/>
        </w:rPr>
        <w:t>ara</w:t>
      </w:r>
      <w:r w:rsidRPr="00A73A4C">
        <w:rPr>
          <w:lang w:val="es-ES_tradnl" w:eastAsia="ja-JP"/>
        </w:rPr>
        <w:t>. Los incrementos proyectados en el flujo migratorio total por trimestre de Puerto Rico hacia E</w:t>
      </w:r>
      <w:r>
        <w:rPr>
          <w:lang w:val="es-ES_tradnl" w:eastAsia="ja-JP"/>
        </w:rPr>
        <w:t>stados Unidos</w:t>
      </w:r>
      <w:r w:rsidRPr="00A73A4C">
        <w:rPr>
          <w:lang w:val="es-ES_tradnl" w:eastAsia="ja-JP"/>
        </w:rPr>
        <w:t xml:space="preserve"> </w:t>
      </w:r>
      <w:r>
        <w:rPr>
          <w:lang w:val="es-ES_tradnl" w:eastAsia="ja-JP"/>
        </w:rPr>
        <w:t>fuero</w:t>
      </w:r>
      <w:r w:rsidRPr="00A73A4C">
        <w:rPr>
          <w:lang w:val="es-ES_tradnl" w:eastAsia="ja-JP"/>
        </w:rPr>
        <w:t>n notables. Sin duda, los peores efectos de l</w:t>
      </w:r>
      <w:r>
        <w:rPr>
          <w:lang w:val="es-ES_tradnl" w:eastAsia="ja-JP"/>
        </w:rPr>
        <w:t>os cambios a la Sección 936 sería</w:t>
      </w:r>
      <w:r w:rsidRPr="00A73A4C">
        <w:rPr>
          <w:lang w:val="es-ES_tradnl" w:eastAsia="ja-JP"/>
        </w:rPr>
        <w:t>n para los individuos de mediana calificación laboral, como operarios manufactureros, de los que se predi</w:t>
      </w:r>
      <w:r>
        <w:rPr>
          <w:lang w:val="es-ES_tradnl" w:eastAsia="ja-JP"/>
        </w:rPr>
        <w:t>jo</w:t>
      </w:r>
      <w:r w:rsidRPr="00A73A4C">
        <w:rPr>
          <w:lang w:val="es-ES_tradnl" w:eastAsia="ja-JP"/>
        </w:rPr>
        <w:t xml:space="preserve"> que también este grupo compon</w:t>
      </w:r>
      <w:r>
        <w:rPr>
          <w:lang w:val="es-ES_tradnl" w:eastAsia="ja-JP"/>
        </w:rPr>
        <w:t>dría</w:t>
      </w:r>
      <w:r w:rsidRPr="00A73A4C">
        <w:rPr>
          <w:lang w:val="es-ES_tradnl" w:eastAsia="ja-JP"/>
        </w:rPr>
        <w:t xml:space="preserve"> la mayor proporción del flujo migratorio trimestral.</w:t>
      </w:r>
    </w:p>
    <w:p w:rsidR="005A5E7D" w:rsidRPr="00A73A4C" w:rsidRDefault="005A5E7D" w:rsidP="005A5E7D">
      <w:pPr>
        <w:rPr>
          <w:lang w:val="es-ES_tradnl" w:eastAsia="ja-JP"/>
        </w:rPr>
      </w:pPr>
      <w:r>
        <w:rPr>
          <w:lang w:val="es-ES_tradnl"/>
        </w:rPr>
        <w:t>E</w:t>
      </w:r>
      <w:r w:rsidRPr="00A73A4C">
        <w:rPr>
          <w:lang w:val="es-ES_tradnl"/>
        </w:rPr>
        <w:t>sta autora concluy</w:t>
      </w:r>
      <w:r>
        <w:rPr>
          <w:lang w:val="es-ES_tradnl"/>
        </w:rPr>
        <w:t>ó</w:t>
      </w:r>
      <w:r w:rsidRPr="00A73A4C">
        <w:rPr>
          <w:lang w:val="es-ES_tradnl"/>
        </w:rPr>
        <w:t xml:space="preserve"> </w:t>
      </w:r>
      <w:r>
        <w:rPr>
          <w:lang w:val="es-ES_tradnl"/>
        </w:rPr>
        <w:t>que u</w:t>
      </w:r>
      <w:r w:rsidRPr="00A73A4C">
        <w:rPr>
          <w:lang w:val="es-ES_tradnl"/>
        </w:rPr>
        <w:t>na de las im</w:t>
      </w:r>
      <w:r>
        <w:rPr>
          <w:lang w:val="es-ES_tradnl"/>
        </w:rPr>
        <w:t>plicaciones de política pública es que</w:t>
      </w:r>
      <w:r w:rsidRPr="00A73A4C">
        <w:rPr>
          <w:lang w:val="es-ES_tradnl"/>
        </w:rPr>
        <w:t xml:space="preserve"> “</w:t>
      </w:r>
      <w:r w:rsidRPr="00A73A4C">
        <w:rPr>
          <w:lang w:val="es-ES_tradnl" w:eastAsia="ja-JP"/>
        </w:rPr>
        <w:t>la reducción de los beneficios de la Sección 936, correspondientes tanto a la estadidad como a la independencia</w:t>
      </w:r>
      <w:r>
        <w:rPr>
          <w:lang w:val="es-ES_tradnl" w:eastAsia="ja-JP"/>
        </w:rPr>
        <w:t>,</w:t>
      </w:r>
      <w:r w:rsidRPr="00A73A4C">
        <w:rPr>
          <w:lang w:val="es-ES_tradnl" w:eastAsia="ja-JP"/>
        </w:rPr>
        <w:t xml:space="preserve"> no muestra una salida al declive en general, excepto en el nivel de desempleo y la emigración que se verán exacerbados</w:t>
      </w:r>
      <w:r>
        <w:rPr>
          <w:lang w:val="es-ES_tradnl" w:eastAsia="ja-JP"/>
        </w:rPr>
        <w:t>”</w:t>
      </w:r>
      <w:r w:rsidRPr="00A73A4C">
        <w:rPr>
          <w:lang w:val="es-ES_tradnl" w:eastAsia="ja-JP"/>
        </w:rPr>
        <w:t xml:space="preserve">. </w:t>
      </w:r>
      <w:r>
        <w:rPr>
          <w:lang w:val="es-ES_tradnl" w:eastAsia="ja-JP"/>
        </w:rPr>
        <w:t>Además, que e</w:t>
      </w:r>
      <w:r w:rsidRPr="00A73A4C">
        <w:rPr>
          <w:lang w:val="es-ES_tradnl" w:eastAsia="ja-JP"/>
        </w:rPr>
        <w:t>l impacto de las diferentes reducciones y de las políticas compensatorias se hac</w:t>
      </w:r>
      <w:r>
        <w:rPr>
          <w:lang w:val="es-ES_tradnl" w:eastAsia="ja-JP"/>
        </w:rPr>
        <w:t>ía</w:t>
      </w:r>
      <w:r w:rsidRPr="00A73A4C">
        <w:rPr>
          <w:lang w:val="es-ES_tradnl" w:eastAsia="ja-JP"/>
        </w:rPr>
        <w:t xml:space="preserve"> más notable en los empleos de alta y media calificación laboral.</w:t>
      </w:r>
      <w:r>
        <w:rPr>
          <w:lang w:val="es-ES_tradnl" w:eastAsia="ja-JP"/>
        </w:rPr>
        <w:t xml:space="preserve"> </w:t>
      </w:r>
    </w:p>
    <w:p w:rsidR="005A5E7D" w:rsidRPr="00A73A4C" w:rsidRDefault="005A5E7D" w:rsidP="005A5E7D">
      <w:pPr>
        <w:rPr>
          <w:lang w:val="es-ES_tradnl" w:eastAsia="ja-JP"/>
        </w:rPr>
      </w:pPr>
      <w:r w:rsidRPr="00A73A4C">
        <w:rPr>
          <w:lang w:val="es-ES_tradnl" w:eastAsia="ja-JP"/>
        </w:rPr>
        <w:t>Estos resultados indica</w:t>
      </w:r>
      <w:r>
        <w:rPr>
          <w:lang w:val="es-ES_tradnl" w:eastAsia="ja-JP"/>
        </w:rPr>
        <w:t>ro</w:t>
      </w:r>
      <w:r w:rsidRPr="00A73A4C">
        <w:rPr>
          <w:lang w:val="es-ES_tradnl" w:eastAsia="ja-JP"/>
        </w:rPr>
        <w:t>n la necesidad de un enfoque diferente en el programa de desarrollo de la Isla. Las políticas dirigidas a la</w:t>
      </w:r>
      <w:r>
        <w:rPr>
          <w:lang w:val="es-ES_tradnl" w:eastAsia="ja-JP"/>
        </w:rPr>
        <w:t xml:space="preserve"> preservación de la Sección 936 e industrias similares</w:t>
      </w:r>
      <w:r w:rsidRPr="00A73A4C">
        <w:rPr>
          <w:lang w:val="es-ES_tradnl" w:eastAsia="ja-JP"/>
        </w:rPr>
        <w:t xml:space="preserve"> perpetuarán las ya insuficientes oportunidades de empleo para los individuos de mediana calificación laboral. Para generar más </w:t>
      </w:r>
      <w:r>
        <w:rPr>
          <w:lang w:val="es-ES_tradnl" w:eastAsia="ja-JP"/>
        </w:rPr>
        <w:t xml:space="preserve">de este tipo de empleos, </w:t>
      </w:r>
      <w:r w:rsidRPr="00A73A4C">
        <w:rPr>
          <w:lang w:val="es-ES_tradnl" w:eastAsia="ja-JP"/>
        </w:rPr>
        <w:t>el enfoque debe centrarse en empresas de utilización intensa de mano de obra. Por los lazos con la manufactura, estas medidas pueden traer impactos secundarios en la generación de empleo para los puertorriqueño</w:t>
      </w:r>
      <w:r>
        <w:rPr>
          <w:lang w:val="es-ES_tradnl" w:eastAsia="ja-JP"/>
        </w:rPr>
        <w:t>s de bajo nivel de calificación</w:t>
      </w:r>
      <w:r w:rsidRPr="00A73A4C">
        <w:rPr>
          <w:lang w:val="es-ES_tradnl" w:eastAsia="ja-JP"/>
        </w:rPr>
        <w:t xml:space="preserve"> o los empleos orientados al área de servicios.</w:t>
      </w:r>
      <w:r>
        <w:rPr>
          <w:lang w:val="es-ES_tradnl" w:eastAsia="ja-JP"/>
        </w:rPr>
        <w:t xml:space="preserve"> </w:t>
      </w:r>
      <w:r w:rsidRPr="00A73A4C">
        <w:rPr>
          <w:lang w:val="es-ES_tradnl" w:eastAsia="ja-JP"/>
        </w:rPr>
        <w:t>Su contribución a la generación de nuevas oportunidades de empleo para los individuos en el extremo más alto del espectro ocupacional, no obstante, ser</w:t>
      </w:r>
      <w:r>
        <w:rPr>
          <w:lang w:val="es-ES_tradnl" w:eastAsia="ja-JP"/>
        </w:rPr>
        <w:t>ía</w:t>
      </w:r>
      <w:r w:rsidRPr="00A73A4C">
        <w:rPr>
          <w:lang w:val="es-ES_tradnl" w:eastAsia="ja-JP"/>
        </w:rPr>
        <w:t xml:space="preserve"> más bien limitada. La promoción en la creación de empresas domésticas, la promoción</w:t>
      </w:r>
      <w:r>
        <w:rPr>
          <w:lang w:val="es-ES_tradnl" w:eastAsia="ja-JP"/>
        </w:rPr>
        <w:t xml:space="preserve"> de más aventuras empresariales</w:t>
      </w:r>
      <w:r w:rsidRPr="00A73A4C">
        <w:rPr>
          <w:lang w:val="es-ES_tradnl" w:eastAsia="ja-JP"/>
        </w:rPr>
        <w:t xml:space="preserve"> o</w:t>
      </w:r>
      <w:r>
        <w:rPr>
          <w:lang w:val="es-ES_tradnl" w:eastAsia="ja-JP"/>
        </w:rPr>
        <w:t xml:space="preserve"> creación de empleo directo serían</w:t>
      </w:r>
      <w:r w:rsidRPr="00A73A4C">
        <w:rPr>
          <w:lang w:val="es-ES_tradnl" w:eastAsia="ja-JP"/>
        </w:rPr>
        <w:t xml:space="preserve"> crucial</w:t>
      </w:r>
      <w:r>
        <w:rPr>
          <w:lang w:val="es-ES_tradnl" w:eastAsia="ja-JP"/>
        </w:rPr>
        <w:t>es</w:t>
      </w:r>
      <w:r w:rsidRPr="00A73A4C">
        <w:rPr>
          <w:lang w:val="es-ES_tradnl" w:eastAsia="ja-JP"/>
        </w:rPr>
        <w:t xml:space="preserve"> en el desarrollo de las posibilidades del mercado laboral</w:t>
      </w:r>
      <w:r>
        <w:rPr>
          <w:lang w:val="es-ES_tradnl" w:eastAsia="ja-JP"/>
        </w:rPr>
        <w:t xml:space="preserve"> puertorriqueño</w:t>
      </w:r>
      <w:r w:rsidRPr="00A73A4C">
        <w:rPr>
          <w:lang w:val="es-ES_tradnl" w:eastAsia="ja-JP"/>
        </w:rPr>
        <w:t xml:space="preserve"> para los empleos profesionales, técnicos</w:t>
      </w:r>
      <w:r>
        <w:rPr>
          <w:lang w:val="es-ES_tradnl" w:eastAsia="ja-JP"/>
        </w:rPr>
        <w:t>, gerenciales y administrativos, afirmó Pérez</w:t>
      </w:r>
      <w:r w:rsidRPr="00A73A4C">
        <w:rPr>
          <w:lang w:val="es-ES_tradnl"/>
        </w:rPr>
        <w:t>-Johnson</w:t>
      </w:r>
      <w:r w:rsidRPr="00A73A4C">
        <w:rPr>
          <w:lang w:val="es-ES_tradnl" w:eastAsia="ja-JP"/>
        </w:rPr>
        <w:t>.</w:t>
      </w:r>
    </w:p>
    <w:p w:rsidR="005A5E7D" w:rsidRPr="00A73A4C" w:rsidRDefault="005A5E7D" w:rsidP="005A5E7D">
      <w:pPr>
        <w:rPr>
          <w:lang w:val="es-ES_tradnl" w:eastAsia="ja-JP"/>
        </w:rPr>
      </w:pPr>
      <w:r w:rsidRPr="00A73A4C">
        <w:rPr>
          <w:lang w:val="es-ES_tradnl" w:eastAsia="ja-JP"/>
        </w:rPr>
        <w:t>Algunas de las implicaciones</w:t>
      </w:r>
      <w:r>
        <w:rPr>
          <w:lang w:val="es-ES_tradnl" w:eastAsia="ja-JP"/>
        </w:rPr>
        <w:t xml:space="preserve"> </w:t>
      </w:r>
      <w:r w:rsidRPr="00A73A4C">
        <w:rPr>
          <w:lang w:val="es-ES_tradnl" w:eastAsia="ja-JP"/>
        </w:rPr>
        <w:t>del trabajo de esta autora son, en primer lugar, que los difíciles desafíos que enfrenta la política puertorriqueña, causada por el crecimiento limitado de las posibilidades en la economía de la Isla, se espera que sigan presentes en los próximos años y</w:t>
      </w:r>
      <w:r>
        <w:rPr>
          <w:lang w:val="es-ES_tradnl" w:eastAsia="ja-JP"/>
        </w:rPr>
        <w:t>,</w:t>
      </w:r>
      <w:r w:rsidRPr="00A73A4C">
        <w:rPr>
          <w:lang w:val="es-ES_tradnl" w:eastAsia="ja-JP"/>
        </w:rPr>
        <w:t xml:space="preserve"> en segundo lugar</w:t>
      </w:r>
      <w:r>
        <w:rPr>
          <w:lang w:val="es-ES_tradnl" w:eastAsia="ja-JP"/>
        </w:rPr>
        <w:t>,</w:t>
      </w:r>
      <w:r w:rsidRPr="00A73A4C">
        <w:rPr>
          <w:lang w:val="es-ES_tradnl" w:eastAsia="ja-JP"/>
        </w:rPr>
        <w:t xml:space="preserve"> que si la emigración sirve como un mecanismo de ajuste a los cambios proyectados, puede tener consecuencias adversas para la economía puertorriqueña en el largo plazo. El efec</w:t>
      </w:r>
      <w:r>
        <w:rPr>
          <w:lang w:val="es-ES_tradnl" w:eastAsia="ja-JP"/>
        </w:rPr>
        <w:t>to acumulativo de la emigración</w:t>
      </w:r>
      <w:r w:rsidRPr="00A73A4C">
        <w:rPr>
          <w:lang w:val="es-ES_tradnl" w:eastAsia="ja-JP"/>
        </w:rPr>
        <w:t xml:space="preserve"> podría dejar la economía puertorriqueña con recursos sumamente limitados, particularmente en términos de la moral y la capacidad de la fuerza laboral, que podría utilizarse para el desarrollo futuro de la economía puertorriqueña.</w:t>
      </w:r>
      <w:r>
        <w:rPr>
          <w:lang w:val="es-ES_tradnl" w:eastAsia="ja-JP"/>
        </w:rPr>
        <w:t xml:space="preserve"> </w:t>
      </w:r>
    </w:p>
    <w:p w:rsidR="005A5E7D" w:rsidRDefault="005A5E7D" w:rsidP="005A5E7D">
      <w:pPr>
        <w:rPr>
          <w:lang w:val="es-ES_tradnl"/>
        </w:rPr>
      </w:pPr>
      <w:r w:rsidRPr="00A73A4C">
        <w:rPr>
          <w:lang w:val="es-ES_tradnl"/>
        </w:rPr>
        <w:t>Meléndez y Ruiz (1998) plantea</w:t>
      </w:r>
      <w:r>
        <w:rPr>
          <w:lang w:val="es-ES_tradnl"/>
        </w:rPr>
        <w:t>ro</w:t>
      </w:r>
      <w:r w:rsidRPr="00A73A4C">
        <w:rPr>
          <w:lang w:val="es-ES_tradnl"/>
        </w:rPr>
        <w:t>n que cualquier cambio en la situación política puede afectar el ni</w:t>
      </w:r>
      <w:r>
        <w:rPr>
          <w:lang w:val="es-ES_tradnl"/>
        </w:rPr>
        <w:t>vel de migración de Puerto Rico</w:t>
      </w:r>
      <w:r w:rsidRPr="00A73A4C">
        <w:rPr>
          <w:lang w:val="es-ES_tradnl"/>
        </w:rPr>
        <w:t xml:space="preserve">, ya sea directamente </w:t>
      </w:r>
      <w:r>
        <w:rPr>
          <w:lang w:val="es-ES_tradnl"/>
        </w:rPr>
        <w:t>(</w:t>
      </w:r>
      <w:r w:rsidRPr="00A73A4C">
        <w:rPr>
          <w:lang w:val="es-ES_tradnl"/>
        </w:rPr>
        <w:t>mediante la inducción de cambios en el salario mínimo</w:t>
      </w:r>
      <w:r>
        <w:rPr>
          <w:lang w:val="es-ES_tradnl"/>
        </w:rPr>
        <w:t>)</w:t>
      </w:r>
      <w:r w:rsidRPr="00A73A4C">
        <w:rPr>
          <w:lang w:val="es-ES_tradnl"/>
        </w:rPr>
        <w:t xml:space="preserve"> o indirectamente </w:t>
      </w:r>
      <w:r>
        <w:rPr>
          <w:lang w:val="es-ES_tradnl"/>
        </w:rPr>
        <w:t>(</w:t>
      </w:r>
      <w:r w:rsidRPr="00A73A4C">
        <w:rPr>
          <w:lang w:val="es-ES_tradnl"/>
        </w:rPr>
        <w:t>mediante la alteración de la demanda de mano de obra en determinados sectores industriales o de influir en la composición de los migrantes). En primer lugar</w:t>
      </w:r>
      <w:r>
        <w:rPr>
          <w:lang w:val="es-ES_tradnl"/>
        </w:rPr>
        <w:t>,</w:t>
      </w:r>
      <w:r w:rsidRPr="00A73A4C">
        <w:rPr>
          <w:lang w:val="es-ES_tradnl"/>
        </w:rPr>
        <w:t xml:space="preserve"> tenemos en cuenta los efectos sobre las migraciones de un cambio en el salario mínimo causado por la adopción de un</w:t>
      </w:r>
      <w:r>
        <w:rPr>
          <w:lang w:val="es-ES_tradnl"/>
        </w:rPr>
        <w:t>a de las alternativas políticas</w:t>
      </w:r>
      <w:r w:rsidRPr="00A73A4C">
        <w:rPr>
          <w:lang w:val="es-ES_tradnl"/>
        </w:rPr>
        <w:t>. La principal conclusión es que ese cambio va a afectar</w:t>
      </w:r>
      <w:r>
        <w:rPr>
          <w:lang w:val="es-ES_tradnl"/>
        </w:rPr>
        <w:t>,</w:t>
      </w:r>
      <w:r w:rsidRPr="00A73A4C">
        <w:rPr>
          <w:lang w:val="es-ES_tradnl"/>
        </w:rPr>
        <w:t xml:space="preserve"> en gran medida</w:t>
      </w:r>
      <w:r>
        <w:rPr>
          <w:lang w:val="es-ES_tradnl"/>
        </w:rPr>
        <w:t>,</w:t>
      </w:r>
      <w:r w:rsidRPr="00A73A4C">
        <w:rPr>
          <w:lang w:val="es-ES_tradnl"/>
        </w:rPr>
        <w:t xml:space="preserve"> el nivel en lugar de</w:t>
      </w:r>
      <w:r>
        <w:rPr>
          <w:lang w:val="es-ES_tradnl"/>
        </w:rPr>
        <w:t xml:space="preserve"> la composición de la migración.</w:t>
      </w:r>
    </w:p>
    <w:p w:rsidR="005A5E7D" w:rsidRDefault="005A5E7D" w:rsidP="005A5E7D">
      <w:pPr>
        <w:rPr>
          <w:lang w:val="es-ES_tradnl"/>
        </w:rPr>
      </w:pPr>
      <w:r w:rsidRPr="00A73A4C">
        <w:rPr>
          <w:lang w:val="es-ES_tradnl"/>
        </w:rPr>
        <w:t>Un aumento en el salario mínimo en Puerto Rico se traducir</w:t>
      </w:r>
      <w:r>
        <w:rPr>
          <w:lang w:val="es-ES_tradnl"/>
        </w:rPr>
        <w:t>ía</w:t>
      </w:r>
      <w:r w:rsidRPr="00A73A4C">
        <w:rPr>
          <w:lang w:val="es-ES_tradnl"/>
        </w:rPr>
        <w:t xml:space="preserve"> directamente en una reducción del número de traba</w:t>
      </w:r>
      <w:r>
        <w:rPr>
          <w:lang w:val="es-ES_tradnl"/>
        </w:rPr>
        <w:t>jadores dispuestos a emigrar a Estados Unidos</w:t>
      </w:r>
      <w:r w:rsidRPr="00A73A4C">
        <w:rPr>
          <w:lang w:val="es-ES_tradnl"/>
        </w:rPr>
        <w:t xml:space="preserve"> y dar</w:t>
      </w:r>
      <w:r>
        <w:rPr>
          <w:lang w:val="es-ES_tradnl"/>
        </w:rPr>
        <w:t>ía</w:t>
      </w:r>
      <w:r w:rsidRPr="00A73A4C">
        <w:rPr>
          <w:lang w:val="es-ES_tradnl"/>
        </w:rPr>
        <w:t xml:space="preserve"> lugar a un aumento de la mig</w:t>
      </w:r>
      <w:r>
        <w:rPr>
          <w:lang w:val="es-ES_tradnl"/>
        </w:rPr>
        <w:t>ración de retorno. Sin embargo</w:t>
      </w:r>
      <w:r w:rsidRPr="00A73A4C">
        <w:rPr>
          <w:lang w:val="es-ES_tradnl"/>
        </w:rPr>
        <w:t>, un aumento en el salario mínimo también puede llevar a algunas empresas a congelar o reducir su demanda de trabajo. Este estudio dem</w:t>
      </w:r>
      <w:r>
        <w:rPr>
          <w:lang w:val="es-ES_tradnl"/>
        </w:rPr>
        <w:t>ostró</w:t>
      </w:r>
      <w:r w:rsidRPr="00A73A4C">
        <w:rPr>
          <w:lang w:val="es-ES_tradnl"/>
        </w:rPr>
        <w:t xml:space="preserve"> que el principal efecto de un aumento en el salario mínimo ser</w:t>
      </w:r>
      <w:r>
        <w:rPr>
          <w:lang w:val="es-ES_tradnl"/>
        </w:rPr>
        <w:t>ía</w:t>
      </w:r>
      <w:r w:rsidRPr="00A73A4C">
        <w:rPr>
          <w:lang w:val="es-ES_tradnl"/>
        </w:rPr>
        <w:t xml:space="preserve"> una reducción en la</w:t>
      </w:r>
      <w:r>
        <w:rPr>
          <w:lang w:val="es-ES_tradnl"/>
        </w:rPr>
        <w:t xml:space="preserve"> migración</w:t>
      </w:r>
      <w:r w:rsidRPr="00A73A4C">
        <w:rPr>
          <w:lang w:val="es-ES_tradnl"/>
        </w:rPr>
        <w:t>, aunque este aumento crea</w:t>
      </w:r>
      <w:r>
        <w:rPr>
          <w:lang w:val="es-ES_tradnl"/>
        </w:rPr>
        <w:t>ría</w:t>
      </w:r>
      <w:r w:rsidRPr="00A73A4C">
        <w:rPr>
          <w:lang w:val="es-ES_tradnl"/>
        </w:rPr>
        <w:t xml:space="preserve"> más desempleo.</w:t>
      </w:r>
    </w:p>
    <w:p w:rsidR="005A5E7D" w:rsidRDefault="005A5E7D" w:rsidP="005A5E7D">
      <w:pPr>
        <w:rPr>
          <w:lang w:val="es-ES_tradnl"/>
        </w:rPr>
      </w:pPr>
      <w:r>
        <w:rPr>
          <w:lang w:val="es-ES_tradnl"/>
        </w:rPr>
        <w:t>El tema</w:t>
      </w:r>
      <w:r w:rsidRPr="00A73A4C">
        <w:rPr>
          <w:lang w:val="es-ES_tradnl"/>
        </w:rPr>
        <w:t xml:space="preserve"> del salario mínimo federal recibió muy poca atención durante los debate</w:t>
      </w:r>
      <w:r>
        <w:rPr>
          <w:lang w:val="es-ES_tradnl"/>
        </w:rPr>
        <w:t>s en el Congreso de 1989 a 1991. De hecho</w:t>
      </w:r>
      <w:r w:rsidRPr="00A73A4C">
        <w:rPr>
          <w:lang w:val="es-ES_tradnl"/>
        </w:rPr>
        <w:t>, ninguno de los partidos políticos pidió un cambio en la ley. Dado que no ha habido ninguna propuesta de</w:t>
      </w:r>
      <w:r>
        <w:rPr>
          <w:lang w:val="es-ES_tradnl"/>
        </w:rPr>
        <w:t xml:space="preserve"> derogación de esta legislación</w:t>
      </w:r>
      <w:r w:rsidRPr="00A73A4C">
        <w:rPr>
          <w:lang w:val="es-ES_tradnl"/>
        </w:rPr>
        <w:t>, se ha supuesto que bajo la estadidad el salario mínimo aumentar</w:t>
      </w:r>
      <w:r>
        <w:rPr>
          <w:lang w:val="es-ES_tradnl"/>
        </w:rPr>
        <w:t>ía</w:t>
      </w:r>
      <w:r w:rsidRPr="00A73A4C">
        <w:rPr>
          <w:lang w:val="es-ES_tradnl"/>
        </w:rPr>
        <w:t xml:space="preserve"> al mismo ritmo que en Estados Unidos, mientras que bajo </w:t>
      </w:r>
      <w:r>
        <w:rPr>
          <w:lang w:val="es-ES_tradnl"/>
        </w:rPr>
        <w:t>el</w:t>
      </w:r>
      <w:r w:rsidRPr="00A73A4C">
        <w:rPr>
          <w:lang w:val="es-ES_tradnl"/>
        </w:rPr>
        <w:t xml:space="preserve"> </w:t>
      </w:r>
      <w:r>
        <w:rPr>
          <w:lang w:val="es-ES_tradnl"/>
        </w:rPr>
        <w:t>Estado Libre Asociado</w:t>
      </w:r>
      <w:r w:rsidRPr="00A73A4C">
        <w:rPr>
          <w:lang w:val="es-ES_tradnl"/>
        </w:rPr>
        <w:t xml:space="preserve"> también aumentar</w:t>
      </w:r>
      <w:r>
        <w:rPr>
          <w:lang w:val="es-ES_tradnl"/>
        </w:rPr>
        <w:t>ía,</w:t>
      </w:r>
      <w:r w:rsidRPr="00A73A4C">
        <w:rPr>
          <w:lang w:val="es-ES_tradnl"/>
        </w:rPr>
        <w:t xml:space="preserve"> pero a un ritmo más lento. </w:t>
      </w:r>
      <w:r>
        <w:rPr>
          <w:lang w:val="es-ES_tradnl"/>
        </w:rPr>
        <w:t>Bajo la independencia, por otra parte</w:t>
      </w:r>
      <w:r w:rsidRPr="00A73A4C">
        <w:rPr>
          <w:lang w:val="es-ES_tradnl"/>
        </w:rPr>
        <w:t>, el salario mínimo se mante</w:t>
      </w:r>
      <w:r>
        <w:rPr>
          <w:lang w:val="es-ES_tradnl"/>
        </w:rPr>
        <w:t>ndría constante. Este ejercicio</w:t>
      </w:r>
      <w:r w:rsidRPr="00A73A4C">
        <w:rPr>
          <w:lang w:val="es-ES_tradnl"/>
        </w:rPr>
        <w:t>, por cierto, ilustra la relación entre el nivel general de los salarios y la migración, independientemente de los cambi</w:t>
      </w:r>
      <w:r>
        <w:rPr>
          <w:lang w:val="es-ES_tradnl"/>
        </w:rPr>
        <w:t>os en los escenarios políticos.</w:t>
      </w:r>
    </w:p>
    <w:p w:rsidR="005A5E7D" w:rsidRDefault="005A5E7D" w:rsidP="005A5E7D">
      <w:pPr>
        <w:rPr>
          <w:lang w:val="es-ES_tradnl"/>
        </w:rPr>
      </w:pPr>
      <w:r w:rsidRPr="00A73A4C">
        <w:rPr>
          <w:lang w:val="es-ES_tradnl"/>
        </w:rPr>
        <w:t xml:space="preserve">Los resultados indican que los cambios en los salarios mínimos asociados a las alternativas políticas tienen un impacto casi insignificante en la migración. Bajo el ELA, la migración neta entre 1995 y el año 2000 es básicamente la misma que la observada en la primera mitad </w:t>
      </w:r>
      <w:r>
        <w:rPr>
          <w:lang w:val="es-ES_tradnl"/>
        </w:rPr>
        <w:t>de la década. Bajo la estadidad</w:t>
      </w:r>
      <w:r w:rsidRPr="00A73A4C">
        <w:rPr>
          <w:lang w:val="es-ES_tradnl"/>
        </w:rPr>
        <w:t>, aproximadamente 182</w:t>
      </w:r>
      <w:r>
        <w:rPr>
          <w:lang w:val="es-ES_tradnl"/>
        </w:rPr>
        <w:t>,</w:t>
      </w:r>
      <w:r w:rsidRPr="00A73A4C">
        <w:rPr>
          <w:lang w:val="es-ES_tradnl"/>
        </w:rPr>
        <w:t>000 puertorriqueños</w:t>
      </w:r>
      <w:r>
        <w:rPr>
          <w:lang w:val="es-ES_tradnl"/>
        </w:rPr>
        <w:t xml:space="preserve"> podrían</w:t>
      </w:r>
      <w:r w:rsidRPr="00A73A4C">
        <w:rPr>
          <w:lang w:val="es-ES_tradnl"/>
        </w:rPr>
        <w:t xml:space="preserve"> abandonar la Isla en el año 2000</w:t>
      </w:r>
      <w:r>
        <w:rPr>
          <w:lang w:val="es-ES_tradnl"/>
        </w:rPr>
        <w:t>,</w:t>
      </w:r>
      <w:r w:rsidRPr="00A73A4C">
        <w:rPr>
          <w:lang w:val="es-ES_tradnl"/>
        </w:rPr>
        <w:t xml:space="preserve"> lo que representa un promedio anual de 13</w:t>
      </w:r>
      <w:r>
        <w:rPr>
          <w:lang w:val="es-ES_tradnl"/>
        </w:rPr>
        <w:t>,</w:t>
      </w:r>
      <w:r w:rsidRPr="00A73A4C">
        <w:rPr>
          <w:lang w:val="es-ES_tradnl"/>
        </w:rPr>
        <w:t>310 in</w:t>
      </w:r>
      <w:r>
        <w:rPr>
          <w:lang w:val="es-ES_tradnl"/>
        </w:rPr>
        <w:t>migrantes menos que bajo el ELA</w:t>
      </w:r>
      <w:r w:rsidRPr="00A73A4C">
        <w:rPr>
          <w:lang w:val="es-ES_tradnl"/>
        </w:rPr>
        <w:t xml:space="preserve">. En la </w:t>
      </w:r>
      <w:r>
        <w:rPr>
          <w:lang w:val="es-ES_tradnl"/>
        </w:rPr>
        <w:t>r</w:t>
      </w:r>
      <w:r w:rsidRPr="00A73A4C">
        <w:rPr>
          <w:lang w:val="es-ES_tradnl"/>
        </w:rPr>
        <w:t>epública</w:t>
      </w:r>
      <w:r>
        <w:rPr>
          <w:lang w:val="es-ES_tradnl"/>
        </w:rPr>
        <w:t>,</w:t>
      </w:r>
      <w:r w:rsidRPr="00A73A4C">
        <w:rPr>
          <w:lang w:val="es-ES_tradnl"/>
        </w:rPr>
        <w:t xml:space="preserve"> por otro lado</w:t>
      </w:r>
      <w:r>
        <w:rPr>
          <w:lang w:val="es-ES_tradnl"/>
        </w:rPr>
        <w:t>,</w:t>
      </w:r>
      <w:r w:rsidRPr="00A73A4C">
        <w:rPr>
          <w:lang w:val="es-ES_tradnl"/>
        </w:rPr>
        <w:t xml:space="preserve"> la migración aumentar</w:t>
      </w:r>
      <w:r>
        <w:rPr>
          <w:lang w:val="es-ES_tradnl"/>
        </w:rPr>
        <w:t>ía</w:t>
      </w:r>
      <w:r w:rsidRPr="00A73A4C">
        <w:rPr>
          <w:lang w:val="es-ES_tradnl"/>
        </w:rPr>
        <w:t xml:space="preserve"> en 6</w:t>
      </w:r>
      <w:r>
        <w:rPr>
          <w:lang w:val="es-ES_tradnl"/>
        </w:rPr>
        <w:t>,</w:t>
      </w:r>
      <w:r w:rsidRPr="00A73A4C">
        <w:rPr>
          <w:lang w:val="es-ES_tradnl"/>
        </w:rPr>
        <w:t>650 migrantes por año</w:t>
      </w:r>
      <w:r>
        <w:rPr>
          <w:lang w:val="es-ES_tradnl"/>
        </w:rPr>
        <w:t>.</w:t>
      </w:r>
      <w:r w:rsidRPr="00A73A4C">
        <w:rPr>
          <w:lang w:val="es-ES_tradnl"/>
        </w:rPr>
        <w:t xml:space="preserve"> A pesar de que estas estimaciones se h</w:t>
      </w:r>
      <w:r>
        <w:rPr>
          <w:lang w:val="es-ES_tradnl"/>
        </w:rPr>
        <w:t>iciero</w:t>
      </w:r>
      <w:r w:rsidRPr="00A73A4C">
        <w:rPr>
          <w:lang w:val="es-ES_tradnl"/>
        </w:rPr>
        <w:t xml:space="preserve">n sin tomar en cuenta los efectos de otros factores </w:t>
      </w:r>
      <w:r>
        <w:rPr>
          <w:lang w:val="es-ES_tradnl"/>
        </w:rPr>
        <w:t>sobre los patrones de migración</w:t>
      </w:r>
      <w:r w:rsidRPr="00A73A4C">
        <w:rPr>
          <w:lang w:val="es-ES_tradnl"/>
        </w:rPr>
        <w:t xml:space="preserve">, sí indican que el posible efecto de los cambios en el sistema político y el salario mínimo es </w:t>
      </w:r>
      <w:r>
        <w:rPr>
          <w:lang w:val="es-ES_tradnl"/>
        </w:rPr>
        <w:t>uno de poca significancia.</w:t>
      </w:r>
    </w:p>
    <w:p w:rsidR="005A5E7D" w:rsidRPr="00A73A4C" w:rsidRDefault="005A5E7D" w:rsidP="005A5E7D">
      <w:pPr>
        <w:rPr>
          <w:lang w:val="es-ES_tradnl"/>
        </w:rPr>
      </w:pPr>
      <w:r w:rsidRPr="00A73A4C">
        <w:rPr>
          <w:lang w:val="es-ES_tradnl"/>
        </w:rPr>
        <w:t>Respondiendo a los trabajos de Irma Pérez-Johnson y Carlos Santiago</w:t>
      </w:r>
      <w:r>
        <w:rPr>
          <w:lang w:val="es-ES_tradnl"/>
        </w:rPr>
        <w:t>,</w:t>
      </w:r>
      <w:r w:rsidRPr="00A73A4C">
        <w:rPr>
          <w:lang w:val="es-ES_tradnl"/>
        </w:rPr>
        <w:t xml:space="preserve"> Edwin Meléndez y Ángel Ruiz (</w:t>
      </w:r>
      <w:r>
        <w:rPr>
          <w:lang w:val="es-ES_tradnl"/>
        </w:rPr>
        <w:t xml:space="preserve">E. </w:t>
      </w:r>
      <w:r w:rsidRPr="00A73A4C">
        <w:rPr>
          <w:lang w:val="es-ES_tradnl"/>
        </w:rPr>
        <w:t xml:space="preserve">Meléndez y </w:t>
      </w:r>
      <w:r>
        <w:rPr>
          <w:lang w:val="es-ES_tradnl"/>
        </w:rPr>
        <w:t xml:space="preserve">A. </w:t>
      </w:r>
      <w:r w:rsidRPr="00A73A4C">
        <w:rPr>
          <w:lang w:val="es-ES_tradnl"/>
        </w:rPr>
        <w:t>Ruiz 1998), señala</w:t>
      </w:r>
      <w:r>
        <w:rPr>
          <w:lang w:val="es-ES_tradnl"/>
        </w:rPr>
        <w:t>ro</w:t>
      </w:r>
      <w:r w:rsidRPr="00A73A4C">
        <w:rPr>
          <w:lang w:val="es-ES_tradnl"/>
        </w:rPr>
        <w:t>n que, en primer lugar, existe una discrepancia entre los resultados del trabajo del profesor Santiago</w:t>
      </w:r>
      <w:r>
        <w:rPr>
          <w:lang w:val="es-ES_tradnl"/>
        </w:rPr>
        <w:t xml:space="preserve"> </w:t>
      </w:r>
      <w:r w:rsidRPr="00A73A4C">
        <w:rPr>
          <w:lang w:val="es-ES_tradnl"/>
        </w:rPr>
        <w:t xml:space="preserve">(C. Santiago, 1998, páginas 247-285) y los de Pérez-Johnson. </w:t>
      </w:r>
      <w:r>
        <w:rPr>
          <w:lang w:val="es-ES_tradnl"/>
        </w:rPr>
        <w:t>La autora</w:t>
      </w:r>
      <w:r w:rsidRPr="00A73A4C">
        <w:rPr>
          <w:lang w:val="es-ES_tradnl"/>
        </w:rPr>
        <w:t xml:space="preserve"> calcul</w:t>
      </w:r>
      <w:r>
        <w:rPr>
          <w:lang w:val="es-ES_tradnl"/>
        </w:rPr>
        <w:t>ó</w:t>
      </w:r>
      <w:r w:rsidRPr="00A73A4C">
        <w:rPr>
          <w:lang w:val="es-ES_tradnl"/>
        </w:rPr>
        <w:t xml:space="preserve"> que habr</w:t>
      </w:r>
      <w:r>
        <w:rPr>
          <w:lang w:val="es-ES_tradnl"/>
        </w:rPr>
        <w:t>ía</w:t>
      </w:r>
      <w:r w:rsidRPr="00A73A4C">
        <w:rPr>
          <w:lang w:val="es-ES_tradnl"/>
        </w:rPr>
        <w:t>n cerca de 25,000 migrantes</w:t>
      </w:r>
      <w:r>
        <w:rPr>
          <w:lang w:val="es-ES_tradnl"/>
        </w:rPr>
        <w:t>,</w:t>
      </w:r>
      <w:r w:rsidRPr="00A73A4C">
        <w:rPr>
          <w:lang w:val="es-ES_tradnl"/>
        </w:rPr>
        <w:t xml:space="preserve"> mientras que el</w:t>
      </w:r>
      <w:r>
        <w:rPr>
          <w:lang w:val="es-ES_tradnl"/>
        </w:rPr>
        <w:t xml:space="preserve"> trabajo de</w:t>
      </w:r>
      <w:r w:rsidRPr="00A73A4C">
        <w:rPr>
          <w:lang w:val="es-ES_tradnl"/>
        </w:rPr>
        <w:t xml:space="preserve"> Santiago predi</w:t>
      </w:r>
      <w:r>
        <w:rPr>
          <w:lang w:val="es-ES_tradnl"/>
        </w:rPr>
        <w:t>jo</w:t>
      </w:r>
      <w:r w:rsidRPr="00A73A4C">
        <w:rPr>
          <w:lang w:val="es-ES_tradnl"/>
        </w:rPr>
        <w:t xml:space="preserve"> 33,000. Esta diferencia se explica</w:t>
      </w:r>
      <w:r>
        <w:rPr>
          <w:lang w:val="es-ES_tradnl"/>
        </w:rPr>
        <w:t>,</w:t>
      </w:r>
      <w:r w:rsidRPr="00A73A4C">
        <w:rPr>
          <w:lang w:val="es-ES_tradnl"/>
        </w:rPr>
        <w:t xml:space="preserve"> dado que el modelo usado por Santiago consider</w:t>
      </w:r>
      <w:r>
        <w:rPr>
          <w:lang w:val="es-ES_tradnl"/>
        </w:rPr>
        <w:t>ó el</w:t>
      </w:r>
      <w:r w:rsidRPr="00A73A4C">
        <w:rPr>
          <w:lang w:val="es-ES_tradnl"/>
        </w:rPr>
        <w:t xml:space="preserve"> número de pasajeros reportados por las aerolíneas a la Junta de Planificación, mientras que el modelo de Pérez-Johnson utiliz</w:t>
      </w:r>
      <w:r>
        <w:rPr>
          <w:lang w:val="es-ES_tradnl"/>
        </w:rPr>
        <w:t>ó</w:t>
      </w:r>
      <w:r w:rsidRPr="00A73A4C">
        <w:rPr>
          <w:lang w:val="es-ES_tradnl"/>
        </w:rPr>
        <w:t xml:space="preserve"> resultados de encuestas que consideran las características de los migrantes. La cifra que detalla </w:t>
      </w:r>
      <w:r>
        <w:rPr>
          <w:lang w:val="es-ES_tradnl"/>
        </w:rPr>
        <w:t xml:space="preserve">el </w:t>
      </w:r>
      <w:r w:rsidRPr="00A73A4C">
        <w:rPr>
          <w:lang w:val="es-ES_tradnl"/>
        </w:rPr>
        <w:t>número de pasajeros incluye a todos los individuos sin distinción de edad, origen y destino de vuelo. Las encuestas, por otro lado, identifica a aquellos en edad laboral (16 a 64 años de edad). El modelo de Pérez-Johnson nos permite distinguir la composición ocupacional de los migrantes a Estados Unidos.</w:t>
      </w:r>
    </w:p>
    <w:p w:rsidR="005A5E7D" w:rsidRPr="00A73A4C" w:rsidRDefault="005A5E7D" w:rsidP="005A5E7D">
      <w:pPr>
        <w:rPr>
          <w:lang w:val="es-ES_tradnl"/>
        </w:rPr>
      </w:pPr>
      <w:r w:rsidRPr="00A73A4C">
        <w:rPr>
          <w:lang w:val="es-ES_tradnl"/>
        </w:rPr>
        <w:t>E1 resultado más alarmante de estas simulaciones es que los artesanos y operadores c</w:t>
      </w:r>
      <w:r>
        <w:rPr>
          <w:lang w:val="es-ES_tradnl"/>
        </w:rPr>
        <w:t>ontinuarí</w:t>
      </w:r>
      <w:r w:rsidRPr="00A73A4C">
        <w:rPr>
          <w:lang w:val="es-ES_tradnl"/>
        </w:rPr>
        <w:t>an migrando a Estados Unidos en forma desproporcionada bajo cualquiera de los escenarios políticos. En este caso</w:t>
      </w:r>
      <w:r>
        <w:rPr>
          <w:lang w:val="es-ES_tradnl"/>
        </w:rPr>
        <w:t>,</w:t>
      </w:r>
      <w:r w:rsidRPr="00A73A4C">
        <w:rPr>
          <w:lang w:val="es-ES_tradnl"/>
        </w:rPr>
        <w:t xml:space="preserve"> la migración es el resultado de la baja demanda de empleo en estas ocupaciones. Este patrón se repite en menor medida para los profesionales y técnicos, los administradores y los trabajadores agrícolas. Las ocupaciones de mayor crecimiento, servicios y ventas y clericales, tendr</w:t>
      </w:r>
      <w:r>
        <w:rPr>
          <w:lang w:val="es-ES_tradnl"/>
        </w:rPr>
        <w:t>ía</w:t>
      </w:r>
      <w:r w:rsidRPr="00A73A4C">
        <w:rPr>
          <w:lang w:val="es-ES_tradnl"/>
        </w:rPr>
        <w:t>n bajo desempleo y aumento en salarios relativos, factores que previenen la migración y atraen nueva fuerza de trabajo. Si</w:t>
      </w:r>
      <w:r>
        <w:rPr>
          <w:lang w:val="es-ES_tradnl"/>
        </w:rPr>
        <w:t>,</w:t>
      </w:r>
      <w:r w:rsidRPr="00A73A4C">
        <w:rPr>
          <w:lang w:val="es-ES_tradnl"/>
        </w:rPr>
        <w:t xml:space="preserve"> por un lado, un cambio político afectar</w:t>
      </w:r>
      <w:r>
        <w:rPr>
          <w:lang w:val="es-ES_tradnl"/>
        </w:rPr>
        <w:t>a</w:t>
      </w:r>
      <w:r w:rsidRPr="00A73A4C">
        <w:rPr>
          <w:lang w:val="es-ES_tradnl"/>
        </w:rPr>
        <w:t xml:space="preserve"> muy poco la composición de los migrantes puertorriqueños a Estados Unidos, por otro lado, existen factores estructurales que determinan la demanda de empleo por ocupaciones que ejercen una mayor influencia que un cambio político.</w:t>
      </w:r>
    </w:p>
    <w:p w:rsidR="005A5E7D" w:rsidRPr="00A73A4C" w:rsidRDefault="005A5E7D" w:rsidP="005A5E7D">
      <w:pPr>
        <w:rPr>
          <w:lang w:val="es-ES_tradnl"/>
        </w:rPr>
      </w:pPr>
      <w:r w:rsidRPr="00A73A4C">
        <w:rPr>
          <w:lang w:val="es-ES_tradnl"/>
        </w:rPr>
        <w:t>En resumen, los cambios que resulten de la adopción de una de las alternativas políticas pueden inducir cambios en el salario mínimo, así como en los créditos contributivos federales; estos cambios tendr</w:t>
      </w:r>
      <w:r>
        <w:rPr>
          <w:lang w:val="es-ES_tradnl"/>
        </w:rPr>
        <w:t>ía</w:t>
      </w:r>
      <w:r w:rsidRPr="00A73A4C">
        <w:rPr>
          <w:lang w:val="es-ES_tradnl"/>
        </w:rPr>
        <w:t>n un impacto relativamente pequeño</w:t>
      </w:r>
      <w:r>
        <w:rPr>
          <w:lang w:val="es-ES_tradnl"/>
        </w:rPr>
        <w:t>,</w:t>
      </w:r>
      <w:r w:rsidRPr="00A73A4C">
        <w:rPr>
          <w:lang w:val="es-ES_tradnl"/>
        </w:rPr>
        <w:t xml:space="preserve"> tanto sobre el volumen como en la composición ocupacional de los migrantes </w:t>
      </w:r>
      <w:r>
        <w:rPr>
          <w:lang w:val="es-ES_tradnl"/>
        </w:rPr>
        <w:t xml:space="preserve">puertorriqueños que van hacia </w:t>
      </w:r>
      <w:r w:rsidRPr="00A73A4C">
        <w:rPr>
          <w:lang w:val="es-ES_tradnl"/>
        </w:rPr>
        <w:t>Estados Unidos. En la medida en que cada fórmula política considere aumentos regulares del salario mínimo y programas para trabajadores desplazados por el cambio industrial, en esa medida se proveer</w:t>
      </w:r>
      <w:r>
        <w:rPr>
          <w:lang w:val="es-ES_tradnl"/>
        </w:rPr>
        <w:t>ía</w:t>
      </w:r>
      <w:r w:rsidRPr="00A73A4C">
        <w:rPr>
          <w:lang w:val="es-ES_tradnl"/>
        </w:rPr>
        <w:t>n incentivos a los puertorriqueños para que contin</w:t>
      </w:r>
      <w:r>
        <w:rPr>
          <w:lang w:val="es-ES_tradnl"/>
        </w:rPr>
        <w:t>uase</w:t>
      </w:r>
      <w:r w:rsidRPr="00A73A4C">
        <w:rPr>
          <w:lang w:val="es-ES_tradnl"/>
        </w:rPr>
        <w:t>n trabajando en Puerto Rico.</w:t>
      </w:r>
    </w:p>
    <w:p w:rsidR="005A5E7D" w:rsidRDefault="005A5E7D" w:rsidP="005A5E7D">
      <w:pPr>
        <w:rPr>
          <w:lang w:val="es-ES_tradnl"/>
        </w:rPr>
      </w:pPr>
      <w:r>
        <w:rPr>
          <w:lang w:val="es-ES_tradnl"/>
        </w:rPr>
        <w:t>En un artí</w:t>
      </w:r>
      <w:r w:rsidRPr="00A73A4C">
        <w:rPr>
          <w:lang w:val="es-ES_tradnl"/>
        </w:rPr>
        <w:t>culo m</w:t>
      </w:r>
      <w:r>
        <w:rPr>
          <w:lang w:val="es-ES_tradnl"/>
        </w:rPr>
        <w:t>á</w:t>
      </w:r>
      <w:r w:rsidRPr="00A73A4C">
        <w:rPr>
          <w:lang w:val="es-ES_tradnl"/>
        </w:rPr>
        <w:t xml:space="preserve">s reciente, </w:t>
      </w:r>
      <w:r>
        <w:rPr>
          <w:lang w:val="es-ES_tradnl"/>
        </w:rPr>
        <w:t>que enfoca</w:t>
      </w:r>
      <w:r w:rsidRPr="00A73A4C">
        <w:rPr>
          <w:lang w:val="es-ES_tradnl"/>
        </w:rPr>
        <w:t xml:space="preserve"> otro ángulo de la migración, Juan Clar coment</w:t>
      </w:r>
      <w:r>
        <w:rPr>
          <w:lang w:val="es-ES_tradnl"/>
        </w:rPr>
        <w:t>ó</w:t>
      </w:r>
      <w:r w:rsidRPr="00A73A4C">
        <w:rPr>
          <w:lang w:val="es-ES_tradnl"/>
        </w:rPr>
        <w:t xml:space="preserve"> que “históricamente, la migración internacional hacia</w:t>
      </w:r>
      <w:r>
        <w:rPr>
          <w:lang w:val="es-ES_tradnl"/>
        </w:rPr>
        <w:t xml:space="preserve"> </w:t>
      </w:r>
      <w:r w:rsidRPr="00A73A4C">
        <w:rPr>
          <w:lang w:val="es-ES_tradnl"/>
        </w:rPr>
        <w:t>Puerto Rico ha sido baja</w:t>
      </w:r>
      <w:r>
        <w:rPr>
          <w:lang w:val="es-ES_tradnl"/>
        </w:rPr>
        <w:t>,</w:t>
      </w:r>
      <w:r w:rsidRPr="00A73A4C">
        <w:rPr>
          <w:lang w:val="es-ES_tradnl"/>
        </w:rPr>
        <w:t xml:space="preserve"> dado que la isla está sujeta a las leyes de inmigración de Estados Unidos</w:t>
      </w:r>
      <w:r>
        <w:rPr>
          <w:lang w:val="es-ES_tradnl"/>
        </w:rPr>
        <w:t>”</w:t>
      </w:r>
      <w:r w:rsidRPr="00A73A4C">
        <w:rPr>
          <w:lang w:val="es-ES_tradnl"/>
        </w:rPr>
        <w:t xml:space="preserve">. </w:t>
      </w:r>
      <w:r>
        <w:rPr>
          <w:lang w:val="es-ES_tradnl"/>
        </w:rPr>
        <w:t>Planteó que ell</w:t>
      </w:r>
      <w:r w:rsidRPr="00A73A4C">
        <w:rPr>
          <w:lang w:val="es-ES_tradnl"/>
        </w:rPr>
        <w:t>o ha obstaculizado a</w:t>
      </w:r>
      <w:r>
        <w:rPr>
          <w:lang w:val="es-ES_tradnl"/>
        </w:rPr>
        <w:t xml:space="preserve"> </w:t>
      </w:r>
      <w:r w:rsidRPr="00A73A4C">
        <w:rPr>
          <w:lang w:val="es-ES_tradnl"/>
        </w:rPr>
        <w:t>las empresas puertorriqueñas de atraer mano de obra y empresarios extranjeros altamente cualificados, y ha des</w:t>
      </w:r>
      <w:r>
        <w:rPr>
          <w:lang w:val="es-ES_tradnl"/>
        </w:rPr>
        <w:t>conectado los residentes de la I</w:t>
      </w:r>
      <w:r w:rsidRPr="00A73A4C">
        <w:rPr>
          <w:lang w:val="es-ES_tradnl"/>
        </w:rPr>
        <w:t xml:space="preserve">sla con </w:t>
      </w:r>
      <w:r>
        <w:rPr>
          <w:lang w:val="es-ES_tradnl"/>
        </w:rPr>
        <w:t>otras culturas.</w:t>
      </w:r>
    </w:p>
    <w:p w:rsidR="005A5E7D" w:rsidRDefault="005A5E7D" w:rsidP="005A5E7D">
      <w:pPr>
        <w:rPr>
          <w:lang w:val="es-ES_tradnl"/>
        </w:rPr>
      </w:pPr>
      <w:r>
        <w:rPr>
          <w:lang w:val="es-ES_tradnl"/>
        </w:rPr>
        <w:t>Al mismo tiempo</w:t>
      </w:r>
      <w:r w:rsidRPr="00A73A4C">
        <w:rPr>
          <w:lang w:val="es-ES_tradnl"/>
        </w:rPr>
        <w:t xml:space="preserve">, </w:t>
      </w:r>
      <w:r>
        <w:rPr>
          <w:lang w:val="es-ES_tradnl"/>
        </w:rPr>
        <w:t>el</w:t>
      </w:r>
      <w:r w:rsidRPr="00A73A4C">
        <w:rPr>
          <w:lang w:val="es-ES_tradnl"/>
        </w:rPr>
        <w:t xml:space="preserve"> generoso sistema de bienestar social federal </w:t>
      </w:r>
      <w:r>
        <w:rPr>
          <w:lang w:val="es-ES_tradnl"/>
        </w:rPr>
        <w:t xml:space="preserve">en Puerto Rico </w:t>
      </w:r>
      <w:r w:rsidRPr="00A73A4C">
        <w:rPr>
          <w:lang w:val="es-ES_tradnl"/>
        </w:rPr>
        <w:t>ha creado desincentivos para la migración hacia el exterior de los sectores de bajos ingresos de la población, por lo que la migración en los últimos años se ha centrado en los tra</w:t>
      </w:r>
      <w:r>
        <w:rPr>
          <w:lang w:val="es-ES_tradnl"/>
        </w:rPr>
        <w:t>bajadores de alta cualificación</w:t>
      </w:r>
      <w:r w:rsidRPr="00A73A4C">
        <w:rPr>
          <w:lang w:val="es-ES_tradnl"/>
        </w:rPr>
        <w:t>, provocando un problema grave</w:t>
      </w:r>
      <w:r>
        <w:rPr>
          <w:lang w:val="es-ES_tradnl"/>
        </w:rPr>
        <w:t xml:space="preserve"> de fuga de cerebros</w:t>
      </w:r>
      <w:r w:rsidRPr="00A73A4C">
        <w:rPr>
          <w:lang w:val="es-ES_tradnl"/>
        </w:rPr>
        <w:t>.</w:t>
      </w:r>
      <w:r>
        <w:rPr>
          <w:lang w:val="es-ES_tradnl"/>
        </w:rPr>
        <w:t xml:space="preserve"> Según Clar, “e</w:t>
      </w:r>
      <w:r w:rsidRPr="00A73A4C">
        <w:rPr>
          <w:lang w:val="es-ES_tradnl"/>
        </w:rPr>
        <w:t>sto es un aspecto no discutido frecuentemente</w:t>
      </w:r>
      <w:r>
        <w:rPr>
          <w:lang w:val="es-ES_tradnl"/>
        </w:rPr>
        <w:t xml:space="preserve"> </w:t>
      </w:r>
      <w:r w:rsidRPr="00A73A4C">
        <w:rPr>
          <w:lang w:val="es-ES_tradnl"/>
        </w:rPr>
        <w:t>por los expertos en este campo y tengo mis serias dudas sobre la incidencia del mismo sobre la economía de Puerto Rico</w:t>
      </w:r>
      <w:r>
        <w:rPr>
          <w:lang w:val="es-ES_tradnl"/>
        </w:rPr>
        <w:t>”</w:t>
      </w:r>
      <w:r w:rsidRPr="00A73A4C">
        <w:rPr>
          <w:lang w:val="es-ES_tradnl"/>
        </w:rPr>
        <w:t>. Clar contin</w:t>
      </w:r>
      <w:r>
        <w:rPr>
          <w:lang w:val="es-ES_tradnl"/>
        </w:rPr>
        <w:t>uó</w:t>
      </w:r>
      <w:r w:rsidRPr="00A73A4C">
        <w:rPr>
          <w:lang w:val="es-ES_tradnl"/>
        </w:rPr>
        <w:t xml:space="preserve"> comentando que</w:t>
      </w:r>
      <w:r>
        <w:rPr>
          <w:lang w:val="es-ES_tradnl"/>
        </w:rPr>
        <w:t xml:space="preserve"> </w:t>
      </w:r>
      <w:r w:rsidRPr="00A73A4C">
        <w:rPr>
          <w:lang w:val="es-ES_tradnl"/>
        </w:rPr>
        <w:t>“si la economía de Puerto Rico continúa deteriorándose, los niveles de inmigración en la parte continental de EE.UU. aumentarán drásticamente. Históricamente, la diáspora puertorriqueña se ha asentado en las grandes ciudades como Nueva York y Chicago. Sin embargo</w:t>
      </w:r>
      <w:r>
        <w:rPr>
          <w:lang w:val="es-ES_tradnl"/>
        </w:rPr>
        <w:t>,</w:t>
      </w:r>
      <w:r w:rsidRPr="00A73A4C">
        <w:rPr>
          <w:lang w:val="es-ES_tradnl"/>
        </w:rPr>
        <w:t xml:space="preserve"> las recientes olas han elegido las ciudades más pequeñas, como Orlando y Hartford</w:t>
      </w:r>
      <w:r>
        <w:rPr>
          <w:lang w:val="es-ES_tradnl"/>
        </w:rPr>
        <w:t xml:space="preserve">” </w:t>
      </w:r>
      <w:r w:rsidRPr="00A73A4C">
        <w:rPr>
          <w:lang w:val="es-ES_tradnl"/>
        </w:rPr>
        <w:t>(J. Clar, 2013).</w:t>
      </w:r>
    </w:p>
    <w:p w:rsidR="005A5E7D" w:rsidRPr="00A73A4C" w:rsidRDefault="005A5E7D" w:rsidP="005A5E7D">
      <w:pPr>
        <w:spacing w:line="240" w:lineRule="auto"/>
        <w:rPr>
          <w:sz w:val="28"/>
          <w:lang w:val="es-ES_tradnl"/>
        </w:rPr>
      </w:pPr>
    </w:p>
    <w:p w:rsidR="005A5E7D" w:rsidRDefault="005A5E7D" w:rsidP="005A5E7D">
      <w:pPr>
        <w:pStyle w:val="Heading2"/>
        <w:ind w:left="426" w:hanging="426"/>
      </w:pPr>
      <w:bookmarkStart w:id="39" w:name="_Toc384769738"/>
      <w:r>
        <w:t>Polí</w:t>
      </w:r>
      <w:r w:rsidRPr="000F3223">
        <w:t xml:space="preserve">ticas </w:t>
      </w:r>
      <w:r>
        <w:t>pú</w:t>
      </w:r>
      <w:r w:rsidRPr="000F3223">
        <w:t xml:space="preserve">blicas </w:t>
      </w:r>
      <w:r>
        <w:t>y</w:t>
      </w:r>
      <w:r w:rsidRPr="000F3223">
        <w:t xml:space="preserve"> </w:t>
      </w:r>
      <w:r>
        <w:t>d</w:t>
      </w:r>
      <w:r w:rsidRPr="000F3223">
        <w:t xml:space="preserve">esarrollo </w:t>
      </w:r>
      <w:r>
        <w:t>e</w:t>
      </w:r>
      <w:r w:rsidRPr="000F3223">
        <w:t>con</w:t>
      </w:r>
      <w:r>
        <w:t>ó</w:t>
      </w:r>
      <w:r w:rsidRPr="000F3223">
        <w:t>mico</w:t>
      </w:r>
      <w:bookmarkEnd w:id="39"/>
    </w:p>
    <w:p w:rsidR="005A5E7D" w:rsidRPr="000F3223" w:rsidRDefault="005A5E7D" w:rsidP="005A5E7D">
      <w:pPr>
        <w:spacing w:line="360" w:lineRule="auto"/>
      </w:pPr>
    </w:p>
    <w:p w:rsidR="005A5E7D" w:rsidRDefault="005A5E7D" w:rsidP="005A5E7D">
      <w:pPr>
        <w:rPr>
          <w:lang w:val="es-ES_tradnl"/>
        </w:rPr>
      </w:pPr>
      <w:r w:rsidRPr="00583822">
        <w:rPr>
          <w:lang w:val="es-ES_tradnl"/>
        </w:rPr>
        <w:t>Claudia Green publicó</w:t>
      </w:r>
      <w:r>
        <w:rPr>
          <w:lang w:val="es-ES_tradnl"/>
        </w:rPr>
        <w:t xml:space="preserve"> </w:t>
      </w:r>
      <w:r w:rsidRPr="00583822">
        <w:rPr>
          <w:lang w:val="es-ES_tradnl"/>
        </w:rPr>
        <w:t>un artículo (Green, Claudia, 1998</w:t>
      </w:r>
      <w:r>
        <w:rPr>
          <w:lang w:val="es-ES_tradnl"/>
        </w:rPr>
        <w:t>,</w:t>
      </w:r>
      <w:r w:rsidRPr="00583822">
        <w:rPr>
          <w:lang w:val="es-ES_tradnl"/>
        </w:rPr>
        <w:t xml:space="preserve"> en Ruiz </w:t>
      </w:r>
      <w:r>
        <w:rPr>
          <w:lang w:val="es-ES_tradnl"/>
        </w:rPr>
        <w:t>y</w:t>
      </w:r>
      <w:r w:rsidRPr="00583822">
        <w:rPr>
          <w:lang w:val="es-ES_tradnl"/>
        </w:rPr>
        <w:t xml:space="preserve"> Meléndez</w:t>
      </w:r>
      <w:r>
        <w:rPr>
          <w:lang w:val="es-ES_tradnl"/>
        </w:rPr>
        <w:t>,</w:t>
      </w:r>
      <w:r w:rsidRPr="00583822">
        <w:rPr>
          <w:lang w:val="es-ES_tradnl"/>
        </w:rPr>
        <w:t xml:space="preserve"> p</w:t>
      </w:r>
      <w:r>
        <w:rPr>
          <w:lang w:val="es-ES_tradnl"/>
        </w:rPr>
        <w:t>á</w:t>
      </w:r>
      <w:r w:rsidRPr="00583822">
        <w:rPr>
          <w:lang w:val="es-ES_tradnl"/>
        </w:rPr>
        <w:t xml:space="preserve">ginas 359-410) sobre una política industrial para Puerto Rico. Este </w:t>
      </w:r>
      <w:r>
        <w:rPr>
          <w:lang w:val="es-ES_tradnl"/>
        </w:rPr>
        <w:t>trabaj</w:t>
      </w:r>
      <w:r w:rsidRPr="00583822">
        <w:rPr>
          <w:lang w:val="es-ES_tradnl"/>
        </w:rPr>
        <w:t>o es doblemente intere</w:t>
      </w:r>
      <w:r>
        <w:rPr>
          <w:lang w:val="es-ES_tradnl"/>
        </w:rPr>
        <w:t>sante porque</w:t>
      </w:r>
      <w:r w:rsidRPr="00583822">
        <w:rPr>
          <w:lang w:val="es-ES_tradnl"/>
        </w:rPr>
        <w:t xml:space="preserve"> la autora recomienda políticas que se pueden implantar sin necesidad de cambiar el estatus políticos y </w:t>
      </w:r>
      <w:r>
        <w:rPr>
          <w:lang w:val="es-ES_tradnl"/>
        </w:rPr>
        <w:t>por</w:t>
      </w:r>
      <w:r w:rsidRPr="00583822">
        <w:rPr>
          <w:lang w:val="es-ES_tradnl"/>
        </w:rPr>
        <w:t xml:space="preserve">que muchas de las recomendaciones pueden aplicarse en el contexto actual. Esta sección se basa principalmente en este trabajo y en la versión en </w:t>
      </w:r>
      <w:r>
        <w:rPr>
          <w:lang w:val="es-ES_tradnl"/>
        </w:rPr>
        <w:t>e</w:t>
      </w:r>
      <w:r w:rsidRPr="00583822">
        <w:rPr>
          <w:lang w:val="es-ES_tradnl"/>
        </w:rPr>
        <w:t>spañol de</w:t>
      </w:r>
      <w:r>
        <w:rPr>
          <w:lang w:val="es-ES_tradnl"/>
        </w:rPr>
        <w:t>l libro editado por Ruiz y Meléndez (1998).</w:t>
      </w:r>
    </w:p>
    <w:p w:rsidR="005A5E7D" w:rsidRDefault="005A5E7D" w:rsidP="005A5E7D">
      <w:pPr>
        <w:rPr>
          <w:lang w:val="es-ES_tradnl"/>
        </w:rPr>
      </w:pPr>
      <w:r w:rsidRPr="00583822">
        <w:rPr>
          <w:lang w:val="es-ES_tradnl"/>
        </w:rPr>
        <w:t xml:space="preserve">Green especifica que existen un sinnúmero de políticas públicas que son viables bajo cualquiera de las fórmulas políticas, pero hay otras que son únicamente posibles bajo una o dos de las fórmulas políticas. A lo largo de esta reseña se ha visto la importancia de los cambios en las relaciones de Puerto Rico con el </w:t>
      </w:r>
      <w:r>
        <w:rPr>
          <w:lang w:val="es-ES_tradnl"/>
        </w:rPr>
        <w:t>Gobierno</w:t>
      </w:r>
      <w:r w:rsidRPr="00583822">
        <w:rPr>
          <w:lang w:val="es-ES_tradnl"/>
        </w:rPr>
        <w:t xml:space="preserve"> federal, y c</w:t>
      </w:r>
      <w:r>
        <w:rPr>
          <w:lang w:val="es-ES_tradnl"/>
        </w:rPr>
        <w:t>ó</w:t>
      </w:r>
      <w:r w:rsidRPr="00583822">
        <w:rPr>
          <w:lang w:val="es-ES_tradnl"/>
        </w:rPr>
        <w:t>mo los cambios en los fondos o reglamentaciones de distintos programas pueden afectar la economía de Puerto Rico. Pero también se ha observado c</w:t>
      </w:r>
      <w:r>
        <w:rPr>
          <w:lang w:val="es-ES_tradnl"/>
        </w:rPr>
        <w:t>ó</w:t>
      </w:r>
      <w:r w:rsidRPr="00583822">
        <w:rPr>
          <w:lang w:val="es-ES_tradnl"/>
        </w:rPr>
        <w:t>mo las políticas económicas en Puerto Rico pueden compensar por la pérdida de beneficios y promover el crecimie</w:t>
      </w:r>
      <w:r>
        <w:rPr>
          <w:lang w:val="es-ES_tradnl"/>
        </w:rPr>
        <w:t>nto y la estabilidad económica.</w:t>
      </w:r>
    </w:p>
    <w:p w:rsidR="005A5E7D" w:rsidRDefault="005A5E7D" w:rsidP="005A5E7D">
      <w:pPr>
        <w:rPr>
          <w:lang w:val="es-ES_tradnl"/>
        </w:rPr>
      </w:pPr>
      <w:r w:rsidRPr="00583822">
        <w:rPr>
          <w:lang w:val="es-ES_tradnl"/>
        </w:rPr>
        <w:t>Es decir, que se debe tomar en</w:t>
      </w:r>
      <w:r>
        <w:rPr>
          <w:lang w:val="es-ES_tradnl"/>
        </w:rPr>
        <w:t xml:space="preserve"> consideración que, al formular</w:t>
      </w:r>
      <w:r w:rsidRPr="00583822">
        <w:rPr>
          <w:lang w:val="es-ES_tradnl"/>
        </w:rPr>
        <w:t xml:space="preserve"> modelos de desarrollo económico</w:t>
      </w:r>
      <w:r>
        <w:rPr>
          <w:lang w:val="es-ES_tradnl"/>
        </w:rPr>
        <w:t>,</w:t>
      </w:r>
      <w:r w:rsidRPr="00583822">
        <w:rPr>
          <w:lang w:val="es-ES_tradnl"/>
        </w:rPr>
        <w:t xml:space="preserve"> las políticas públicas son tan importantes como las relaciones económicas externas y otros recursos con los que cuenta el país. La política pública dominante en la promoción de un modelo particular de desarrollo económico en Puerto Rico ha sido la exención contributiva. Así como la Sección 931 del Código de Rentas Internas de Estados Unidos y las leyes de exención contributiva de Puerto Rico sirvieron de base al modelo de desarrollo industrial basado en el uso intensivo de la mano de obra, la Sección 936 sirvió de base al modelo de desarrollo de</w:t>
      </w:r>
      <w:r>
        <w:rPr>
          <w:lang w:val="es-ES_tradnl"/>
        </w:rPr>
        <w:t xml:space="preserve"> industrias de alta tecnología.</w:t>
      </w:r>
    </w:p>
    <w:p w:rsidR="005A5E7D" w:rsidRDefault="005A5E7D" w:rsidP="005A5E7D">
      <w:pPr>
        <w:rPr>
          <w:lang w:val="es-ES_tradnl"/>
        </w:rPr>
      </w:pPr>
      <w:r w:rsidRPr="00583822">
        <w:rPr>
          <w:lang w:val="es-ES_tradnl"/>
        </w:rPr>
        <w:t>Bajo el escenario del ELA, dad</w:t>
      </w:r>
      <w:r>
        <w:rPr>
          <w:lang w:val="es-ES_tradnl"/>
        </w:rPr>
        <w:t>a</w:t>
      </w:r>
      <w:r w:rsidRPr="00583822">
        <w:rPr>
          <w:lang w:val="es-ES_tradnl"/>
        </w:rPr>
        <w:t xml:space="preserve"> la eliminación de los beneficios contributivos bajo la Sección 936, es razonable que más empresas se acojan a los beneficios que ofrece la Sección 901, </w:t>
      </w:r>
      <w:r>
        <w:rPr>
          <w:lang w:val="es-ES_tradnl"/>
        </w:rPr>
        <w:t>que</w:t>
      </w:r>
      <w:r w:rsidRPr="00583822">
        <w:rPr>
          <w:lang w:val="es-ES_tradnl"/>
        </w:rPr>
        <w:t xml:space="preserve"> ofrece créditos a las corporaciones estadounidenses que operan en el extranjero. En </w:t>
      </w:r>
      <w:r>
        <w:rPr>
          <w:lang w:val="es-ES_tradnl"/>
        </w:rPr>
        <w:t>un escenario de</w:t>
      </w:r>
      <w:r w:rsidRPr="00583822">
        <w:rPr>
          <w:lang w:val="es-ES_tradnl"/>
        </w:rPr>
        <w:t xml:space="preserve"> independencia, además de los créditos otorgados por la Sección 901, las empresas de otros países podrían beneficiarse de tratados comerci</w:t>
      </w:r>
      <w:r>
        <w:rPr>
          <w:lang w:val="es-ES_tradnl"/>
        </w:rPr>
        <w:t>ales similares en Puerto Rico.</w:t>
      </w:r>
    </w:p>
    <w:p w:rsidR="005A5E7D" w:rsidRDefault="005A5E7D" w:rsidP="005A5E7D">
      <w:pPr>
        <w:rPr>
          <w:lang w:val="es-ES_tradnl"/>
        </w:rPr>
      </w:pPr>
      <w:r>
        <w:rPr>
          <w:lang w:val="es-ES_tradnl"/>
        </w:rPr>
        <w:t>L</w:t>
      </w:r>
      <w:r w:rsidRPr="00583822">
        <w:rPr>
          <w:lang w:val="es-ES_tradnl"/>
        </w:rPr>
        <w:t>a situación en Estados Unidos, en Puerto Rico y en el</w:t>
      </w:r>
      <w:r>
        <w:rPr>
          <w:lang w:val="es-ES_tradnl"/>
        </w:rPr>
        <w:t xml:space="preserve"> resto del mundo ha cambiado su</w:t>
      </w:r>
      <w:r w:rsidRPr="00583822">
        <w:rPr>
          <w:lang w:val="es-ES_tradnl"/>
        </w:rPr>
        <w:t>stancialmente desde finales de la Segunda Guerra Mundial. Por un lado, es evidente que los subsidios en forma de créditos contributivos jugarán un papel más limitado en el futuro. También es evidente que la economía de Puerto Rico continuará dependiendo de los mercados estadounidenses e internacionales para mantener una economía de alta productividad. E1 reto está en ajustar las políticas públicas a la nueva realidad doméstica e internaci</w:t>
      </w:r>
      <w:r>
        <w:rPr>
          <w:lang w:val="es-ES_tradnl"/>
        </w:rPr>
        <w:t>onal que confronta Puerto Rico.</w:t>
      </w:r>
    </w:p>
    <w:p w:rsidR="005A5E7D" w:rsidRDefault="005A5E7D" w:rsidP="005A5E7D">
      <w:pPr>
        <w:rPr>
          <w:lang w:val="es-ES_tradnl"/>
        </w:rPr>
      </w:pPr>
      <w:r w:rsidRPr="00583822">
        <w:rPr>
          <w:lang w:val="es-ES_tradnl"/>
        </w:rPr>
        <w:t xml:space="preserve">Uno de los retos más importantes de esta década </w:t>
      </w:r>
      <w:r>
        <w:rPr>
          <w:lang w:val="es-ES_tradnl"/>
        </w:rPr>
        <w:t>es</w:t>
      </w:r>
      <w:r w:rsidRPr="00583822">
        <w:rPr>
          <w:lang w:val="es-ES_tradnl"/>
        </w:rPr>
        <w:t xml:space="preserve"> promover la integración y la diversificación de la estructura industrial. Por años</w:t>
      </w:r>
      <w:r>
        <w:rPr>
          <w:lang w:val="es-ES_tradnl"/>
        </w:rPr>
        <w:t>,</w:t>
      </w:r>
      <w:r w:rsidRPr="00583822">
        <w:rPr>
          <w:lang w:val="es-ES_tradnl"/>
        </w:rPr>
        <w:t xml:space="preserve"> las industrias en Puerto Rico han tenido muy poca integración entre sí; le ha tocado a la manufactura cargar el peso de la generación de exportaciones e ingresos. Existe un consenso entre las tres fórmulas políticas de promover la diversificación industrial y la integración de las empresas. Esto conllevaría tanto la diversificación de exportaciones como la </w:t>
      </w:r>
      <w:r>
        <w:rPr>
          <w:lang w:val="es-ES_tradnl"/>
        </w:rPr>
        <w:t>substitución de importaciones.</w:t>
      </w:r>
    </w:p>
    <w:p w:rsidR="005A5E7D" w:rsidRPr="00583822" w:rsidRDefault="005A5E7D" w:rsidP="005A5E7D">
      <w:pPr>
        <w:rPr>
          <w:lang w:val="es-ES_tradnl"/>
        </w:rPr>
      </w:pPr>
      <w:r>
        <w:rPr>
          <w:lang w:val="es-ES_tradnl"/>
        </w:rPr>
        <w:t>Co</w:t>
      </w:r>
      <w:r w:rsidRPr="00583822">
        <w:rPr>
          <w:lang w:val="es-ES_tradnl"/>
        </w:rPr>
        <w:t xml:space="preserve">n relación a la diversificación de </w:t>
      </w:r>
      <w:r>
        <w:rPr>
          <w:lang w:val="es-ES_tradnl"/>
        </w:rPr>
        <w:t xml:space="preserve">las </w:t>
      </w:r>
      <w:r w:rsidRPr="00583822">
        <w:rPr>
          <w:lang w:val="es-ES_tradnl"/>
        </w:rPr>
        <w:t>expor</w:t>
      </w:r>
      <w:r>
        <w:rPr>
          <w:lang w:val="es-ES_tradnl"/>
        </w:rPr>
        <w:t xml:space="preserve">taciones, el ELA ha propuesto </w:t>
      </w:r>
      <w:r w:rsidRPr="00583822">
        <w:rPr>
          <w:lang w:val="es-ES_tradnl"/>
        </w:rPr>
        <w:t>renegociar con Estados Unidos las provisiones del Acta Jones</w:t>
      </w:r>
      <w:r>
        <w:rPr>
          <w:lang w:val="es-ES_tradnl"/>
        </w:rPr>
        <w:t xml:space="preserve"> </w:t>
      </w:r>
      <w:r w:rsidRPr="00583822">
        <w:rPr>
          <w:lang w:val="es-ES_tradnl"/>
        </w:rPr>
        <w:t>—que regulan la transportación marítima—</w:t>
      </w:r>
      <w:r>
        <w:rPr>
          <w:lang w:val="es-ES_tradnl"/>
        </w:rPr>
        <w:t xml:space="preserve"> </w:t>
      </w:r>
      <w:r w:rsidRPr="00583822">
        <w:rPr>
          <w:lang w:val="es-ES_tradnl"/>
        </w:rPr>
        <w:t xml:space="preserve">para tener mayor flexibilidad comercial. </w:t>
      </w:r>
      <w:r>
        <w:rPr>
          <w:lang w:val="es-ES_tradnl"/>
        </w:rPr>
        <w:t>Bajo</w:t>
      </w:r>
      <w:r w:rsidRPr="00583822">
        <w:rPr>
          <w:lang w:val="es-ES_tradnl"/>
        </w:rPr>
        <w:t xml:space="preserve"> la independencia, la marina mercante y los tratados comerciales estarían bajo la total supervisión del </w:t>
      </w:r>
      <w:r>
        <w:rPr>
          <w:lang w:val="es-ES_tradnl"/>
        </w:rPr>
        <w:t>Gobierno</w:t>
      </w:r>
      <w:r w:rsidRPr="00583822">
        <w:rPr>
          <w:lang w:val="es-ES_tradnl"/>
        </w:rPr>
        <w:t xml:space="preserve"> de Puerto Rico. Bajo ambos escenarios, ELA e independencia, los costos de transportación podrían bajar. Esto beneficiaría a aquellos productores para los cuales estos costos representan una proporción alta de los precios de venta del producto</w:t>
      </w:r>
      <w:r>
        <w:rPr>
          <w:lang w:val="es-ES_tradnl"/>
        </w:rPr>
        <w:t>,</w:t>
      </w:r>
      <w:r w:rsidRPr="00583822">
        <w:rPr>
          <w:lang w:val="es-ES_tradnl"/>
        </w:rPr>
        <w:t xml:space="preserve"> tales como las industrias con uso de mano de obra intensiva.</w:t>
      </w:r>
    </w:p>
    <w:p w:rsidR="005A5E7D" w:rsidRPr="00583822" w:rsidRDefault="005A5E7D" w:rsidP="005A5E7D">
      <w:pPr>
        <w:rPr>
          <w:lang w:val="es-ES_tradnl"/>
        </w:rPr>
      </w:pPr>
      <w:r w:rsidRPr="00583822">
        <w:rPr>
          <w:lang w:val="es-ES_tradnl"/>
        </w:rPr>
        <w:t>Un segundo reto importante para aumentar la productividad de las empresas y los trabajadores, y poder así competir en los mercados globales de hoy día, es desarrollar los recursos humanos y la capacidad técnica de las empresas. En última instancia, la habilidad y dedicación de la fuerza de trabajo, y las herramientas y recursos disponibles a las empresas, constituyen la base para el desarrollo de una economía moderna. La disponibilidad de grandes reservas de recursos naturales puede haber jugado un papel en el desarrollo económico de otros países, pero las industrias del presente y del futuro</w:t>
      </w:r>
      <w:r>
        <w:rPr>
          <w:lang w:val="es-ES_tradnl"/>
        </w:rPr>
        <w:t xml:space="preserve"> </w:t>
      </w:r>
      <w:r w:rsidRPr="00583822">
        <w:rPr>
          <w:lang w:val="es-ES_tradnl"/>
        </w:rPr>
        <w:t>—comunicaciones, electrónica, biología y genética, por mencionar sólo algunas—</w:t>
      </w:r>
      <w:r>
        <w:rPr>
          <w:lang w:val="es-ES_tradnl"/>
        </w:rPr>
        <w:t xml:space="preserve"> </w:t>
      </w:r>
      <w:r w:rsidRPr="00583822">
        <w:rPr>
          <w:lang w:val="es-ES_tradnl"/>
        </w:rPr>
        <w:t>dependen mayormente de los rec</w:t>
      </w:r>
      <w:r>
        <w:rPr>
          <w:lang w:val="es-ES_tradnl"/>
        </w:rPr>
        <w:t>ursos humanos y tecnológicos de un</w:t>
      </w:r>
      <w:r w:rsidRPr="00583822">
        <w:rPr>
          <w:lang w:val="es-ES_tradnl"/>
        </w:rPr>
        <w:t xml:space="preserve"> país. El desarrollo de la infraestructura de las comunicaciones y la transportación constituyen un requisito previo para el desar</w:t>
      </w:r>
      <w:r>
        <w:rPr>
          <w:lang w:val="es-ES_tradnl"/>
        </w:rPr>
        <w:t>rollo de estas industrias, pero</w:t>
      </w:r>
      <w:r w:rsidRPr="00583822">
        <w:rPr>
          <w:lang w:val="es-ES_tradnl"/>
        </w:rPr>
        <w:t xml:space="preserve"> para sostener el </w:t>
      </w:r>
      <w:r>
        <w:rPr>
          <w:lang w:val="es-ES_tradnl"/>
        </w:rPr>
        <w:t xml:space="preserve">crecimiento industrial </w:t>
      </w:r>
      <w:r w:rsidRPr="00583822">
        <w:rPr>
          <w:lang w:val="es-ES_tradnl"/>
        </w:rPr>
        <w:t>es necesario desarrollar integralmente el capital humano y la tecnología mas avanzada.</w:t>
      </w:r>
    </w:p>
    <w:p w:rsidR="005A5E7D" w:rsidRPr="00583822" w:rsidRDefault="005A5E7D" w:rsidP="005A5E7D">
      <w:pPr>
        <w:rPr>
          <w:lang w:val="es-ES_tradnl"/>
        </w:rPr>
      </w:pPr>
      <w:r w:rsidRPr="00583822">
        <w:rPr>
          <w:lang w:val="es-ES_tradnl"/>
        </w:rPr>
        <w:t xml:space="preserve">La mayoría de estas sugerencias para promover los recursos humanos no dependen de ninguna fórmula política particular. Por ejemplo, a pesar de la posible pérdida del presupuesto federal para la educación y el entrenamiento vocacional </w:t>
      </w:r>
      <w:r>
        <w:rPr>
          <w:lang w:val="es-ES_tradnl"/>
        </w:rPr>
        <w:t>bajo</w:t>
      </w:r>
      <w:r w:rsidRPr="00583822">
        <w:rPr>
          <w:lang w:val="es-ES_tradnl"/>
        </w:rPr>
        <w:t xml:space="preserve"> la independencia, una estrategia de desarrollo de recursos humanos puede llevarse a cabo utilizando recursos educacionales locales. Quizás el elemento más importante de esta estrateg</w:t>
      </w:r>
      <w:r>
        <w:rPr>
          <w:lang w:val="es-ES_tradnl"/>
        </w:rPr>
        <w:t>ia sería la articulación de un</w:t>
      </w:r>
      <w:r w:rsidRPr="00583822">
        <w:rPr>
          <w:lang w:val="es-ES_tradnl"/>
        </w:rPr>
        <w:t>a política educacional diseñada claramente para apoyar el desarrollo económico.</w:t>
      </w:r>
    </w:p>
    <w:p w:rsidR="005A5E7D" w:rsidRPr="00583822" w:rsidRDefault="005A5E7D" w:rsidP="005A5E7D">
      <w:pPr>
        <w:rPr>
          <w:lang w:val="es-ES_tradnl"/>
        </w:rPr>
      </w:pPr>
      <w:r w:rsidRPr="00583822">
        <w:rPr>
          <w:lang w:val="es-ES_tradnl"/>
        </w:rPr>
        <w:t>En los trabajos antes mencionados (Green, y Ruiz y Meléndez, 1998) se discuten algunas recomendaciones de política pública que merecen mencionarse en esta reseña. Según Meléndez y Ruiz</w:t>
      </w:r>
      <w:r>
        <w:rPr>
          <w:lang w:val="es-ES_tradnl"/>
        </w:rPr>
        <w:t>,</w:t>
      </w:r>
      <w:r w:rsidRPr="00583822">
        <w:rPr>
          <w:lang w:val="es-ES_tradnl"/>
        </w:rPr>
        <w:t xml:space="preserve"> e1 financiamiento del desarrollo económico bajo el ELA se ha canalizado principalmente a través del Banco Gubernamental de Fomento y de las corporaciones públicas. Estos mecanismos, similares a los adoptados tanto por países independientes como por los estados de la unión, continuarían bajo cualquiera de las fórmulas. </w:t>
      </w:r>
      <w:r>
        <w:rPr>
          <w:lang w:val="es-ES_tradnl"/>
        </w:rPr>
        <w:t>L</w:t>
      </w:r>
      <w:r w:rsidRPr="00583822">
        <w:rPr>
          <w:lang w:val="es-ES_tradnl"/>
        </w:rPr>
        <w:t>os depósitos 936 jugaron un papel clave</w:t>
      </w:r>
      <w:r>
        <w:rPr>
          <w:lang w:val="es-ES_tradnl"/>
        </w:rPr>
        <w:t xml:space="preserve"> b</w:t>
      </w:r>
      <w:r w:rsidRPr="00583822">
        <w:rPr>
          <w:lang w:val="es-ES_tradnl"/>
        </w:rPr>
        <w:t>ajo el ELA. Los depósitos de empresas estadounidenses podrían jugar un papel aún más importante si más industrias se acogen a la Sección 901, pues esta sección requiere el pago de contribuciones al momento de la repatriación del capital, lo que induciría a las empresas acogidas a estos beneficios a mantener los depósitos bancarios en Puerto Rico por más tiempo.</w:t>
      </w:r>
    </w:p>
    <w:p w:rsidR="005A5E7D" w:rsidRPr="00583822" w:rsidRDefault="005A5E7D" w:rsidP="005A5E7D">
      <w:pPr>
        <w:rPr>
          <w:lang w:val="es-ES_tradnl"/>
        </w:rPr>
      </w:pPr>
      <w:r>
        <w:rPr>
          <w:lang w:val="es-ES_tradnl"/>
        </w:rPr>
        <w:t>Incluso</w:t>
      </w:r>
      <w:r w:rsidRPr="00583822">
        <w:rPr>
          <w:lang w:val="es-ES_tradnl"/>
        </w:rPr>
        <w:t xml:space="preserve"> bajo el escenario de la estadidad</w:t>
      </w:r>
      <w:r>
        <w:rPr>
          <w:lang w:val="es-ES_tradnl"/>
        </w:rPr>
        <w:t>,</w:t>
      </w:r>
      <w:r w:rsidRPr="00583822">
        <w:rPr>
          <w:lang w:val="es-ES_tradnl"/>
        </w:rPr>
        <w:t xml:space="preserve"> existen mecanismos de financiamiento disponibles. Los impuestos corporativos locales pueden convertirse en subsidios y servicios a las empresas dirigidos a aumentar la rentabilidad de las operaciones en Puerto Rico. Las empresas recibirían un crédito contributivo federal</w:t>
      </w:r>
      <w:r>
        <w:rPr>
          <w:lang w:val="es-ES_tradnl"/>
        </w:rPr>
        <w:t>,</w:t>
      </w:r>
      <w:r w:rsidRPr="00583822">
        <w:rPr>
          <w:lang w:val="es-ES_tradnl"/>
        </w:rPr>
        <w:t xml:space="preserve"> equivalente a las contribuciones locales pagadas.</w:t>
      </w:r>
    </w:p>
    <w:p w:rsidR="005A5E7D" w:rsidRPr="00583822" w:rsidRDefault="005A5E7D" w:rsidP="005A5E7D">
      <w:pPr>
        <w:rPr>
          <w:lang w:val="es-ES_tradnl"/>
        </w:rPr>
      </w:pPr>
      <w:r w:rsidRPr="00583822">
        <w:rPr>
          <w:lang w:val="es-ES_tradnl"/>
        </w:rPr>
        <w:t>No obstante la experiencia acumulada en esta área, la promoción del tipo de industrias aquí propuesta requiere que se tomen medidas dirigidas a crear incentivos para las inversiones de más alto riesgo. Entres estas medidas se incluyen:</w:t>
      </w:r>
    </w:p>
    <w:p w:rsidR="005A5E7D" w:rsidRPr="00583822" w:rsidRDefault="005A5E7D" w:rsidP="005A5E7D">
      <w:pPr>
        <w:tabs>
          <w:tab w:val="left" w:pos="1134"/>
        </w:tabs>
        <w:rPr>
          <w:lang w:val="es-ES_tradnl"/>
        </w:rPr>
      </w:pPr>
      <w:r w:rsidRPr="00583822">
        <w:rPr>
          <w:lang w:val="es-ES_tradnl"/>
        </w:rPr>
        <w:t>•</w:t>
      </w:r>
      <w:r w:rsidRPr="00583822">
        <w:rPr>
          <w:lang w:val="es-ES_tradnl"/>
        </w:rPr>
        <w:tab/>
        <w:t>Proveer incentivos contributivos a las pequeñas empresas industriales de alta tecnología, agricultura y turismo;</w:t>
      </w:r>
    </w:p>
    <w:p w:rsidR="005A5E7D" w:rsidRPr="00583822" w:rsidRDefault="005A5E7D" w:rsidP="005A5E7D">
      <w:pPr>
        <w:tabs>
          <w:tab w:val="left" w:pos="1134"/>
        </w:tabs>
        <w:rPr>
          <w:lang w:val="es-ES_tradnl"/>
        </w:rPr>
      </w:pPr>
      <w:r w:rsidRPr="00583822">
        <w:rPr>
          <w:lang w:val="es-ES_tradnl"/>
        </w:rPr>
        <w:t>•</w:t>
      </w:r>
      <w:r w:rsidRPr="00583822">
        <w:rPr>
          <w:lang w:val="es-ES_tradnl"/>
        </w:rPr>
        <w:tab/>
        <w:t>Crear fondos especiales para extender crédito a las nuevas industrias y empresas;</w:t>
      </w:r>
    </w:p>
    <w:p w:rsidR="005A5E7D" w:rsidRPr="00583822" w:rsidRDefault="005A5E7D" w:rsidP="005A5E7D">
      <w:pPr>
        <w:tabs>
          <w:tab w:val="left" w:pos="1134"/>
        </w:tabs>
        <w:rPr>
          <w:lang w:val="es-ES_tradnl"/>
        </w:rPr>
      </w:pPr>
      <w:r w:rsidRPr="00583822">
        <w:rPr>
          <w:lang w:val="es-ES_tradnl"/>
        </w:rPr>
        <w:t>•</w:t>
      </w:r>
      <w:r w:rsidRPr="00583822">
        <w:rPr>
          <w:lang w:val="es-ES_tradnl"/>
        </w:rPr>
        <w:tab/>
        <w:t>Crear programas especiales de salud y pensiones para servir a las nuevas empresas en industrias de alta prioridad.</w:t>
      </w:r>
    </w:p>
    <w:p w:rsidR="005A5E7D" w:rsidRPr="00583822" w:rsidRDefault="005A5E7D" w:rsidP="005A5E7D">
      <w:pPr>
        <w:tabs>
          <w:tab w:val="left" w:pos="1134"/>
        </w:tabs>
        <w:rPr>
          <w:lang w:val="es-ES_tradnl"/>
        </w:rPr>
      </w:pPr>
      <w:r w:rsidRPr="00583822">
        <w:rPr>
          <w:lang w:val="es-ES_tradnl"/>
        </w:rPr>
        <w:t>Finalmente, otra área de gran importancia la constituye el mercadeo de productos locales</w:t>
      </w:r>
      <w:r>
        <w:rPr>
          <w:lang w:val="es-ES_tradnl"/>
        </w:rPr>
        <w:t>,</w:t>
      </w:r>
      <w:r w:rsidRPr="00583822">
        <w:rPr>
          <w:lang w:val="es-ES_tradnl"/>
        </w:rPr>
        <w:t xml:space="preserve"> tanto en Puerto Rico como en el extranjero. Bajo la independencia</w:t>
      </w:r>
      <w:r>
        <w:rPr>
          <w:lang w:val="es-ES_tradnl"/>
        </w:rPr>
        <w:t>, el Gobierno podría</w:t>
      </w:r>
      <w:r w:rsidRPr="00583822">
        <w:rPr>
          <w:lang w:val="es-ES_tradnl"/>
        </w:rPr>
        <w:t xml:space="preserve"> proteger los productos locales mediante reglamentaciones y otros mecanismos tarifarios. En realidad</w:t>
      </w:r>
      <w:r>
        <w:rPr>
          <w:lang w:val="es-ES_tradnl"/>
        </w:rPr>
        <w:t>,</w:t>
      </w:r>
      <w:r w:rsidRPr="00583822">
        <w:rPr>
          <w:lang w:val="es-ES_tradnl"/>
        </w:rPr>
        <w:t xml:space="preserve"> todos los estados de la unión y los países independientes están adoptando una diversidad de estrategias similares para enfrentar los nuevos retos de la economía global. Entre las medidas que Puerto Rico podría poner en efecto</w:t>
      </w:r>
      <w:r>
        <w:rPr>
          <w:lang w:val="es-ES_tradnl"/>
        </w:rPr>
        <w:t xml:space="preserve"> están</w:t>
      </w:r>
      <w:r w:rsidRPr="00583822">
        <w:rPr>
          <w:lang w:val="es-ES_tradnl"/>
        </w:rPr>
        <w:t>:</w:t>
      </w:r>
    </w:p>
    <w:p w:rsidR="005A5E7D" w:rsidRPr="00583822" w:rsidRDefault="005A5E7D" w:rsidP="005A5E7D">
      <w:pPr>
        <w:tabs>
          <w:tab w:val="left" w:pos="1134"/>
        </w:tabs>
        <w:rPr>
          <w:lang w:val="es-ES_tradnl"/>
        </w:rPr>
      </w:pPr>
      <w:r w:rsidRPr="00583822">
        <w:rPr>
          <w:lang w:val="es-ES_tradnl"/>
        </w:rPr>
        <w:t>•</w:t>
      </w:r>
      <w:r w:rsidRPr="00583822">
        <w:rPr>
          <w:lang w:val="es-ES_tradnl"/>
        </w:rPr>
        <w:tab/>
        <w:t>Mantener y mejor</w:t>
      </w:r>
      <w:r>
        <w:rPr>
          <w:lang w:val="es-ES_tradnl"/>
        </w:rPr>
        <w:t xml:space="preserve">ar las oficinas comerciales en </w:t>
      </w:r>
      <w:r w:rsidRPr="00583822">
        <w:rPr>
          <w:lang w:val="es-ES_tradnl"/>
        </w:rPr>
        <w:t>Estados Unidos y el extranjero;</w:t>
      </w:r>
    </w:p>
    <w:p w:rsidR="005A5E7D" w:rsidRPr="00583822" w:rsidRDefault="005A5E7D" w:rsidP="005A5E7D">
      <w:pPr>
        <w:tabs>
          <w:tab w:val="left" w:pos="1134"/>
        </w:tabs>
        <w:rPr>
          <w:lang w:val="es-ES_tradnl"/>
        </w:rPr>
      </w:pPr>
      <w:r w:rsidRPr="00583822">
        <w:rPr>
          <w:lang w:val="es-ES_tradnl"/>
        </w:rPr>
        <w:t>•</w:t>
      </w:r>
      <w:r w:rsidRPr="00583822">
        <w:rPr>
          <w:lang w:val="es-ES_tradnl"/>
        </w:rPr>
        <w:tab/>
        <w:t xml:space="preserve">Establecer más relaciones comerciales en el exterior, incluyendo </w:t>
      </w:r>
      <w:r>
        <w:rPr>
          <w:lang w:val="es-ES_tradnl"/>
        </w:rPr>
        <w:t xml:space="preserve">a </w:t>
      </w:r>
      <w:r w:rsidRPr="00583822">
        <w:rPr>
          <w:lang w:val="es-ES_tradnl"/>
        </w:rPr>
        <w:t xml:space="preserve">las comunidades puertorriqueñas en </w:t>
      </w:r>
      <w:r>
        <w:rPr>
          <w:lang w:val="es-ES_tradnl"/>
        </w:rPr>
        <w:t>Estados Unidos;</w:t>
      </w:r>
    </w:p>
    <w:p w:rsidR="005A5E7D" w:rsidRPr="00583822" w:rsidRDefault="005A5E7D" w:rsidP="005A5E7D">
      <w:pPr>
        <w:tabs>
          <w:tab w:val="left" w:pos="1134"/>
        </w:tabs>
        <w:rPr>
          <w:lang w:val="es-ES_tradnl"/>
        </w:rPr>
      </w:pPr>
      <w:r w:rsidRPr="00583822">
        <w:rPr>
          <w:lang w:val="es-ES_tradnl"/>
        </w:rPr>
        <w:t>•</w:t>
      </w:r>
      <w:r w:rsidRPr="00583822">
        <w:rPr>
          <w:lang w:val="es-ES_tradnl"/>
        </w:rPr>
        <w:tab/>
        <w:t>Proveer asistencia técnica a las empresas en Puerto Rico para el mercadeo de productos en el extranjero.</w:t>
      </w:r>
    </w:p>
    <w:p w:rsidR="005A5E7D" w:rsidRPr="00395C5F" w:rsidRDefault="005A5E7D" w:rsidP="005A5E7D">
      <w:pPr>
        <w:rPr>
          <w:lang w:val="es-ES_tradnl"/>
        </w:rPr>
      </w:pPr>
      <w:r w:rsidRPr="00395C5F">
        <w:rPr>
          <w:lang w:val="es-ES_tradnl"/>
        </w:rPr>
        <w:t>Existen otras propuestas de política pública contenidas en estudios m</w:t>
      </w:r>
      <w:r>
        <w:rPr>
          <w:lang w:val="es-ES_tradnl"/>
        </w:rPr>
        <w:t>á</w:t>
      </w:r>
      <w:r w:rsidRPr="00395C5F">
        <w:rPr>
          <w:lang w:val="es-ES_tradnl"/>
        </w:rPr>
        <w:t>s recientes y que no necesitan u</w:t>
      </w:r>
      <w:r>
        <w:rPr>
          <w:lang w:val="es-ES_tradnl"/>
        </w:rPr>
        <w:t>n cambio en el estatus político</w:t>
      </w:r>
      <w:r w:rsidRPr="00395C5F">
        <w:rPr>
          <w:lang w:val="es-ES_tradnl"/>
        </w:rPr>
        <w:t xml:space="preserve"> para implementar</w:t>
      </w:r>
      <w:r>
        <w:rPr>
          <w:lang w:val="es-ES_tradnl"/>
        </w:rPr>
        <w:t>se</w:t>
      </w:r>
      <w:r w:rsidRPr="00395C5F">
        <w:rPr>
          <w:lang w:val="es-ES_tradnl"/>
        </w:rPr>
        <w:t>. Por ejemplo</w:t>
      </w:r>
      <w:r>
        <w:rPr>
          <w:lang w:val="es-ES_tradnl"/>
        </w:rPr>
        <w:t>,</w:t>
      </w:r>
      <w:r w:rsidRPr="00395C5F">
        <w:rPr>
          <w:lang w:val="es-ES_tradnl"/>
        </w:rPr>
        <w:t xml:space="preserve"> Ángel </w:t>
      </w:r>
      <w:r>
        <w:rPr>
          <w:lang w:val="es-ES_tradnl"/>
        </w:rPr>
        <w:t>Ruiz propone una política de su</w:t>
      </w:r>
      <w:r w:rsidRPr="00395C5F">
        <w:rPr>
          <w:lang w:val="es-ES_tradnl"/>
        </w:rPr>
        <w:t>stitución de importaciones intermedias como un medio de aumentar los eslabonamientos interi</w:t>
      </w:r>
      <w:r>
        <w:rPr>
          <w:lang w:val="es-ES_tradnl"/>
        </w:rPr>
        <w:t>n</w:t>
      </w:r>
      <w:r w:rsidRPr="00395C5F">
        <w:rPr>
          <w:lang w:val="es-ES_tradnl"/>
        </w:rPr>
        <w:t>dustriales</w:t>
      </w:r>
      <w:r>
        <w:rPr>
          <w:lang w:val="es-ES_tradnl"/>
        </w:rPr>
        <w:t xml:space="preserve">, </w:t>
      </w:r>
      <w:r w:rsidRPr="00395C5F">
        <w:rPr>
          <w:lang w:val="es-ES_tradnl"/>
        </w:rPr>
        <w:t xml:space="preserve">lo que aumentaría el empleo indirecto y la integración de la economía </w:t>
      </w:r>
      <w:r>
        <w:rPr>
          <w:lang w:val="es-ES_tradnl"/>
        </w:rPr>
        <w:t>de la Isla. Según este autor, “l</w:t>
      </w:r>
      <w:r w:rsidRPr="00395C5F">
        <w:rPr>
          <w:lang w:val="es-ES_tradnl"/>
        </w:rPr>
        <w:t>a substitución de importaciones no solo generara mayores eslabonamientos</w:t>
      </w:r>
      <w:r>
        <w:rPr>
          <w:lang w:val="es-ES_tradnl"/>
        </w:rPr>
        <w:t xml:space="preserve"> </w:t>
      </w:r>
      <w:r w:rsidRPr="00395C5F">
        <w:rPr>
          <w:lang w:val="es-ES_tradnl"/>
        </w:rPr>
        <w:t>locales</w:t>
      </w:r>
      <w:r>
        <w:rPr>
          <w:lang w:val="es-ES_tradnl"/>
        </w:rPr>
        <w:t>,</w:t>
      </w:r>
      <w:r w:rsidRPr="00395C5F">
        <w:rPr>
          <w:lang w:val="es-ES_tradnl"/>
        </w:rPr>
        <w:t xml:space="preserve"> sino que sería una política altamente efectiva para reducir la alta tasa de desempleo que se experimenta en la economía de Puerto Rico. El substituir solo el 10% de las importaciones competitivas para el año 2007 reduciría la tasa de desempleo de un estimado de 10.4% a 9.2%</w:t>
      </w:r>
      <w:r>
        <w:rPr>
          <w:lang w:val="es-ES_tradnl"/>
        </w:rPr>
        <w:t>” (Ruiz, Á., 2012).</w:t>
      </w:r>
    </w:p>
    <w:p w:rsidR="005A5E7D" w:rsidRDefault="005A5E7D" w:rsidP="005A5E7D">
      <w:pPr>
        <w:rPr>
          <w:lang w:val="es-ES_tradnl"/>
        </w:rPr>
      </w:pPr>
      <w:r w:rsidRPr="0080078E">
        <w:rPr>
          <w:lang w:val="es-ES_tradnl"/>
        </w:rPr>
        <w:t>La CEPAL pone énfasis en la</w:t>
      </w:r>
      <w:r>
        <w:rPr>
          <w:lang w:val="es-ES_tradnl"/>
        </w:rPr>
        <w:t xml:space="preserve"> </w:t>
      </w:r>
      <w:r w:rsidRPr="0080078E">
        <w:rPr>
          <w:lang w:val="es-ES_tradnl"/>
        </w:rPr>
        <w:t>innovación y los procesos asociados de aprendizaje y en el desarrollo de encadenamientos</w:t>
      </w:r>
      <w:r>
        <w:rPr>
          <w:lang w:val="es-ES_tradnl"/>
        </w:rPr>
        <w:t xml:space="preserve"> </w:t>
      </w:r>
      <w:r w:rsidRPr="0080078E">
        <w:rPr>
          <w:lang w:val="es-ES_tradnl"/>
        </w:rPr>
        <w:t>productivos. Los sectores público y privado de Puerto Rico deben intensificar los esfuerzos para</w:t>
      </w:r>
      <w:r>
        <w:rPr>
          <w:lang w:val="es-ES_tradnl"/>
        </w:rPr>
        <w:t xml:space="preserve"> </w:t>
      </w:r>
      <w:r w:rsidRPr="0080078E">
        <w:rPr>
          <w:lang w:val="es-ES_tradnl"/>
        </w:rPr>
        <w:t>poner en marcha la estrategia adoptada, buscando multiplicar las acciones concretas que sirvan</w:t>
      </w:r>
      <w:r>
        <w:rPr>
          <w:lang w:val="es-ES_tradnl"/>
        </w:rPr>
        <w:t xml:space="preserve"> </w:t>
      </w:r>
      <w:r w:rsidRPr="0080078E">
        <w:rPr>
          <w:lang w:val="es-ES_tradnl"/>
        </w:rPr>
        <w:t xml:space="preserve">para impulsar el desarrollo de los </w:t>
      </w:r>
      <w:r>
        <w:rPr>
          <w:lang w:val="es-ES_tradnl"/>
        </w:rPr>
        <w:t>conglomerados (</w:t>
      </w:r>
      <w:r w:rsidRPr="009F29A1">
        <w:rPr>
          <w:i/>
          <w:lang w:val="es-ES_tradnl"/>
        </w:rPr>
        <w:t>clusters</w:t>
      </w:r>
      <w:r>
        <w:rPr>
          <w:lang w:val="es-ES_tradnl"/>
        </w:rPr>
        <w:t>)</w:t>
      </w:r>
      <w:r w:rsidRPr="0080078E">
        <w:rPr>
          <w:lang w:val="es-ES_tradnl"/>
        </w:rPr>
        <w:t xml:space="preserve"> ya identificados. Un aspecto particular que debe</w:t>
      </w:r>
      <w:r>
        <w:rPr>
          <w:lang w:val="es-ES_tradnl"/>
        </w:rPr>
        <w:t xml:space="preserve"> </w:t>
      </w:r>
      <w:r w:rsidRPr="0080078E">
        <w:rPr>
          <w:lang w:val="es-ES_tradnl"/>
        </w:rPr>
        <w:t>definirse en el corto plazo</w:t>
      </w:r>
      <w:r>
        <w:rPr>
          <w:lang w:val="es-ES_tradnl"/>
        </w:rPr>
        <w:t>,</w:t>
      </w:r>
      <w:r w:rsidRPr="0080078E">
        <w:rPr>
          <w:lang w:val="es-ES_tradnl"/>
        </w:rPr>
        <w:t xml:space="preserve"> aunque no es necesariamente el aspecto más importante</w:t>
      </w:r>
      <w:r>
        <w:rPr>
          <w:lang w:val="es-ES_tradnl"/>
        </w:rPr>
        <w:t>,</w:t>
      </w:r>
      <w:r w:rsidRPr="0080078E">
        <w:rPr>
          <w:lang w:val="es-ES_tradnl"/>
        </w:rPr>
        <w:t xml:space="preserve"> es el</w:t>
      </w:r>
      <w:r>
        <w:rPr>
          <w:lang w:val="es-ES_tradnl"/>
        </w:rPr>
        <w:t xml:space="preserve"> </w:t>
      </w:r>
      <w:r w:rsidRPr="0080078E">
        <w:rPr>
          <w:lang w:val="es-ES_tradnl"/>
        </w:rPr>
        <w:t>concerniente a los incentivos industriales que utilizará el Gobierno de Puerto Rico en la era post-936.</w:t>
      </w:r>
      <w:r>
        <w:rPr>
          <w:lang w:val="es-ES_tradnl"/>
        </w:rPr>
        <w:t xml:space="preserve"> </w:t>
      </w:r>
      <w:r w:rsidRPr="0080078E">
        <w:rPr>
          <w:lang w:val="es-ES_tradnl"/>
        </w:rPr>
        <w:t>Al igual que en el pasado, la política industrial irá de la mano de la inserción externa, pero</w:t>
      </w:r>
      <w:r>
        <w:rPr>
          <w:lang w:val="es-ES_tradnl"/>
        </w:rPr>
        <w:t xml:space="preserve"> </w:t>
      </w:r>
      <w:r w:rsidRPr="0080078E">
        <w:rPr>
          <w:lang w:val="es-ES_tradnl"/>
        </w:rPr>
        <w:t>en un contexto regional y global modificado por un régimen comercial más abierto y condiciones</w:t>
      </w:r>
      <w:r>
        <w:rPr>
          <w:lang w:val="es-ES_tradnl"/>
        </w:rPr>
        <w:t xml:space="preserve"> competitivas más apremiantes.</w:t>
      </w:r>
    </w:p>
    <w:p w:rsidR="005A5E7D" w:rsidRPr="000D6D9D" w:rsidRDefault="005A5E7D" w:rsidP="005A5E7D">
      <w:pPr>
        <w:rPr>
          <w:lang w:val="es-ES_tradnl"/>
        </w:rPr>
      </w:pPr>
      <w:r w:rsidRPr="0080078E">
        <w:rPr>
          <w:lang w:val="es-ES_tradnl"/>
        </w:rPr>
        <w:t>En este contexto</w:t>
      </w:r>
      <w:r>
        <w:rPr>
          <w:lang w:val="es-ES_tradnl"/>
        </w:rPr>
        <w:t>,</w:t>
      </w:r>
      <w:r w:rsidRPr="0080078E">
        <w:rPr>
          <w:lang w:val="es-ES_tradnl"/>
        </w:rPr>
        <w:t xml:space="preserve"> Puerto Rico debe darle énfasis a la promoción de</w:t>
      </w:r>
      <w:r>
        <w:rPr>
          <w:lang w:val="es-ES_tradnl"/>
        </w:rPr>
        <w:t xml:space="preserve"> </w:t>
      </w:r>
      <w:r w:rsidRPr="0080078E">
        <w:rPr>
          <w:lang w:val="es-ES_tradnl"/>
        </w:rPr>
        <w:t>exportaciones, no s</w:t>
      </w:r>
      <w:r>
        <w:rPr>
          <w:lang w:val="es-ES_tradnl"/>
        </w:rPr>
        <w:t>o</w:t>
      </w:r>
      <w:r w:rsidRPr="0080078E">
        <w:rPr>
          <w:lang w:val="es-ES_tradnl"/>
        </w:rPr>
        <w:t>lo de la</w:t>
      </w:r>
      <w:r>
        <w:rPr>
          <w:lang w:val="es-ES_tradnl"/>
        </w:rPr>
        <w:t xml:space="preserve"> manufactura de alta tecnología</w:t>
      </w:r>
      <w:r w:rsidRPr="0080078E">
        <w:rPr>
          <w:lang w:val="es-ES_tradnl"/>
        </w:rPr>
        <w:t xml:space="preserve"> </w:t>
      </w:r>
      <w:r w:rsidRPr="008B456C">
        <w:t>—</w:t>
      </w:r>
      <w:r>
        <w:rPr>
          <w:lang w:val="es-ES_tradnl"/>
        </w:rPr>
        <w:t xml:space="preserve">cuyo éxito exportador </w:t>
      </w:r>
      <w:r w:rsidRPr="0080078E">
        <w:rPr>
          <w:lang w:val="es-ES_tradnl"/>
        </w:rPr>
        <w:t>ya es un</w:t>
      </w:r>
      <w:r>
        <w:rPr>
          <w:lang w:val="es-ES_tradnl"/>
        </w:rPr>
        <w:t xml:space="preserve"> </w:t>
      </w:r>
      <w:r w:rsidRPr="0080078E">
        <w:rPr>
          <w:lang w:val="es-ES_tradnl"/>
        </w:rPr>
        <w:t>hecho</w:t>
      </w:r>
      <w:r w:rsidRPr="008B456C">
        <w:t>—</w:t>
      </w:r>
      <w:r>
        <w:rPr>
          <w:lang w:val="es-ES_tradnl"/>
        </w:rPr>
        <w:t xml:space="preserve"> </w:t>
      </w:r>
      <w:r w:rsidRPr="0080078E">
        <w:rPr>
          <w:lang w:val="es-ES_tradnl"/>
        </w:rPr>
        <w:t>sino particularmente a las de otros sectores que en el pasado casi no han tenido salida a los</w:t>
      </w:r>
      <w:r>
        <w:rPr>
          <w:lang w:val="es-ES_tradnl"/>
        </w:rPr>
        <w:t xml:space="preserve"> </w:t>
      </w:r>
      <w:r w:rsidRPr="0080078E">
        <w:rPr>
          <w:lang w:val="es-ES_tradnl"/>
        </w:rPr>
        <w:t xml:space="preserve">mercados internacionales, pero en los cuales puede existir </w:t>
      </w:r>
      <w:r>
        <w:rPr>
          <w:lang w:val="es-ES_tradnl"/>
        </w:rPr>
        <w:t xml:space="preserve">una </w:t>
      </w:r>
      <w:r w:rsidRPr="0080078E">
        <w:rPr>
          <w:lang w:val="es-ES_tradnl"/>
        </w:rPr>
        <w:t>ventaj</w:t>
      </w:r>
      <w:r>
        <w:rPr>
          <w:lang w:val="es-ES_tradnl"/>
        </w:rPr>
        <w:t xml:space="preserve">a comparativa. En particular, </w:t>
      </w:r>
      <w:r w:rsidRPr="0080078E">
        <w:rPr>
          <w:lang w:val="es-ES_tradnl"/>
        </w:rPr>
        <w:t>debe estudiar</w:t>
      </w:r>
      <w:r>
        <w:rPr>
          <w:lang w:val="es-ES_tradnl"/>
        </w:rPr>
        <w:t>se</w:t>
      </w:r>
      <w:r w:rsidRPr="0080078E">
        <w:rPr>
          <w:lang w:val="es-ES_tradnl"/>
        </w:rPr>
        <w:t xml:space="preserve"> en detalle la estructura de ventajas comparativas que Puerto Rico parece tener en</w:t>
      </w:r>
      <w:r>
        <w:rPr>
          <w:lang w:val="es-ES_tradnl"/>
        </w:rPr>
        <w:t xml:space="preserve"> </w:t>
      </w:r>
      <w:r w:rsidRPr="0080078E">
        <w:rPr>
          <w:lang w:val="es-ES_tradnl"/>
        </w:rPr>
        <w:t>ciertas actividades de servicios</w:t>
      </w:r>
      <w:r>
        <w:rPr>
          <w:lang w:val="es-ES_tradnl"/>
        </w:rPr>
        <w:t>,</w:t>
      </w:r>
      <w:r w:rsidRPr="0080078E">
        <w:rPr>
          <w:lang w:val="es-ES_tradnl"/>
        </w:rPr>
        <w:t xml:space="preserve"> como las finanzas, seguros y bienes raíces, la ingeniería, las</w:t>
      </w:r>
      <w:r>
        <w:rPr>
          <w:lang w:val="es-ES_tradnl"/>
        </w:rPr>
        <w:t xml:space="preserve"> </w:t>
      </w:r>
      <w:r w:rsidRPr="0080078E">
        <w:rPr>
          <w:lang w:val="es-ES_tradnl"/>
        </w:rPr>
        <w:t>comunicaciones y los servicios de apoyo a negocios como auditoría y consultoría. Conviene darle</w:t>
      </w:r>
      <w:r>
        <w:rPr>
          <w:lang w:val="es-ES_tradnl"/>
        </w:rPr>
        <w:t xml:space="preserve"> </w:t>
      </w:r>
      <w:r w:rsidRPr="0080078E">
        <w:rPr>
          <w:lang w:val="es-ES_tradnl"/>
        </w:rPr>
        <w:t>atención especial a las exportaciones potenciales de servicios a los países de Centroamérica y</w:t>
      </w:r>
      <w:r>
        <w:rPr>
          <w:lang w:val="es-ES_tradnl"/>
        </w:rPr>
        <w:t xml:space="preserve"> a</w:t>
      </w:r>
      <w:r w:rsidRPr="0080078E">
        <w:rPr>
          <w:lang w:val="es-ES_tradnl"/>
        </w:rPr>
        <w:t xml:space="preserve"> la</w:t>
      </w:r>
      <w:r>
        <w:rPr>
          <w:lang w:val="es-ES_tradnl"/>
        </w:rPr>
        <w:t xml:space="preserve"> </w:t>
      </w:r>
      <w:r w:rsidRPr="0080078E">
        <w:rPr>
          <w:lang w:val="es-ES_tradnl"/>
        </w:rPr>
        <w:t>República Dominicana para aprovechar la apertura creada por el CAFTA+RD</w:t>
      </w:r>
      <w:r>
        <w:rPr>
          <w:lang w:val="es-ES_tradnl"/>
        </w:rPr>
        <w:t xml:space="preserve"> (CEPAL)</w:t>
      </w:r>
      <w:r w:rsidRPr="0080078E">
        <w:rPr>
          <w:lang w:val="es-ES_tradnl"/>
        </w:rPr>
        <w:t>.</w:t>
      </w:r>
    </w:p>
    <w:p w:rsidR="005A5E7D" w:rsidRPr="00665050" w:rsidRDefault="005A5E7D" w:rsidP="005A5E7D">
      <w:pPr>
        <w:rPr>
          <w:lang w:val="es-ES_tradnl"/>
        </w:rPr>
      </w:pPr>
      <w:r w:rsidRPr="00665050">
        <w:rPr>
          <w:lang w:val="es-ES_tradnl"/>
        </w:rPr>
        <w:t>El Banco de la Reserva Federal de Nueva York</w:t>
      </w:r>
      <w:r>
        <w:rPr>
          <w:lang w:val="es-ES_tradnl"/>
        </w:rPr>
        <w:t xml:space="preserve"> </w:t>
      </w:r>
      <w:r w:rsidRPr="00665050">
        <w:rPr>
          <w:lang w:val="es-ES_tradnl"/>
        </w:rPr>
        <w:t>(2012</w:t>
      </w:r>
      <w:r>
        <w:rPr>
          <w:lang w:val="es-ES_tradnl"/>
        </w:rPr>
        <w:t>)</w:t>
      </w:r>
      <w:r w:rsidRPr="00665050">
        <w:rPr>
          <w:lang w:val="es-ES_tradnl"/>
        </w:rPr>
        <w:t xml:space="preserve"> hace una recomendación, a mi parecer innovadora </w:t>
      </w:r>
      <w:r>
        <w:rPr>
          <w:lang w:val="es-ES_tradnl"/>
        </w:rPr>
        <w:t>e interesante. S</w:t>
      </w:r>
      <w:r w:rsidRPr="00665050">
        <w:rPr>
          <w:lang w:val="es-ES_tradnl"/>
        </w:rPr>
        <w:t>egún este informe</w:t>
      </w:r>
      <w:r>
        <w:rPr>
          <w:lang w:val="es-ES_tradnl"/>
        </w:rPr>
        <w:t>,</w:t>
      </w:r>
      <w:r w:rsidRPr="00665050">
        <w:rPr>
          <w:lang w:val="es-ES_tradnl"/>
        </w:rPr>
        <w:t xml:space="preserve"> “el alto costo de transporte marítimo es una carga sustancial que impacta la productividad de la isla</w:t>
      </w:r>
      <w:r>
        <w:rPr>
          <w:lang w:val="es-ES_tradnl"/>
        </w:rPr>
        <w:t>”</w:t>
      </w:r>
      <w:r w:rsidRPr="00665050">
        <w:rPr>
          <w:lang w:val="es-ES_tradnl"/>
        </w:rPr>
        <w:t xml:space="preserve">. </w:t>
      </w:r>
      <w:r>
        <w:rPr>
          <w:lang w:val="es-ES_tradnl"/>
        </w:rPr>
        <w:t xml:space="preserve">Alega que </w:t>
      </w:r>
      <w:r w:rsidRPr="00665050">
        <w:rPr>
          <w:lang w:val="es-ES_tradnl"/>
        </w:rPr>
        <w:t xml:space="preserve">Puerto Rico se encuentra en una situación diferente con respecto a la Ley Jones, debido a </w:t>
      </w:r>
      <w:r>
        <w:rPr>
          <w:lang w:val="es-ES_tradnl"/>
        </w:rPr>
        <w:t>la</w:t>
      </w:r>
      <w:r w:rsidRPr="00665050">
        <w:rPr>
          <w:lang w:val="es-ES_tradnl"/>
        </w:rPr>
        <w:t xml:space="preserve"> condición de</w:t>
      </w:r>
      <w:r>
        <w:rPr>
          <w:lang w:val="es-ES_tradnl"/>
        </w:rPr>
        <w:t xml:space="preserve"> su economía</w:t>
      </w:r>
      <w:r w:rsidRPr="00665050">
        <w:rPr>
          <w:lang w:val="es-ES_tradnl"/>
        </w:rPr>
        <w:t xml:space="preserve">. </w:t>
      </w:r>
      <w:r>
        <w:rPr>
          <w:lang w:val="es-ES_tradnl"/>
        </w:rPr>
        <w:t>Señala que u</w:t>
      </w:r>
      <w:r w:rsidRPr="00665050">
        <w:rPr>
          <w:lang w:val="es-ES_tradnl"/>
        </w:rPr>
        <w:t>na opción podría ser la búsqueda de una exención tempor</w:t>
      </w:r>
      <w:r>
        <w:rPr>
          <w:lang w:val="es-ES_tradnl"/>
        </w:rPr>
        <w:t>al de la Ley Jones, por ejemplo</w:t>
      </w:r>
      <w:r w:rsidRPr="00665050">
        <w:rPr>
          <w:lang w:val="es-ES_tradnl"/>
        </w:rPr>
        <w:t xml:space="preserve"> durante cinco años, con el fin de evaluar si estas restric</w:t>
      </w:r>
      <w:r>
        <w:rPr>
          <w:lang w:val="es-ES_tradnl"/>
        </w:rPr>
        <w:t>ciones representan en realidad l</w:t>
      </w:r>
      <w:r w:rsidRPr="00665050">
        <w:rPr>
          <w:lang w:val="es-ES_tradnl"/>
        </w:rPr>
        <w:t>a causa sustancial de los elevados</w:t>
      </w:r>
      <w:r>
        <w:rPr>
          <w:lang w:val="es-ES_tradnl"/>
        </w:rPr>
        <w:t xml:space="preserve"> </w:t>
      </w:r>
      <w:r w:rsidRPr="00665050">
        <w:rPr>
          <w:lang w:val="es-ES_tradnl"/>
        </w:rPr>
        <w:t>costos de transportación para permitir la evaluación de los costos y benefi</w:t>
      </w:r>
      <w:r>
        <w:rPr>
          <w:lang w:val="es-ES_tradnl"/>
        </w:rPr>
        <w:t>cios de una exención permanente</w:t>
      </w:r>
      <w:r w:rsidRPr="00665050">
        <w:rPr>
          <w:lang w:val="es-ES_tradnl"/>
        </w:rPr>
        <w:t>.</w:t>
      </w:r>
      <w:r>
        <w:rPr>
          <w:lang w:val="es-ES_tradnl"/>
        </w:rPr>
        <w:t xml:space="preserve"> E</w:t>
      </w:r>
      <w:r w:rsidRPr="00665050">
        <w:rPr>
          <w:lang w:val="es-ES_tradnl"/>
        </w:rPr>
        <w:t>n su informe</w:t>
      </w:r>
      <w:r>
        <w:rPr>
          <w:lang w:val="es-ES_tradnl"/>
        </w:rPr>
        <w:t>,</w:t>
      </w:r>
      <w:r w:rsidRPr="00665050">
        <w:rPr>
          <w:lang w:val="es-ES_tradnl"/>
        </w:rPr>
        <w:t xml:space="preserve"> también llama la atención y recomienda medidas relaciona</w:t>
      </w:r>
      <w:r>
        <w:rPr>
          <w:lang w:val="es-ES_tradnl"/>
        </w:rPr>
        <w:t>d</w:t>
      </w:r>
      <w:r w:rsidRPr="00665050">
        <w:rPr>
          <w:lang w:val="es-ES_tradnl"/>
        </w:rPr>
        <w:t>a</w:t>
      </w:r>
      <w:r>
        <w:rPr>
          <w:lang w:val="es-ES_tradnl"/>
        </w:rPr>
        <w:t>s</w:t>
      </w:r>
      <w:r w:rsidRPr="00665050">
        <w:rPr>
          <w:lang w:val="es-ES_tradnl"/>
        </w:rPr>
        <w:t xml:space="preserve"> a los altos costos energéticos. Un sector de la energía eficiente y competitivo es esencial para el éxito más amplio de la economía puertorriqueña. </w:t>
      </w:r>
    </w:p>
    <w:p w:rsidR="005A5E7D" w:rsidRDefault="005A5E7D" w:rsidP="005A5E7D">
      <w:pPr>
        <w:rPr>
          <w:szCs w:val="20"/>
          <w:lang w:val="es-ES_tradnl"/>
        </w:rPr>
      </w:pPr>
      <w:r w:rsidRPr="00665050">
        <w:rPr>
          <w:lang w:val="es-ES_tradnl"/>
        </w:rPr>
        <w:t xml:space="preserve">Edward Wolff y Ángel Ruiz (Wolff, E. </w:t>
      </w:r>
      <w:r>
        <w:rPr>
          <w:lang w:val="es-ES_tradnl"/>
        </w:rPr>
        <w:t>y</w:t>
      </w:r>
      <w:r w:rsidRPr="00665050">
        <w:rPr>
          <w:lang w:val="es-ES_tradnl"/>
        </w:rPr>
        <w:t xml:space="preserve"> Ruiz</w:t>
      </w:r>
      <w:r>
        <w:rPr>
          <w:lang w:val="es-ES_tradnl"/>
        </w:rPr>
        <w:t>,</w:t>
      </w:r>
      <w:r w:rsidRPr="00665050">
        <w:rPr>
          <w:lang w:val="es-ES_tradnl"/>
        </w:rPr>
        <w:t xml:space="preserve"> Ángel L., 1996) recomendar</w:t>
      </w:r>
      <w:r>
        <w:rPr>
          <w:lang w:val="es-ES_tradnl"/>
        </w:rPr>
        <w:t>on</w:t>
      </w:r>
      <w:r w:rsidRPr="00665050">
        <w:rPr>
          <w:lang w:val="es-ES_tradnl"/>
        </w:rPr>
        <w:t xml:space="preserve"> la promoción de exportaciones de servicios </w:t>
      </w:r>
      <w:r>
        <w:rPr>
          <w:lang w:val="es-ES_tradnl"/>
        </w:rPr>
        <w:t xml:space="preserve">e identificaron las </w:t>
      </w:r>
      <w:r w:rsidRPr="00665050">
        <w:rPr>
          <w:lang w:val="es-ES_tradnl"/>
        </w:rPr>
        <w:t xml:space="preserve">industrias </w:t>
      </w:r>
      <w:r>
        <w:rPr>
          <w:lang w:val="es-ES_tradnl"/>
        </w:rPr>
        <w:t xml:space="preserve">que </w:t>
      </w:r>
      <w:r w:rsidRPr="00665050">
        <w:rPr>
          <w:lang w:val="es-ES_tradnl"/>
        </w:rPr>
        <w:t>podrían ser potencialmente exportadoras de estos</w:t>
      </w:r>
      <w:r>
        <w:rPr>
          <w:lang w:val="es-ES_tradnl"/>
        </w:rPr>
        <w:t xml:space="preserve"> servicios</w:t>
      </w:r>
      <w:r w:rsidRPr="00665050">
        <w:rPr>
          <w:lang w:val="es-ES_tradnl"/>
        </w:rPr>
        <w:t>. Los autores se pregunta</w:t>
      </w:r>
      <w:r>
        <w:rPr>
          <w:lang w:val="es-ES_tradnl"/>
        </w:rPr>
        <w:t>ro</w:t>
      </w:r>
      <w:r w:rsidRPr="00665050">
        <w:rPr>
          <w:lang w:val="es-ES_tradnl"/>
        </w:rPr>
        <w:t>n</w:t>
      </w:r>
      <w:r>
        <w:rPr>
          <w:lang w:val="es-ES_tradnl"/>
        </w:rPr>
        <w:t>:</w:t>
      </w:r>
      <w:r w:rsidRPr="00665050">
        <w:rPr>
          <w:lang w:val="es-ES_tradnl"/>
        </w:rPr>
        <w:t xml:space="preserve"> </w:t>
      </w:r>
      <w:r w:rsidRPr="00665050">
        <w:rPr>
          <w:szCs w:val="20"/>
          <w:lang w:val="es-ES_tradnl"/>
        </w:rPr>
        <w:t>¿Qué industrias son l</w:t>
      </w:r>
      <w:r>
        <w:rPr>
          <w:szCs w:val="20"/>
          <w:lang w:val="es-ES_tradnl"/>
        </w:rPr>
        <w:t>a</w:t>
      </w:r>
      <w:r w:rsidRPr="00665050">
        <w:rPr>
          <w:szCs w:val="20"/>
          <w:lang w:val="es-ES_tradnl"/>
        </w:rPr>
        <w:t>s principales candidat</w:t>
      </w:r>
      <w:r>
        <w:rPr>
          <w:szCs w:val="20"/>
          <w:lang w:val="es-ES_tradnl"/>
        </w:rPr>
        <w:t>as</w:t>
      </w:r>
      <w:r w:rsidRPr="00665050">
        <w:rPr>
          <w:szCs w:val="20"/>
          <w:lang w:val="es-ES_tradnl"/>
        </w:rPr>
        <w:t>? V</w:t>
      </w:r>
      <w:r>
        <w:rPr>
          <w:szCs w:val="20"/>
          <w:lang w:val="es-ES_tradnl"/>
        </w:rPr>
        <w:t>ieron</w:t>
      </w:r>
      <w:r w:rsidRPr="00665050">
        <w:rPr>
          <w:szCs w:val="20"/>
          <w:lang w:val="es-ES_tradnl"/>
        </w:rPr>
        <w:t xml:space="preserve"> posibilidades para el desarrollo de servicios exportables</w:t>
      </w:r>
      <w:r>
        <w:rPr>
          <w:szCs w:val="20"/>
          <w:lang w:val="es-ES_tradnl"/>
        </w:rPr>
        <w:t>,</w:t>
      </w:r>
      <w:r w:rsidRPr="00665050">
        <w:rPr>
          <w:szCs w:val="20"/>
          <w:lang w:val="es-ES_tradnl"/>
        </w:rPr>
        <w:t xml:space="preserve"> tales como finanzas, seguros y servicios empresariales, así como los servicios de salud. Ruiz y Castañer </w:t>
      </w:r>
      <w:r>
        <w:rPr>
          <w:szCs w:val="20"/>
          <w:lang w:val="es-ES_tradnl"/>
        </w:rPr>
        <w:t>(</w:t>
      </w:r>
      <w:r w:rsidRPr="00665050">
        <w:rPr>
          <w:szCs w:val="20"/>
          <w:lang w:val="es-ES_tradnl"/>
        </w:rPr>
        <w:t>1993</w:t>
      </w:r>
      <w:r>
        <w:rPr>
          <w:szCs w:val="20"/>
          <w:lang w:val="es-ES_tradnl"/>
        </w:rPr>
        <w:t xml:space="preserve">) </w:t>
      </w:r>
      <w:r w:rsidRPr="00665050">
        <w:rPr>
          <w:szCs w:val="20"/>
          <w:lang w:val="es-ES_tradnl"/>
        </w:rPr>
        <w:t>señala</w:t>
      </w:r>
      <w:r>
        <w:rPr>
          <w:szCs w:val="20"/>
          <w:lang w:val="es-ES_tradnl"/>
        </w:rPr>
        <w:t>ron</w:t>
      </w:r>
      <w:r w:rsidRPr="00665050">
        <w:rPr>
          <w:szCs w:val="20"/>
          <w:lang w:val="es-ES_tradnl"/>
        </w:rPr>
        <w:t xml:space="preserve"> </w:t>
      </w:r>
      <w:r>
        <w:rPr>
          <w:szCs w:val="20"/>
          <w:lang w:val="es-ES_tradnl"/>
        </w:rPr>
        <w:t>que la cuenca del Caribe</w:t>
      </w:r>
      <w:r w:rsidRPr="00665050">
        <w:rPr>
          <w:szCs w:val="20"/>
          <w:lang w:val="es-ES_tradnl"/>
        </w:rPr>
        <w:t xml:space="preserve"> </w:t>
      </w:r>
      <w:r w:rsidRPr="008B456C">
        <w:t>—</w:t>
      </w:r>
      <w:r w:rsidRPr="00665050">
        <w:rPr>
          <w:szCs w:val="20"/>
          <w:lang w:val="es-ES_tradnl"/>
        </w:rPr>
        <w:t>incluyendo México</w:t>
      </w:r>
      <w:r>
        <w:rPr>
          <w:szCs w:val="20"/>
          <w:lang w:val="es-ES_tradnl"/>
        </w:rPr>
        <w:t>,</w:t>
      </w:r>
      <w:r w:rsidRPr="00665050">
        <w:rPr>
          <w:szCs w:val="20"/>
          <w:lang w:val="es-ES_tradnl"/>
        </w:rPr>
        <w:t xml:space="preserve"> América Central, Colombia y Venezuela</w:t>
      </w:r>
      <w:r w:rsidRPr="008B456C">
        <w:t>—</w:t>
      </w:r>
      <w:r>
        <w:rPr>
          <w:szCs w:val="20"/>
          <w:lang w:val="es-ES_tradnl"/>
        </w:rPr>
        <w:t xml:space="preserve"> ahora parece</w:t>
      </w:r>
      <w:r w:rsidRPr="00665050">
        <w:rPr>
          <w:szCs w:val="20"/>
          <w:lang w:val="es-ES_tradnl"/>
        </w:rPr>
        <w:t xml:space="preserve"> a punto de lograr un estado m</w:t>
      </w:r>
      <w:r>
        <w:rPr>
          <w:szCs w:val="20"/>
          <w:lang w:val="es-ES_tradnl"/>
        </w:rPr>
        <w:t>á</w:t>
      </w:r>
      <w:r w:rsidRPr="00665050">
        <w:rPr>
          <w:szCs w:val="20"/>
          <w:lang w:val="es-ES_tradnl"/>
        </w:rPr>
        <w:t>s</w:t>
      </w:r>
      <w:r>
        <w:rPr>
          <w:szCs w:val="20"/>
          <w:lang w:val="es-ES_tradnl"/>
        </w:rPr>
        <w:t xml:space="preserve"> rápido de crecimiento.</w:t>
      </w:r>
    </w:p>
    <w:p w:rsidR="005A5E7D" w:rsidRPr="00665050" w:rsidRDefault="005A5E7D" w:rsidP="005A5E7D">
      <w:pPr>
        <w:rPr>
          <w:szCs w:val="20"/>
          <w:lang w:val="es-ES_tradnl"/>
        </w:rPr>
      </w:pPr>
      <w:r w:rsidRPr="00665050">
        <w:rPr>
          <w:szCs w:val="20"/>
          <w:lang w:val="es-ES_tradnl"/>
        </w:rPr>
        <w:t xml:space="preserve">Debido al alto nivel de educación de la </w:t>
      </w:r>
      <w:r>
        <w:rPr>
          <w:szCs w:val="20"/>
          <w:lang w:val="es-ES_tradnl"/>
        </w:rPr>
        <w:t>población</w:t>
      </w:r>
      <w:r w:rsidRPr="00665050">
        <w:rPr>
          <w:szCs w:val="20"/>
          <w:lang w:val="es-ES_tradnl"/>
        </w:rPr>
        <w:t xml:space="preserve"> de Puerto Rico (</w:t>
      </w:r>
      <w:r>
        <w:rPr>
          <w:szCs w:val="20"/>
          <w:lang w:val="es-ES_tradnl"/>
        </w:rPr>
        <w:t xml:space="preserve">para más detalles, </w:t>
      </w:r>
      <w:r w:rsidRPr="00665050">
        <w:rPr>
          <w:szCs w:val="20"/>
          <w:lang w:val="es-ES_tradnl"/>
        </w:rPr>
        <w:t>véase Baumol y Wolff</w:t>
      </w:r>
      <w:r>
        <w:rPr>
          <w:szCs w:val="20"/>
          <w:lang w:val="es-ES_tradnl"/>
        </w:rPr>
        <w:t xml:space="preserve">, </w:t>
      </w:r>
      <w:r w:rsidRPr="00665050">
        <w:rPr>
          <w:szCs w:val="20"/>
          <w:lang w:val="es-ES_tradnl"/>
        </w:rPr>
        <w:t xml:space="preserve">1996), tendría sentido promover el desarrollo de estos servicios de alta categoría para el mercado del Caribe. Estos servicios se caracterizan por multiplicadores de empleo relativamente altos </w:t>
      </w:r>
      <w:r>
        <w:rPr>
          <w:szCs w:val="20"/>
          <w:lang w:val="es-ES_tradnl"/>
        </w:rPr>
        <w:t>(</w:t>
      </w:r>
      <w:r w:rsidRPr="00665050">
        <w:rPr>
          <w:szCs w:val="20"/>
          <w:lang w:val="es-ES_tradnl"/>
        </w:rPr>
        <w:t>véase también Green, 1996 para argumentos similares). Por otra parte, el turismo y la agricultura han languidecido durante las últimas décadas. Servicios de hostelería, agricultura y productos alimenticios fabricados asociados</w:t>
      </w:r>
      <w:r>
        <w:rPr>
          <w:szCs w:val="20"/>
          <w:lang w:val="es-ES_tradnl"/>
        </w:rPr>
        <w:t>,</w:t>
      </w:r>
      <w:r w:rsidRPr="00665050">
        <w:rPr>
          <w:szCs w:val="20"/>
          <w:lang w:val="es-ES_tradnl"/>
        </w:rPr>
        <w:t xml:space="preserve"> todos dependen en gran </w:t>
      </w:r>
      <w:r>
        <w:rPr>
          <w:szCs w:val="20"/>
          <w:lang w:val="es-ES_tradnl"/>
        </w:rPr>
        <w:t>medida de los insumos locales</w:t>
      </w:r>
      <w:r w:rsidRPr="00665050">
        <w:rPr>
          <w:szCs w:val="20"/>
          <w:lang w:val="es-ES_tradnl"/>
        </w:rPr>
        <w:t xml:space="preserve"> y tienen altos multiplicadores de empleo. De esta misma forma, </w:t>
      </w:r>
      <w:r>
        <w:rPr>
          <w:szCs w:val="20"/>
          <w:lang w:val="es-ES_tradnl"/>
        </w:rPr>
        <w:t xml:space="preserve">con </w:t>
      </w:r>
      <w:r w:rsidRPr="00665050">
        <w:rPr>
          <w:szCs w:val="20"/>
          <w:lang w:val="es-ES_tradnl"/>
        </w:rPr>
        <w:t>una reorientación del comercio hacia los países de la</w:t>
      </w:r>
      <w:r>
        <w:rPr>
          <w:szCs w:val="20"/>
          <w:lang w:val="es-ES_tradnl"/>
        </w:rPr>
        <w:t xml:space="preserve"> c</w:t>
      </w:r>
      <w:r w:rsidRPr="00665050">
        <w:rPr>
          <w:szCs w:val="20"/>
          <w:lang w:val="es-ES_tradnl"/>
        </w:rPr>
        <w:t>uenca del Caribe que nos rodean</w:t>
      </w:r>
      <w:r>
        <w:rPr>
          <w:szCs w:val="20"/>
          <w:lang w:val="es-ES_tradnl"/>
        </w:rPr>
        <w:t>,</w:t>
      </w:r>
      <w:r w:rsidRPr="00665050">
        <w:rPr>
          <w:szCs w:val="20"/>
          <w:lang w:val="es-ES_tradnl"/>
        </w:rPr>
        <w:t xml:space="preserve"> </w:t>
      </w:r>
      <w:r>
        <w:rPr>
          <w:szCs w:val="20"/>
          <w:lang w:val="es-ES_tradnl"/>
        </w:rPr>
        <w:t xml:space="preserve">para el </w:t>
      </w:r>
      <w:r w:rsidRPr="00665050">
        <w:rPr>
          <w:szCs w:val="20"/>
          <w:lang w:val="es-ES_tradnl"/>
        </w:rPr>
        <w:t>suministro de estos productos</w:t>
      </w:r>
      <w:r>
        <w:rPr>
          <w:szCs w:val="20"/>
          <w:lang w:val="es-ES_tradnl"/>
        </w:rPr>
        <w:t>, se podrían</w:t>
      </w:r>
      <w:r w:rsidRPr="00665050">
        <w:rPr>
          <w:szCs w:val="20"/>
          <w:lang w:val="es-ES_tradnl"/>
        </w:rPr>
        <w:t xml:space="preserve"> obtener también ventajas en términos de crecimiento económico y empleo.</w:t>
      </w:r>
    </w:p>
    <w:p w:rsidR="005A5E7D" w:rsidRDefault="005A5E7D" w:rsidP="005A5E7D">
      <w:pPr>
        <w:rPr>
          <w:lang w:val="es-ES_tradnl"/>
        </w:rPr>
      </w:pPr>
      <w:r w:rsidRPr="00F64311">
        <w:rPr>
          <w:lang w:val="es-ES_tradnl"/>
        </w:rPr>
        <w:t>Clar h</w:t>
      </w:r>
      <w:r>
        <w:rPr>
          <w:lang w:val="es-ES_tradnl"/>
        </w:rPr>
        <w:t>izo</w:t>
      </w:r>
      <w:r w:rsidRPr="00F64311">
        <w:rPr>
          <w:lang w:val="es-ES_tradnl"/>
        </w:rPr>
        <w:t xml:space="preserve"> unas recomendaciones de política p</w:t>
      </w:r>
      <w:r>
        <w:rPr>
          <w:lang w:val="es-ES_tradnl"/>
        </w:rPr>
        <w:t>ú</w:t>
      </w:r>
      <w:r w:rsidRPr="00F64311">
        <w:rPr>
          <w:lang w:val="es-ES_tradnl"/>
        </w:rPr>
        <w:t>blica que merecen mencionarse en este trabajo. Entre otras</w:t>
      </w:r>
      <w:r>
        <w:rPr>
          <w:lang w:val="es-ES_tradnl"/>
        </w:rPr>
        <w:t>,</w:t>
      </w:r>
      <w:r w:rsidRPr="00F64311">
        <w:rPr>
          <w:lang w:val="es-ES_tradnl"/>
        </w:rPr>
        <w:t xml:space="preserve"> es</w:t>
      </w:r>
      <w:r>
        <w:rPr>
          <w:lang w:val="es-ES_tradnl"/>
        </w:rPr>
        <w:t>te autor recomendó que el G</w:t>
      </w:r>
      <w:r w:rsidRPr="00F64311">
        <w:rPr>
          <w:lang w:val="es-ES_tradnl"/>
        </w:rPr>
        <w:t xml:space="preserve">obierno de </w:t>
      </w:r>
      <w:r>
        <w:rPr>
          <w:lang w:val="es-ES_tradnl"/>
        </w:rPr>
        <w:t>Estados Unidos</w:t>
      </w:r>
      <w:r w:rsidRPr="00F64311">
        <w:rPr>
          <w:lang w:val="es-ES_tradnl"/>
        </w:rPr>
        <w:t xml:space="preserve"> debe encontrar ma</w:t>
      </w:r>
      <w:r>
        <w:rPr>
          <w:lang w:val="es-ES_tradnl"/>
        </w:rPr>
        <w:t xml:space="preserve">neras de involucrar activamente </w:t>
      </w:r>
      <w:r w:rsidRPr="00F64311">
        <w:rPr>
          <w:lang w:val="es-ES_tradnl"/>
        </w:rPr>
        <w:t>Puerto Rico en el Tratado de Libre Comercio de América del Norte (NAFTA</w:t>
      </w:r>
      <w:r>
        <w:rPr>
          <w:lang w:val="es-ES_tradnl"/>
        </w:rPr>
        <w:t xml:space="preserve">, por sus siglas en inglés) para </w:t>
      </w:r>
      <w:r w:rsidRPr="00F64311">
        <w:rPr>
          <w:lang w:val="es-ES_tradnl"/>
        </w:rPr>
        <w:t xml:space="preserve">incrementar el comercio canadiense y mexicano con la </w:t>
      </w:r>
      <w:r>
        <w:rPr>
          <w:lang w:val="es-ES_tradnl"/>
        </w:rPr>
        <w:t>I</w:t>
      </w:r>
      <w:r w:rsidRPr="00F64311">
        <w:rPr>
          <w:lang w:val="es-ES_tradnl"/>
        </w:rPr>
        <w:t>sla</w:t>
      </w:r>
      <w:r>
        <w:rPr>
          <w:lang w:val="es-ES_tradnl"/>
        </w:rPr>
        <w:t>.</w:t>
      </w:r>
      <w:r w:rsidRPr="00F64311">
        <w:rPr>
          <w:lang w:val="es-ES_tradnl"/>
        </w:rPr>
        <w:t xml:space="preserve"> Después la aprobación del NAFTA</w:t>
      </w:r>
      <w:r>
        <w:rPr>
          <w:lang w:val="es-ES_tradnl"/>
        </w:rPr>
        <w:t>,</w:t>
      </w:r>
      <w:r w:rsidRPr="00F64311">
        <w:rPr>
          <w:lang w:val="es-ES_tradnl"/>
        </w:rPr>
        <w:t xml:space="preserve"> las industrias en Puerto Rico perdieron competitividad con las empresas mexicanas</w:t>
      </w:r>
      <w:r>
        <w:rPr>
          <w:lang w:val="es-ES_tradnl"/>
        </w:rPr>
        <w:t>,</w:t>
      </w:r>
      <w:r w:rsidRPr="00F64311">
        <w:rPr>
          <w:lang w:val="es-ES_tradnl"/>
        </w:rPr>
        <w:t xml:space="preserve"> sobre todo en el sector manufacturero</w:t>
      </w:r>
      <w:r>
        <w:rPr>
          <w:lang w:val="es-ES_tradnl"/>
        </w:rPr>
        <w:t>;</w:t>
      </w:r>
      <w:r w:rsidRPr="00F64311">
        <w:rPr>
          <w:lang w:val="es-ES_tradnl"/>
        </w:rPr>
        <w:t xml:space="preserve"> el desempleo aumentó dramáticamente y los niveles de inve</w:t>
      </w:r>
      <w:r>
        <w:rPr>
          <w:lang w:val="es-ES_tradnl"/>
        </w:rPr>
        <w:t xml:space="preserve">rsión disminuyeron vis a </w:t>
      </w:r>
      <w:r w:rsidRPr="00F64311">
        <w:rPr>
          <w:lang w:val="es-ES_tradnl"/>
        </w:rPr>
        <w:t>vis Mé</w:t>
      </w:r>
      <w:r>
        <w:rPr>
          <w:lang w:val="es-ES_tradnl"/>
        </w:rPr>
        <w:t>xico.</w:t>
      </w:r>
    </w:p>
    <w:p w:rsidR="005A5E7D" w:rsidRDefault="005A5E7D" w:rsidP="005A5E7D">
      <w:pPr>
        <w:rPr>
          <w:lang w:val="es-ES_tradnl"/>
        </w:rPr>
      </w:pPr>
      <w:r w:rsidRPr="00F64311">
        <w:rPr>
          <w:lang w:val="es-ES_tradnl"/>
        </w:rPr>
        <w:t>Al carecer de la capacidad para participar en los debates del</w:t>
      </w:r>
      <w:r>
        <w:rPr>
          <w:lang w:val="es-ES_tradnl"/>
        </w:rPr>
        <w:t xml:space="preserve"> NAFTA, Puerto Rico </w:t>
      </w:r>
      <w:r w:rsidRPr="00F64311">
        <w:rPr>
          <w:lang w:val="es-ES_tradnl"/>
        </w:rPr>
        <w:t>tuvo</w:t>
      </w:r>
      <w:r>
        <w:rPr>
          <w:lang w:val="es-ES_tradnl"/>
        </w:rPr>
        <w:t xml:space="preserve"> </w:t>
      </w:r>
      <w:r w:rsidRPr="00F64311">
        <w:rPr>
          <w:lang w:val="es-ES_tradnl"/>
        </w:rPr>
        <w:t>que</w:t>
      </w:r>
      <w:r>
        <w:rPr>
          <w:lang w:val="es-ES_tradnl"/>
        </w:rPr>
        <w:t xml:space="preserve"> </w:t>
      </w:r>
      <w:r w:rsidRPr="00F64311">
        <w:rPr>
          <w:lang w:val="es-ES_tradnl"/>
        </w:rPr>
        <w:t>sufrir la sanción de un acuerdo que no fue hecho para satisfacer las necesidades del Estado Libre Asociado</w:t>
      </w:r>
      <w:r>
        <w:rPr>
          <w:lang w:val="es-ES_tradnl"/>
        </w:rPr>
        <w:t>.</w:t>
      </w:r>
      <w:r w:rsidRPr="00F64311">
        <w:rPr>
          <w:lang w:val="es-ES_tradnl"/>
        </w:rPr>
        <w:t xml:space="preserve"> Como resultado, el </w:t>
      </w:r>
      <w:r>
        <w:rPr>
          <w:lang w:val="es-ES_tradnl"/>
        </w:rPr>
        <w:t>Gobierno</w:t>
      </w:r>
      <w:r w:rsidRPr="00F64311">
        <w:rPr>
          <w:lang w:val="es-ES_tradnl"/>
        </w:rPr>
        <w:t xml:space="preserve"> federal debe ser responsable de encontrar soluciones para minimizar este golpe económico</w:t>
      </w:r>
      <w:r>
        <w:rPr>
          <w:lang w:val="es-ES_tradnl"/>
        </w:rPr>
        <w:t>.</w:t>
      </w:r>
      <w:r w:rsidRPr="00F64311">
        <w:rPr>
          <w:lang w:val="es-ES_tradnl"/>
        </w:rPr>
        <w:t xml:space="preserve"> Algunas opciones posibles </w:t>
      </w:r>
      <w:r>
        <w:rPr>
          <w:lang w:val="es-ES_tradnl"/>
        </w:rPr>
        <w:t xml:space="preserve">son </w:t>
      </w:r>
      <w:r w:rsidRPr="00F64311">
        <w:rPr>
          <w:lang w:val="es-ES_tradnl"/>
        </w:rPr>
        <w:t xml:space="preserve">trabajar </w:t>
      </w:r>
      <w:r w:rsidRPr="008B456C">
        <w:t>—</w:t>
      </w:r>
      <w:r w:rsidRPr="00F64311">
        <w:rPr>
          <w:lang w:val="es-ES_tradnl"/>
        </w:rPr>
        <w:t xml:space="preserve">a través de la </w:t>
      </w:r>
      <w:r w:rsidRPr="00F47407">
        <w:t>Compañía de Comercio y Exportación de Puerto Rico</w:t>
      </w:r>
      <w:r>
        <w:t xml:space="preserve"> (CCE)</w:t>
      </w:r>
      <w:r w:rsidRPr="000B76F1">
        <w:t xml:space="preserve"> </w:t>
      </w:r>
      <w:r w:rsidRPr="008B456C">
        <w:t>—</w:t>
      </w:r>
      <w:r>
        <w:rPr>
          <w:lang w:val="es-ES_tradnl"/>
        </w:rPr>
        <w:t xml:space="preserve"> </w:t>
      </w:r>
      <w:r w:rsidRPr="00F64311">
        <w:rPr>
          <w:lang w:val="es-ES_tradnl"/>
        </w:rPr>
        <w:t>programas para aumentar las exportaciones d</w:t>
      </w:r>
      <w:r>
        <w:rPr>
          <w:lang w:val="es-ES_tradnl"/>
        </w:rPr>
        <w:t xml:space="preserve">e Puerto Rico a México y Canadá; </w:t>
      </w:r>
      <w:r w:rsidRPr="00F64311">
        <w:rPr>
          <w:lang w:val="es-ES_tradnl"/>
        </w:rPr>
        <w:t>y apoyar el establecimiento de oficinas comerciales entre Puerto Rico y estos dos países</w:t>
      </w:r>
      <w:r>
        <w:rPr>
          <w:lang w:val="es-ES_tradnl"/>
        </w:rPr>
        <w:t>,</w:t>
      </w:r>
      <w:r w:rsidRPr="00F64311">
        <w:rPr>
          <w:lang w:val="es-ES_tradnl"/>
        </w:rPr>
        <w:t xml:space="preserve"> y ofrecer incentivos para que las empresas estadounidenses con operaciones intensivas en trabajo puedan </w:t>
      </w:r>
      <w:r>
        <w:rPr>
          <w:lang w:val="es-ES_tradnl"/>
        </w:rPr>
        <w:t>hacer negocios en la Isla.</w:t>
      </w:r>
    </w:p>
    <w:p w:rsidR="005A5E7D" w:rsidRDefault="005A5E7D" w:rsidP="005A5E7D">
      <w:pPr>
        <w:rPr>
          <w:lang w:val="es-ES_tradnl"/>
        </w:rPr>
      </w:pPr>
      <w:r w:rsidRPr="00F64311">
        <w:rPr>
          <w:lang w:val="es-ES_tradnl"/>
        </w:rPr>
        <w:t xml:space="preserve">Puerto Rico no ha maximizado </w:t>
      </w:r>
      <w:r>
        <w:rPr>
          <w:lang w:val="es-ES_tradnl"/>
        </w:rPr>
        <w:t xml:space="preserve">el </w:t>
      </w:r>
      <w:r w:rsidRPr="00F64311">
        <w:rPr>
          <w:lang w:val="es-ES_tradnl"/>
        </w:rPr>
        <w:t>potencial económico</w:t>
      </w:r>
      <w:r>
        <w:rPr>
          <w:lang w:val="es-ES_tradnl"/>
        </w:rPr>
        <w:t xml:space="preserve"> del</w:t>
      </w:r>
      <w:r w:rsidRPr="00F64311">
        <w:rPr>
          <w:lang w:val="es-ES_tradnl"/>
        </w:rPr>
        <w:t xml:space="preserve"> turismo</w:t>
      </w:r>
      <w:r>
        <w:rPr>
          <w:lang w:val="es-ES_tradnl"/>
        </w:rPr>
        <w:t>, ya que so</w:t>
      </w:r>
      <w:r w:rsidRPr="00F64311">
        <w:rPr>
          <w:lang w:val="es-ES_tradnl"/>
        </w:rPr>
        <w:t xml:space="preserve">lo se puede permitir a los visitantes que </w:t>
      </w:r>
      <w:r>
        <w:rPr>
          <w:lang w:val="es-ES_tradnl"/>
        </w:rPr>
        <w:t>tengan visas de Estados Unidos.</w:t>
      </w:r>
    </w:p>
    <w:p w:rsidR="005A5E7D" w:rsidRDefault="005A5E7D" w:rsidP="005A5E7D">
      <w:pPr>
        <w:rPr>
          <w:lang w:val="es-ES_tradnl"/>
        </w:rPr>
      </w:pPr>
      <w:r w:rsidRPr="00F64311">
        <w:rPr>
          <w:lang w:val="es-ES_tradnl"/>
        </w:rPr>
        <w:t xml:space="preserve">Aunque el desarrollo socioeconómico de Puerto Rico es más bajo que en cualquier otro estado y </w:t>
      </w:r>
      <w:r>
        <w:rPr>
          <w:lang w:val="es-ES_tradnl"/>
        </w:rPr>
        <w:t>en</w:t>
      </w:r>
      <w:r w:rsidRPr="00F64311">
        <w:rPr>
          <w:lang w:val="es-ES_tradnl"/>
        </w:rPr>
        <w:t xml:space="preserve"> otra</w:t>
      </w:r>
      <w:r>
        <w:rPr>
          <w:lang w:val="es-ES_tradnl"/>
        </w:rPr>
        <w:t>s naciones en desarrollo, la I</w:t>
      </w:r>
      <w:r w:rsidRPr="00F64311">
        <w:rPr>
          <w:lang w:val="es-ES_tradnl"/>
        </w:rPr>
        <w:t>sla carece también de una</w:t>
      </w:r>
      <w:r>
        <w:rPr>
          <w:lang w:val="es-ES_tradnl"/>
        </w:rPr>
        <w:t xml:space="preserve"> </w:t>
      </w:r>
      <w:r w:rsidRPr="00F64311">
        <w:rPr>
          <w:lang w:val="es-ES_tradnl"/>
        </w:rPr>
        <w:t>significativa interacción con las instituciones internacionales que promueven y mejoran el desarrollo, tales como el Fondo Monetario Internacional, el Banco Mundial y la Organización Mundial del Comercio. El papel de estas instituciones se limita a la publicación selectiva de</w:t>
      </w:r>
      <w:r>
        <w:rPr>
          <w:lang w:val="es-ES_tradnl"/>
        </w:rPr>
        <w:t xml:space="preserve"> </w:t>
      </w:r>
      <w:r w:rsidRPr="00F64311">
        <w:rPr>
          <w:lang w:val="es-ES_tradnl"/>
        </w:rPr>
        <w:t>información estadística sobre Puerto Rico. Como explica el economista Barry Bosworth</w:t>
      </w:r>
      <w:r>
        <w:rPr>
          <w:lang w:val="es-ES_tradnl"/>
        </w:rPr>
        <w:t>, “</w:t>
      </w:r>
      <w:r w:rsidRPr="00F64311">
        <w:rPr>
          <w:lang w:val="es-ES_tradnl"/>
        </w:rPr>
        <w:t xml:space="preserve">los Estados Unidos bloquean la inclusión de Puerto Rico de la visión general del Banco Mundial sobre el índice de competitividad. En vista del hecho de que la </w:t>
      </w:r>
      <w:r>
        <w:rPr>
          <w:lang w:val="es-ES_tradnl"/>
        </w:rPr>
        <w:t>e</w:t>
      </w:r>
      <w:r w:rsidRPr="00F64311">
        <w:rPr>
          <w:lang w:val="es-ES_tradnl"/>
        </w:rPr>
        <w:t>conomía de Puerto se ha enfrentado a la recesión en la déca</w:t>
      </w:r>
      <w:r>
        <w:rPr>
          <w:lang w:val="es-ES_tradnl"/>
        </w:rPr>
        <w:t xml:space="preserve">da pasada y ocupa el puesto 213 </w:t>
      </w:r>
      <w:r w:rsidRPr="00F64311">
        <w:rPr>
          <w:lang w:val="es-ES_tradnl"/>
        </w:rPr>
        <w:t>entre 2169 paíse</w:t>
      </w:r>
      <w:r>
        <w:rPr>
          <w:lang w:val="es-ES_tradnl"/>
        </w:rPr>
        <w:t>s</w:t>
      </w:r>
      <w:r w:rsidRPr="00F64311">
        <w:rPr>
          <w:lang w:val="es-ES_tradnl"/>
        </w:rPr>
        <w:t xml:space="preserve"> en cuanto a la t</w:t>
      </w:r>
      <w:r>
        <w:rPr>
          <w:lang w:val="es-ES_tradnl"/>
        </w:rPr>
        <w:t>asa de crecimiento del PIB real</w:t>
      </w:r>
      <w:r w:rsidRPr="00F64311">
        <w:rPr>
          <w:lang w:val="es-ES_tradnl"/>
        </w:rPr>
        <w:t>, Estados Unidos debería reconsiderar y promover la elegibilidad de Puerto Rico para ayuda y programas de ajuste económico que benefician el resto de los países</w:t>
      </w:r>
      <w:r>
        <w:rPr>
          <w:lang w:val="es-ES_tradnl"/>
        </w:rPr>
        <w:t xml:space="preserve"> </w:t>
      </w:r>
      <w:r w:rsidRPr="00F64311">
        <w:rPr>
          <w:lang w:val="es-ES_tradnl"/>
        </w:rPr>
        <w:t>en desarrollo</w:t>
      </w:r>
      <w:r>
        <w:rPr>
          <w:lang w:val="es-ES_tradnl"/>
        </w:rPr>
        <w:t>” (Clar, J., 2013)</w:t>
      </w:r>
      <w:r w:rsidRPr="00F64311">
        <w:rPr>
          <w:lang w:val="es-ES_tradnl"/>
        </w:rPr>
        <w:t>.</w:t>
      </w:r>
    </w:p>
    <w:p w:rsidR="005A5E7D" w:rsidRPr="000F3223" w:rsidRDefault="005A5E7D" w:rsidP="005A5E7D">
      <w:pPr>
        <w:spacing w:line="240" w:lineRule="auto"/>
        <w:rPr>
          <w:sz w:val="28"/>
          <w:lang w:val="es-ES_tradnl"/>
        </w:rPr>
      </w:pPr>
    </w:p>
    <w:p w:rsidR="005A5E7D" w:rsidRPr="000F3223" w:rsidRDefault="005A5E7D" w:rsidP="005A5E7D">
      <w:pPr>
        <w:pStyle w:val="Heading2"/>
        <w:ind w:left="426" w:hanging="426"/>
      </w:pPr>
      <w:bookmarkStart w:id="40" w:name="_Toc384769739"/>
      <w:r w:rsidRPr="009E4F45">
        <w:t xml:space="preserve">Impactos </w:t>
      </w:r>
      <w:r>
        <w:t>e</w:t>
      </w:r>
      <w:r w:rsidRPr="009E4F45">
        <w:t>n Estados Unidos</w:t>
      </w:r>
      <w:bookmarkEnd w:id="40"/>
    </w:p>
    <w:p w:rsidR="005A5E7D" w:rsidRDefault="005A5E7D" w:rsidP="005A5E7D">
      <w:pPr>
        <w:spacing w:line="360" w:lineRule="auto"/>
        <w:rPr>
          <w:lang w:val="es-ES_tradnl"/>
        </w:rPr>
      </w:pPr>
    </w:p>
    <w:p w:rsidR="005A5E7D" w:rsidRDefault="005A5E7D" w:rsidP="005A5E7D">
      <w:pPr>
        <w:rPr>
          <w:lang w:val="es-ES_tradnl"/>
        </w:rPr>
      </w:pPr>
      <w:r w:rsidRPr="00665050">
        <w:rPr>
          <w:lang w:val="es-ES_tradnl"/>
        </w:rPr>
        <w:t>Los cambios en las relaciones jurídico-políticas implícitas en cada una de las alternativas políticas tendr</w:t>
      </w:r>
      <w:r>
        <w:rPr>
          <w:lang w:val="es-ES_tradnl"/>
        </w:rPr>
        <w:t>ía</w:t>
      </w:r>
      <w:r w:rsidRPr="00665050">
        <w:rPr>
          <w:lang w:val="es-ES_tradnl"/>
        </w:rPr>
        <w:t xml:space="preserve">n un impacto en la economía de Puerto Rico </w:t>
      </w:r>
      <w:r>
        <w:rPr>
          <w:lang w:val="es-ES_tradnl"/>
        </w:rPr>
        <w:t xml:space="preserve">y también en la de </w:t>
      </w:r>
      <w:r w:rsidRPr="00665050">
        <w:rPr>
          <w:lang w:val="es-ES_tradnl"/>
        </w:rPr>
        <w:t>Estados Unidos. Los profesores Edwin Me</w:t>
      </w:r>
      <w:r>
        <w:rPr>
          <w:lang w:val="es-ES_tradnl"/>
        </w:rPr>
        <w:t>léndez (Meléndez y Ruiz 1998, pá</w:t>
      </w:r>
      <w:r w:rsidRPr="00665050">
        <w:rPr>
          <w:lang w:val="es-ES_tradnl"/>
        </w:rPr>
        <w:t>ginas 123-142) y Ángel Ruiz y Fernando Zalacaín (Ruiz y Za</w:t>
      </w:r>
      <w:r>
        <w:rPr>
          <w:lang w:val="es-ES_tradnl"/>
        </w:rPr>
        <w:t>la</w:t>
      </w:r>
      <w:r w:rsidRPr="00665050">
        <w:rPr>
          <w:lang w:val="es-ES_tradnl"/>
        </w:rPr>
        <w:t>caín</w:t>
      </w:r>
      <w:r>
        <w:rPr>
          <w:lang w:val="es-ES_tradnl"/>
        </w:rPr>
        <w:t>,</w:t>
      </w:r>
      <w:r w:rsidRPr="00665050">
        <w:rPr>
          <w:lang w:val="es-ES_tradnl"/>
        </w:rPr>
        <w:t xml:space="preserve"> en Meléndez y Ruiz,</w:t>
      </w:r>
      <w:r>
        <w:rPr>
          <w:lang w:val="es-ES_tradnl"/>
        </w:rPr>
        <w:t xml:space="preserve"> </w:t>
      </w:r>
      <w:r w:rsidRPr="00665050">
        <w:rPr>
          <w:lang w:val="es-ES_tradnl"/>
        </w:rPr>
        <w:t>1998, p</w:t>
      </w:r>
      <w:r>
        <w:rPr>
          <w:lang w:val="es-ES_tradnl"/>
        </w:rPr>
        <w:t>á</w:t>
      </w:r>
      <w:r w:rsidRPr="00665050">
        <w:rPr>
          <w:lang w:val="es-ES_tradnl"/>
        </w:rPr>
        <w:t>ginas 287-320) discut</w:t>
      </w:r>
      <w:r>
        <w:rPr>
          <w:lang w:val="es-ES_tradnl"/>
        </w:rPr>
        <w:t>iero</w:t>
      </w:r>
      <w:r w:rsidRPr="00665050">
        <w:rPr>
          <w:lang w:val="es-ES_tradnl"/>
        </w:rPr>
        <w:t>n y estima</w:t>
      </w:r>
      <w:r>
        <w:rPr>
          <w:lang w:val="es-ES_tradnl"/>
        </w:rPr>
        <w:t>ro</w:t>
      </w:r>
      <w:r w:rsidRPr="00665050">
        <w:rPr>
          <w:lang w:val="es-ES_tradnl"/>
        </w:rPr>
        <w:t xml:space="preserve">n posibles impactos </w:t>
      </w:r>
      <w:r>
        <w:rPr>
          <w:lang w:val="es-ES_tradnl"/>
        </w:rPr>
        <w:t xml:space="preserve">de </w:t>
      </w:r>
      <w:r w:rsidRPr="00665050">
        <w:rPr>
          <w:lang w:val="es-ES_tradnl"/>
        </w:rPr>
        <w:t>un cambio en el estatus político de Puerto Rico en la economía de Estados Unidos.</w:t>
      </w:r>
    </w:p>
    <w:p w:rsidR="005A5E7D" w:rsidRDefault="005A5E7D" w:rsidP="005A5E7D">
      <w:pPr>
        <w:rPr>
          <w:lang w:val="es-ES_tradnl"/>
        </w:rPr>
      </w:pPr>
      <w:r>
        <w:rPr>
          <w:lang w:val="es-ES_tradnl"/>
        </w:rPr>
        <w:t>Según Meléndez y Ruiz, hay t</w:t>
      </w:r>
      <w:r w:rsidRPr="00665050">
        <w:rPr>
          <w:lang w:val="es-ES_tradnl"/>
        </w:rPr>
        <w:t>res factores</w:t>
      </w:r>
      <w:r>
        <w:rPr>
          <w:lang w:val="es-ES_tradnl"/>
        </w:rPr>
        <w:t xml:space="preserve"> que</w:t>
      </w:r>
      <w:r w:rsidRPr="00665050">
        <w:rPr>
          <w:lang w:val="es-ES_tradnl"/>
        </w:rPr>
        <w:t xml:space="preserve"> tendr</w:t>
      </w:r>
      <w:r>
        <w:rPr>
          <w:lang w:val="es-ES_tradnl"/>
        </w:rPr>
        <w:t>ía</w:t>
      </w:r>
      <w:r w:rsidRPr="00665050">
        <w:rPr>
          <w:lang w:val="es-ES_tradnl"/>
        </w:rPr>
        <w:t>n el mayor i</w:t>
      </w:r>
      <w:r>
        <w:rPr>
          <w:lang w:val="es-ES_tradnl"/>
        </w:rPr>
        <w:t xml:space="preserve">mpacto en la economía de Estados Unidos: </w:t>
      </w:r>
      <w:r w:rsidRPr="00665050">
        <w:rPr>
          <w:lang w:val="es-ES_tradnl"/>
        </w:rPr>
        <w:t>la reducción en la repatriación de ganancias netas</w:t>
      </w:r>
      <w:r>
        <w:rPr>
          <w:lang w:val="es-ES_tradnl"/>
        </w:rPr>
        <w:t>,</w:t>
      </w:r>
      <w:r w:rsidRPr="00665050">
        <w:rPr>
          <w:lang w:val="es-ES_tradnl"/>
        </w:rPr>
        <w:t xml:space="preserve"> producto de cambios en la exención contributiva federal; el posible efecto que tendr</w:t>
      </w:r>
      <w:r>
        <w:rPr>
          <w:lang w:val="es-ES_tradnl"/>
        </w:rPr>
        <w:t>ía</w:t>
      </w:r>
      <w:r w:rsidRPr="00665050">
        <w:rPr>
          <w:lang w:val="es-ES_tradnl"/>
        </w:rPr>
        <w:t xml:space="preserve"> un cambio en las exportaciones a Puerto Rico sobre el empleo en los estado</w:t>
      </w:r>
      <w:r>
        <w:rPr>
          <w:lang w:val="es-ES_tradnl"/>
        </w:rPr>
        <w:t>s</w:t>
      </w:r>
      <w:r w:rsidRPr="00665050">
        <w:rPr>
          <w:lang w:val="es-ES_tradnl"/>
        </w:rPr>
        <w:t xml:space="preserve"> de mayor comercio con </w:t>
      </w:r>
      <w:r>
        <w:rPr>
          <w:lang w:val="es-ES_tradnl"/>
        </w:rPr>
        <w:t xml:space="preserve">la Isla; y </w:t>
      </w:r>
      <w:r w:rsidRPr="00665050">
        <w:rPr>
          <w:lang w:val="es-ES_tradnl"/>
        </w:rPr>
        <w:t>los cambi</w:t>
      </w:r>
      <w:r>
        <w:rPr>
          <w:lang w:val="es-ES_tradnl"/>
        </w:rPr>
        <w:t>os en la migración, que afectaría</w:t>
      </w:r>
      <w:r w:rsidRPr="00665050">
        <w:rPr>
          <w:lang w:val="es-ES_tradnl"/>
        </w:rPr>
        <w:t xml:space="preserve">n mayormente </w:t>
      </w:r>
      <w:r>
        <w:rPr>
          <w:lang w:val="es-ES_tradnl"/>
        </w:rPr>
        <w:t xml:space="preserve">a la costa este de </w:t>
      </w:r>
      <w:r w:rsidRPr="00665050">
        <w:rPr>
          <w:lang w:val="es-ES_tradnl"/>
        </w:rPr>
        <w:t>Estados Unidos. Estos efectos son independientes de la continuación de la política de neutralidad fiscal asumida p</w:t>
      </w:r>
      <w:r>
        <w:rPr>
          <w:lang w:val="es-ES_tradnl"/>
        </w:rPr>
        <w:t>or el Congreso, co</w:t>
      </w:r>
      <w:r w:rsidRPr="00665050">
        <w:rPr>
          <w:lang w:val="es-ES_tradnl"/>
        </w:rPr>
        <w:t>n relación a los gastos y transferencias federal</w:t>
      </w:r>
      <w:r>
        <w:rPr>
          <w:lang w:val="es-ES_tradnl"/>
        </w:rPr>
        <w:t>es a Puerto Rico.</w:t>
      </w:r>
    </w:p>
    <w:p w:rsidR="005A5E7D" w:rsidRPr="00665050" w:rsidRDefault="005A5E7D" w:rsidP="005A5E7D">
      <w:pPr>
        <w:rPr>
          <w:lang w:val="es-ES_tradnl"/>
        </w:rPr>
      </w:pPr>
      <w:r w:rsidRPr="00665050">
        <w:rPr>
          <w:lang w:val="es-ES_tradnl"/>
        </w:rPr>
        <w:t>Cualquier discusión sobre el impacto de los cambios político</w:t>
      </w:r>
      <w:r>
        <w:rPr>
          <w:lang w:val="es-ES_tradnl"/>
        </w:rPr>
        <w:t>s en la economía de Puerto Rico</w:t>
      </w:r>
      <w:r w:rsidRPr="00665050">
        <w:rPr>
          <w:lang w:val="es-ES_tradnl"/>
        </w:rPr>
        <w:t xml:space="preserve"> debe considerar los efectos secundarios que afecta</w:t>
      </w:r>
      <w:r>
        <w:rPr>
          <w:lang w:val="es-ES_tradnl"/>
        </w:rPr>
        <w:t xml:space="preserve">rían la economía de </w:t>
      </w:r>
      <w:r w:rsidRPr="00665050">
        <w:rPr>
          <w:lang w:val="es-ES_tradnl"/>
        </w:rPr>
        <w:t>Estados Unidos, pues representan costos implícitos muchas veces ignorados en el análisis. En este estudio se consideraron los cambios que</w:t>
      </w:r>
      <w:r>
        <w:rPr>
          <w:lang w:val="es-ES_tradnl"/>
        </w:rPr>
        <w:t xml:space="preserve"> </w:t>
      </w:r>
      <w:r w:rsidRPr="00665050">
        <w:rPr>
          <w:lang w:val="es-ES_tradnl"/>
        </w:rPr>
        <w:t>tendr</w:t>
      </w:r>
      <w:r>
        <w:rPr>
          <w:lang w:val="es-ES_tradnl"/>
        </w:rPr>
        <w:t>ía</w:t>
      </w:r>
      <w:r w:rsidRPr="00665050">
        <w:rPr>
          <w:lang w:val="es-ES_tradnl"/>
        </w:rPr>
        <w:t xml:space="preserve">n las exportaciones sobre </w:t>
      </w:r>
      <w:r>
        <w:rPr>
          <w:lang w:val="es-ES_tradnl"/>
        </w:rPr>
        <w:t xml:space="preserve">los </w:t>
      </w:r>
      <w:r w:rsidRPr="00665050">
        <w:rPr>
          <w:lang w:val="es-ES_tradnl"/>
        </w:rPr>
        <w:t>niveles de empleo en Estados Unidos</w:t>
      </w:r>
      <w:r>
        <w:rPr>
          <w:lang w:val="es-ES_tradnl"/>
        </w:rPr>
        <w:t>,</w:t>
      </w:r>
      <w:r w:rsidRPr="00665050">
        <w:rPr>
          <w:lang w:val="es-ES_tradnl"/>
        </w:rPr>
        <w:t xml:space="preserve"> pero no el impacto de la migración o de las ganancias repatriadas. En este sentido</w:t>
      </w:r>
      <w:r>
        <w:rPr>
          <w:lang w:val="es-ES_tradnl"/>
        </w:rPr>
        <w:t>,</w:t>
      </w:r>
      <w:r w:rsidRPr="00665050">
        <w:rPr>
          <w:lang w:val="es-ES_tradnl"/>
        </w:rPr>
        <w:t xml:space="preserve"> los impactos estimados son conservadores.</w:t>
      </w:r>
    </w:p>
    <w:p w:rsidR="005A5E7D" w:rsidRDefault="005A5E7D" w:rsidP="005A5E7D">
      <w:pPr>
        <w:rPr>
          <w:lang w:val="es-ES_tradnl"/>
        </w:rPr>
      </w:pPr>
      <w:r w:rsidRPr="00665050">
        <w:rPr>
          <w:lang w:val="es-ES_tradnl"/>
        </w:rPr>
        <w:t>Por ejemplo</w:t>
      </w:r>
      <w:r>
        <w:rPr>
          <w:lang w:val="es-ES_tradnl"/>
        </w:rPr>
        <w:t xml:space="preserve">, </w:t>
      </w:r>
      <w:r w:rsidRPr="00665050">
        <w:rPr>
          <w:lang w:val="es-ES_tradnl"/>
        </w:rPr>
        <w:t>Ru</w:t>
      </w:r>
      <w:r>
        <w:rPr>
          <w:lang w:val="es-ES_tradnl"/>
        </w:rPr>
        <w:t>iz y Meléndez (Meléndez y Ruiz, resumen en e</w:t>
      </w:r>
      <w:r w:rsidRPr="00665050">
        <w:rPr>
          <w:lang w:val="es-ES_tradnl"/>
        </w:rPr>
        <w:t>spañol, 1998, páginas 16 y 17) argumenta</w:t>
      </w:r>
      <w:r>
        <w:rPr>
          <w:lang w:val="es-ES_tradnl"/>
        </w:rPr>
        <w:t>ro</w:t>
      </w:r>
      <w:r w:rsidRPr="00665050">
        <w:rPr>
          <w:lang w:val="es-ES_tradnl"/>
        </w:rPr>
        <w:t xml:space="preserve">n que “la independencia es la fórmula política más difícil de </w:t>
      </w:r>
      <w:r>
        <w:rPr>
          <w:lang w:val="es-ES_tradnl"/>
        </w:rPr>
        <w:t>operacional</w:t>
      </w:r>
      <w:r w:rsidRPr="00665050">
        <w:rPr>
          <w:lang w:val="es-ES_tradnl"/>
        </w:rPr>
        <w:t>izar en nuestras simulaciones por el sencillo hecho de que esta fórmula propone los cambios más significativos a la estructura jurídico-económica vigente en Puerto Rico. La República de Puerto Rico tendría muchos elementos en común con el sistema actual en lo que a las relaciones jurídico-económicas con los Estados Unidos se refiere</w:t>
      </w:r>
      <w:r>
        <w:rPr>
          <w:lang w:val="es-ES_tradnl"/>
        </w:rPr>
        <w:t>”</w:t>
      </w:r>
      <w:r w:rsidRPr="00665050">
        <w:rPr>
          <w:lang w:val="es-ES_tradnl"/>
        </w:rPr>
        <w:t xml:space="preserve">. Sin embargo, </w:t>
      </w:r>
      <w:r>
        <w:rPr>
          <w:lang w:val="es-ES_tradnl"/>
        </w:rPr>
        <w:t xml:space="preserve">advirtieron que </w:t>
      </w:r>
      <w:r w:rsidRPr="00665050">
        <w:rPr>
          <w:lang w:val="es-ES_tradnl"/>
        </w:rPr>
        <w:t xml:space="preserve">la </w:t>
      </w:r>
      <w:r>
        <w:rPr>
          <w:lang w:val="es-ES_tradnl"/>
        </w:rPr>
        <w:t>r</w:t>
      </w:r>
      <w:r w:rsidRPr="00665050">
        <w:rPr>
          <w:lang w:val="es-ES_tradnl"/>
        </w:rPr>
        <w:t>epública ganaría completa autonomía para negociar tratados comerciales con otros</w:t>
      </w:r>
      <w:r>
        <w:rPr>
          <w:lang w:val="es-ES_tradnl"/>
        </w:rPr>
        <w:t xml:space="preserve"> países, usar marinas mercantes</w:t>
      </w:r>
      <w:r w:rsidRPr="00665050">
        <w:rPr>
          <w:lang w:val="es-ES_tradnl"/>
        </w:rPr>
        <w:t xml:space="preserve"> y utilizar barcos propios para el transporte</w:t>
      </w:r>
      <w:r>
        <w:rPr>
          <w:lang w:val="es-ES_tradnl"/>
        </w:rPr>
        <w:t xml:space="preserve"> marino.</w:t>
      </w:r>
    </w:p>
    <w:p w:rsidR="005A5E7D" w:rsidRDefault="005A5E7D" w:rsidP="005A5E7D">
      <w:pPr>
        <w:rPr>
          <w:lang w:val="es-ES_tradnl"/>
        </w:rPr>
      </w:pPr>
      <w:r w:rsidRPr="00665050">
        <w:rPr>
          <w:lang w:val="es-ES_tradnl"/>
        </w:rPr>
        <w:t>Puerto Rico mantendría algún tipo de arreglo para promover la inversión estadounidense en Puerto Rico, probablem</w:t>
      </w:r>
      <w:r>
        <w:rPr>
          <w:lang w:val="es-ES_tradnl"/>
        </w:rPr>
        <w:t>ente similar al que se extiende en otros países y que ya está disponible</w:t>
      </w:r>
      <w:r w:rsidRPr="00665050">
        <w:rPr>
          <w:lang w:val="es-ES_tradnl"/>
        </w:rPr>
        <w:t xml:space="preserve"> bajo el presente sistema político. No obstante, </w:t>
      </w:r>
      <w:r>
        <w:rPr>
          <w:lang w:val="es-ES_tradnl"/>
        </w:rPr>
        <w:t xml:space="preserve">señalaron que </w:t>
      </w:r>
      <w:r w:rsidRPr="00665050">
        <w:rPr>
          <w:lang w:val="es-ES_tradnl"/>
        </w:rPr>
        <w:t>Puerto Rico podría entrar en arreglos de exención contribu</w:t>
      </w:r>
      <w:r>
        <w:rPr>
          <w:lang w:val="es-ES_tradnl"/>
        </w:rPr>
        <w:t xml:space="preserve">tiva con otros países del mundo, además de </w:t>
      </w:r>
      <w:r w:rsidRPr="00665050">
        <w:rPr>
          <w:lang w:val="es-ES_tradnl"/>
        </w:rPr>
        <w:t xml:space="preserve">Estados Unidos. Por último, </w:t>
      </w:r>
      <w:r>
        <w:rPr>
          <w:lang w:val="es-ES_tradnl"/>
        </w:rPr>
        <w:t xml:space="preserve">dijeron que </w:t>
      </w:r>
      <w:r w:rsidRPr="00665050">
        <w:rPr>
          <w:lang w:val="es-ES_tradnl"/>
        </w:rPr>
        <w:t>es posible que los puertorriqueños ya nacidos para el día de la proclamación de la independencia conserv</w:t>
      </w:r>
      <w:r>
        <w:rPr>
          <w:lang w:val="es-ES_tradnl"/>
        </w:rPr>
        <w:t>ara</w:t>
      </w:r>
      <w:r w:rsidRPr="00665050">
        <w:rPr>
          <w:lang w:val="es-ES_tradnl"/>
        </w:rPr>
        <w:t>n su ciudadanía norteamericana</w:t>
      </w:r>
      <w:r>
        <w:rPr>
          <w:lang w:val="es-ES_tradnl"/>
        </w:rPr>
        <w:t>,</w:t>
      </w:r>
      <w:r w:rsidRPr="00665050">
        <w:rPr>
          <w:lang w:val="es-ES_tradnl"/>
        </w:rPr>
        <w:t xml:space="preserve"> y pu</w:t>
      </w:r>
      <w:r>
        <w:rPr>
          <w:lang w:val="es-ES_tradnl"/>
        </w:rPr>
        <w:t>diese</w:t>
      </w:r>
      <w:r w:rsidRPr="00665050">
        <w:rPr>
          <w:lang w:val="es-ES_tradnl"/>
        </w:rPr>
        <w:t xml:space="preserve">n viajar y trabajar en Estados Unidos a su discreción y preferencia. Sin embargo, </w:t>
      </w:r>
      <w:r w:rsidRPr="00212C61">
        <w:rPr>
          <w:lang w:val="es-ES_tradnl"/>
        </w:rPr>
        <w:t>opinar</w:t>
      </w:r>
      <w:r>
        <w:rPr>
          <w:lang w:val="es-ES_tradnl"/>
        </w:rPr>
        <w:t xml:space="preserve">on que </w:t>
      </w:r>
      <w:r w:rsidRPr="00665050">
        <w:rPr>
          <w:lang w:val="es-ES_tradnl"/>
        </w:rPr>
        <w:t>los nacidos después de esa fecha no tendrían ciudadanía estadounidense</w:t>
      </w:r>
      <w:r>
        <w:rPr>
          <w:lang w:val="es-ES_tradnl"/>
        </w:rPr>
        <w:t>,</w:t>
      </w:r>
      <w:r w:rsidRPr="00665050">
        <w:rPr>
          <w:lang w:val="es-ES_tradnl"/>
        </w:rPr>
        <w:t xml:space="preserve"> y </w:t>
      </w:r>
      <w:r>
        <w:rPr>
          <w:lang w:val="es-ES_tradnl"/>
        </w:rPr>
        <w:t xml:space="preserve">que </w:t>
      </w:r>
      <w:r w:rsidRPr="00665050">
        <w:rPr>
          <w:lang w:val="es-ES_tradnl"/>
        </w:rPr>
        <w:t xml:space="preserve">su migración a </w:t>
      </w:r>
      <w:r>
        <w:rPr>
          <w:lang w:val="es-ES_tradnl"/>
        </w:rPr>
        <w:t>ese país estaría</w:t>
      </w:r>
      <w:r w:rsidRPr="00665050">
        <w:rPr>
          <w:lang w:val="es-ES_tradnl"/>
        </w:rPr>
        <w:t xml:space="preserve"> regulada por las leyes y cuotas de inmigració</w:t>
      </w:r>
      <w:r>
        <w:rPr>
          <w:lang w:val="es-ES_tradnl"/>
        </w:rPr>
        <w:t>n</w:t>
      </w:r>
      <w:r w:rsidRPr="00665050">
        <w:rPr>
          <w:lang w:val="es-ES_tradnl"/>
        </w:rPr>
        <w:t>.</w:t>
      </w:r>
    </w:p>
    <w:p w:rsidR="005A5E7D" w:rsidRPr="00665050" w:rsidRDefault="005A5E7D" w:rsidP="005A5E7D">
      <w:pPr>
        <w:rPr>
          <w:lang w:val="es-ES_tradnl"/>
        </w:rPr>
      </w:pPr>
      <w:r w:rsidRPr="00665050">
        <w:rPr>
          <w:lang w:val="es-ES_tradnl"/>
        </w:rPr>
        <w:t>Es sumamente difícil estimar el impacto económico de estos cambios en el sistema jurídico-económico de Puerto Rico. Es de esperarse que la diversificación de la inversión y el comercio exterior eventualmente expanda el acceso a los mercados de capital y al comercio internacional.</w:t>
      </w:r>
    </w:p>
    <w:p w:rsidR="005A5E7D" w:rsidRDefault="005A5E7D" w:rsidP="005A5E7D">
      <w:pPr>
        <w:rPr>
          <w:lang w:val="es-ES_tradnl"/>
        </w:rPr>
      </w:pPr>
      <w:r w:rsidRPr="00665050">
        <w:rPr>
          <w:lang w:val="es-ES_tradnl"/>
        </w:rPr>
        <w:t>Ruiz y Zalacaín estima</w:t>
      </w:r>
      <w:r>
        <w:rPr>
          <w:lang w:val="es-ES_tradnl"/>
        </w:rPr>
        <w:t>ro</w:t>
      </w:r>
      <w:r w:rsidRPr="00665050">
        <w:rPr>
          <w:lang w:val="es-ES_tradnl"/>
        </w:rPr>
        <w:t>n posib</w:t>
      </w:r>
      <w:r>
        <w:rPr>
          <w:lang w:val="es-ES_tradnl"/>
        </w:rPr>
        <w:t xml:space="preserve">les impactos en la economía de </w:t>
      </w:r>
      <w:r w:rsidRPr="00665050">
        <w:rPr>
          <w:lang w:val="es-ES_tradnl"/>
        </w:rPr>
        <w:t>Estados Unidos usando un modelo interregional de insumo-producto tipo Leontief-Isard (Isard, W. 1951, Leontief W. y Strout, A. 1963). Según estos autores</w:t>
      </w:r>
      <w:r>
        <w:rPr>
          <w:lang w:val="es-ES_tradnl"/>
        </w:rPr>
        <w:t>,</w:t>
      </w:r>
      <w:r w:rsidRPr="00665050">
        <w:rPr>
          <w:lang w:val="es-ES_tradnl"/>
        </w:rPr>
        <w:t xml:space="preserve"> gran</w:t>
      </w:r>
      <w:r>
        <w:rPr>
          <w:lang w:val="es-ES_tradnl"/>
        </w:rPr>
        <w:t xml:space="preserve"> </w:t>
      </w:r>
      <w:r w:rsidRPr="00665050">
        <w:rPr>
          <w:lang w:val="es-ES_tradnl"/>
        </w:rPr>
        <w:t xml:space="preserve">parte del trabajo que trata sobre el análisis de impacto económico </w:t>
      </w:r>
      <w:r>
        <w:rPr>
          <w:lang w:val="es-ES_tradnl"/>
        </w:rPr>
        <w:t>se enfoca en</w:t>
      </w:r>
      <w:r w:rsidRPr="00665050">
        <w:rPr>
          <w:lang w:val="es-ES_tradnl"/>
        </w:rPr>
        <w:t xml:space="preserve"> el tema desde el punto de vista d</w:t>
      </w:r>
      <w:r>
        <w:rPr>
          <w:lang w:val="es-ES_tradnl"/>
        </w:rPr>
        <w:t>e los beneficios económicos que</w:t>
      </w:r>
      <w:r w:rsidRPr="00665050">
        <w:rPr>
          <w:lang w:val="es-ES_tradnl"/>
        </w:rPr>
        <w:t xml:space="preserve"> ha derivado </w:t>
      </w:r>
      <w:r>
        <w:rPr>
          <w:lang w:val="es-ES_tradnl"/>
        </w:rPr>
        <w:t xml:space="preserve">Puerto Rico </w:t>
      </w:r>
      <w:r w:rsidRPr="00665050">
        <w:rPr>
          <w:lang w:val="es-ES_tradnl"/>
        </w:rPr>
        <w:t xml:space="preserve">de la integración económica </w:t>
      </w:r>
      <w:r>
        <w:rPr>
          <w:lang w:val="es-ES_tradnl"/>
        </w:rPr>
        <w:t>de las dos economías.</w:t>
      </w:r>
    </w:p>
    <w:p w:rsidR="005A5E7D" w:rsidRPr="00665050" w:rsidRDefault="005A5E7D" w:rsidP="005A5E7D">
      <w:pPr>
        <w:rPr>
          <w:lang w:val="es-ES_tradnl"/>
        </w:rPr>
      </w:pPr>
      <w:r>
        <w:rPr>
          <w:lang w:val="es-ES_tradnl"/>
        </w:rPr>
        <w:t>Se ha prestado poca atención</w:t>
      </w:r>
      <w:r w:rsidRPr="00665050">
        <w:rPr>
          <w:lang w:val="es-ES_tradnl"/>
        </w:rPr>
        <w:t xml:space="preserve"> o desatendiendo completamente el impacto económico</w:t>
      </w:r>
      <w:r>
        <w:rPr>
          <w:lang w:val="es-ES_tradnl"/>
        </w:rPr>
        <w:t xml:space="preserve"> </w:t>
      </w:r>
      <w:r w:rsidRPr="00665050">
        <w:rPr>
          <w:lang w:val="es-ES_tradnl"/>
        </w:rPr>
        <w:t>en Estados Unidos de la actividad económica</w:t>
      </w:r>
      <w:r>
        <w:rPr>
          <w:lang w:val="es-ES_tradnl"/>
        </w:rPr>
        <w:t xml:space="preserve"> generada</w:t>
      </w:r>
      <w:r w:rsidRPr="00665050">
        <w:rPr>
          <w:lang w:val="es-ES_tradnl"/>
        </w:rPr>
        <w:t xml:space="preserve"> </w:t>
      </w:r>
      <w:r>
        <w:rPr>
          <w:lang w:val="es-ES_tradnl"/>
        </w:rPr>
        <w:t>en la Isla</w:t>
      </w:r>
      <w:r w:rsidRPr="00665050">
        <w:rPr>
          <w:lang w:val="es-ES_tradnl"/>
        </w:rPr>
        <w:t xml:space="preserve">. </w:t>
      </w:r>
      <w:r>
        <w:rPr>
          <w:lang w:val="es-ES_tradnl"/>
        </w:rPr>
        <w:t>Se midió e</w:t>
      </w:r>
      <w:r w:rsidRPr="00665050">
        <w:rPr>
          <w:lang w:val="es-ES_tradnl"/>
        </w:rPr>
        <w:t xml:space="preserve">l impacto de la economía de Puerto Rico en </w:t>
      </w:r>
      <w:r>
        <w:rPr>
          <w:lang w:val="es-ES_tradnl"/>
        </w:rPr>
        <w:t xml:space="preserve">la economía de Estados Unidos, y viceversa, </w:t>
      </w:r>
      <w:r w:rsidRPr="00665050">
        <w:rPr>
          <w:lang w:val="es-ES_tradnl"/>
        </w:rPr>
        <w:t>en términos de p</w:t>
      </w:r>
      <w:r>
        <w:rPr>
          <w:lang w:val="es-ES_tradnl"/>
        </w:rPr>
        <w:t>roducción, empleo e ingreso</w:t>
      </w:r>
      <w:r w:rsidRPr="00665050">
        <w:rPr>
          <w:lang w:val="es-ES_tradnl"/>
        </w:rPr>
        <w:t xml:space="preserve"> </w:t>
      </w:r>
      <w:r>
        <w:rPr>
          <w:lang w:val="es-ES_tradnl"/>
        </w:rPr>
        <w:t xml:space="preserve">laboral </w:t>
      </w:r>
      <w:r w:rsidRPr="00665050">
        <w:rPr>
          <w:lang w:val="es-ES_tradnl"/>
        </w:rPr>
        <w:t xml:space="preserve">como vectores endógenos. Los vectores exógenos fueron los pagos de transferencias al </w:t>
      </w:r>
      <w:r>
        <w:rPr>
          <w:lang w:val="es-ES_tradnl"/>
        </w:rPr>
        <w:t>gobierno</w:t>
      </w:r>
      <w:r w:rsidRPr="00665050">
        <w:rPr>
          <w:lang w:val="es-ES_tradnl"/>
        </w:rPr>
        <w:t xml:space="preserve"> y a las personas, transacciones de comercio exterior externo, gastos de turistas, gastos de agencias federales en Puerto Rico, inversiones en maquinaria y equipo</w:t>
      </w:r>
      <w:r>
        <w:rPr>
          <w:lang w:val="es-ES_tradnl"/>
        </w:rPr>
        <w:t>,</w:t>
      </w:r>
      <w:r w:rsidRPr="00665050">
        <w:rPr>
          <w:lang w:val="es-ES_tradnl"/>
        </w:rPr>
        <w:t xml:space="preserve"> y corrientes de ingreso derivados de las inversiones directas de firmas de Estados Unidos en Puerto Rico. Estas cuentas de balanza de pagos se analizan bilateralmente. Sin embargo, el impacto en la economía de Estados Unidos no fue tomado en consideración</w:t>
      </w:r>
      <w:r>
        <w:rPr>
          <w:lang w:val="es-ES_tradnl"/>
        </w:rPr>
        <w:t>,</w:t>
      </w:r>
      <w:r w:rsidRPr="00665050">
        <w:rPr>
          <w:lang w:val="es-ES_tradnl"/>
        </w:rPr>
        <w:t xml:space="preserve"> en el caso de inversiones y gastos del </w:t>
      </w:r>
      <w:r>
        <w:rPr>
          <w:lang w:val="es-ES_tradnl"/>
        </w:rPr>
        <w:t>Gobierno federal en la Isla</w:t>
      </w:r>
      <w:r w:rsidRPr="00665050">
        <w:rPr>
          <w:lang w:val="es-ES_tradnl"/>
        </w:rPr>
        <w:t>.</w:t>
      </w:r>
      <w:r>
        <w:rPr>
          <w:lang w:val="es-ES_tradnl"/>
        </w:rPr>
        <w:t xml:space="preserve"> </w:t>
      </w:r>
    </w:p>
    <w:p w:rsidR="005A5E7D" w:rsidRPr="00665050" w:rsidRDefault="005A5E7D" w:rsidP="005A5E7D">
      <w:pPr>
        <w:rPr>
          <w:lang w:val="es-ES_tradnl"/>
        </w:rPr>
      </w:pPr>
      <w:r w:rsidRPr="00665050">
        <w:rPr>
          <w:lang w:val="es-ES_tradnl"/>
        </w:rPr>
        <w:t>Los resultados demostraron que el impacto de Estados Unidos en nuestra economía</w:t>
      </w:r>
      <w:r>
        <w:rPr>
          <w:lang w:val="es-ES_tradnl"/>
        </w:rPr>
        <w:t xml:space="preserve"> </w:t>
      </w:r>
      <w:r w:rsidRPr="00665050">
        <w:rPr>
          <w:lang w:val="es-ES_tradnl"/>
        </w:rPr>
        <w:t xml:space="preserve">es considerable, especialmente en </w:t>
      </w:r>
      <w:r>
        <w:rPr>
          <w:lang w:val="es-ES_tradnl"/>
        </w:rPr>
        <w:t>creación de empleos</w:t>
      </w:r>
      <w:r w:rsidRPr="00665050">
        <w:rPr>
          <w:lang w:val="es-ES_tradnl"/>
        </w:rPr>
        <w:t>.</w:t>
      </w:r>
      <w:r>
        <w:rPr>
          <w:lang w:val="es-ES_tradnl"/>
        </w:rPr>
        <w:t xml:space="preserve"> </w:t>
      </w:r>
      <w:r w:rsidRPr="00665050">
        <w:rPr>
          <w:lang w:val="es-ES_tradnl"/>
        </w:rPr>
        <w:t xml:space="preserve">Los 322,318 empleos creados en </w:t>
      </w:r>
      <w:r>
        <w:rPr>
          <w:lang w:val="es-ES_tradnl"/>
        </w:rPr>
        <w:t>Puerto Rico</w:t>
      </w:r>
      <w:r w:rsidRPr="00665050">
        <w:rPr>
          <w:lang w:val="es-ES_tradnl"/>
        </w:rPr>
        <w:t xml:space="preserve"> constituye</w:t>
      </w:r>
      <w:r>
        <w:rPr>
          <w:lang w:val="es-ES_tradnl"/>
        </w:rPr>
        <w:t>ro</w:t>
      </w:r>
      <w:r w:rsidRPr="00665050">
        <w:rPr>
          <w:lang w:val="es-ES_tradnl"/>
        </w:rPr>
        <w:t>n el 33% del total de empleos durante el año fiscal 1992.</w:t>
      </w:r>
      <w:r>
        <w:rPr>
          <w:lang w:val="es-ES_tradnl"/>
        </w:rPr>
        <w:t xml:space="preserve"> </w:t>
      </w:r>
      <w:r w:rsidRPr="00665050">
        <w:rPr>
          <w:lang w:val="es-ES_tradnl"/>
        </w:rPr>
        <w:t>Sin embargo, el empleo ge</w:t>
      </w:r>
      <w:r>
        <w:rPr>
          <w:lang w:val="es-ES_tradnl"/>
        </w:rPr>
        <w:t xml:space="preserve">nerado por nuestra economía en </w:t>
      </w:r>
      <w:r w:rsidRPr="00665050">
        <w:rPr>
          <w:lang w:val="es-ES_tradnl"/>
        </w:rPr>
        <w:t>Estados Uni</w:t>
      </w:r>
      <w:r>
        <w:rPr>
          <w:lang w:val="es-ES_tradnl"/>
        </w:rPr>
        <w:t>dos fue considerablemente mayor:</w:t>
      </w:r>
      <w:r w:rsidRPr="00665050">
        <w:rPr>
          <w:lang w:val="es-ES_tradnl"/>
        </w:rPr>
        <w:t xml:space="preserve"> 496,966.</w:t>
      </w:r>
      <w:r>
        <w:rPr>
          <w:lang w:val="es-ES_tradnl"/>
        </w:rPr>
        <w:t xml:space="preserve"> </w:t>
      </w:r>
      <w:r w:rsidRPr="00665050">
        <w:rPr>
          <w:lang w:val="es-ES_tradnl"/>
        </w:rPr>
        <w:t xml:space="preserve">A pesar </w:t>
      </w:r>
      <w:r>
        <w:rPr>
          <w:lang w:val="es-ES_tradnl"/>
        </w:rPr>
        <w:t xml:space="preserve">de </w:t>
      </w:r>
      <w:r w:rsidRPr="00665050">
        <w:rPr>
          <w:lang w:val="es-ES_tradnl"/>
        </w:rPr>
        <w:t>que este último dato es mínimo</w:t>
      </w:r>
      <w:r>
        <w:rPr>
          <w:lang w:val="es-ES_tradnl"/>
        </w:rPr>
        <w:t>,</w:t>
      </w:r>
      <w:r w:rsidRPr="00665050">
        <w:rPr>
          <w:lang w:val="es-ES_tradnl"/>
        </w:rPr>
        <w:t xml:space="preserve"> cuando se compara con el empleo total en Estados Unidos</w:t>
      </w:r>
      <w:r>
        <w:rPr>
          <w:lang w:val="es-ES_tradnl"/>
        </w:rPr>
        <w:t>,</w:t>
      </w:r>
      <w:r w:rsidRPr="00665050">
        <w:rPr>
          <w:lang w:val="es-ES_tradnl"/>
        </w:rPr>
        <w:t xml:space="preserve"> puede ser de gran significado para estados específicos </w:t>
      </w:r>
      <w:r>
        <w:rPr>
          <w:lang w:val="es-ES_tradnl"/>
        </w:rPr>
        <w:t>o</w:t>
      </w:r>
      <w:r w:rsidRPr="00665050">
        <w:rPr>
          <w:lang w:val="es-ES_tradnl"/>
        </w:rPr>
        <w:t xml:space="preserve"> regiones de esa economía</w:t>
      </w:r>
      <w:r>
        <w:rPr>
          <w:lang w:val="es-ES_tradnl"/>
        </w:rPr>
        <w:t>,</w:t>
      </w:r>
      <w:r w:rsidRPr="00665050">
        <w:rPr>
          <w:lang w:val="es-ES_tradnl"/>
        </w:rPr>
        <w:t xml:space="preserve"> especialmente en la </w:t>
      </w:r>
      <w:r>
        <w:rPr>
          <w:lang w:val="es-ES_tradnl"/>
        </w:rPr>
        <w:t>zona</w:t>
      </w:r>
      <w:r w:rsidRPr="00665050">
        <w:rPr>
          <w:lang w:val="es-ES_tradnl"/>
        </w:rPr>
        <w:t xml:space="preserve"> </w:t>
      </w:r>
      <w:r>
        <w:rPr>
          <w:lang w:val="es-ES_tradnl"/>
        </w:rPr>
        <w:t>e</w:t>
      </w:r>
      <w:r w:rsidRPr="00665050">
        <w:rPr>
          <w:lang w:val="es-ES_tradnl"/>
        </w:rPr>
        <w:t>ste de</w:t>
      </w:r>
      <w:r>
        <w:rPr>
          <w:lang w:val="es-ES_tradnl"/>
        </w:rPr>
        <w:t>l</w:t>
      </w:r>
      <w:r w:rsidRPr="00665050">
        <w:rPr>
          <w:lang w:val="es-ES_tradnl"/>
        </w:rPr>
        <w:t xml:space="preserve"> país.</w:t>
      </w:r>
    </w:p>
    <w:p w:rsidR="005A5E7D" w:rsidRPr="00665050" w:rsidRDefault="005A5E7D" w:rsidP="005A5E7D">
      <w:pPr>
        <w:rPr>
          <w:lang w:val="es-ES_tradnl"/>
        </w:rPr>
      </w:pPr>
      <w:r w:rsidRPr="00665050">
        <w:rPr>
          <w:lang w:val="es-ES_tradnl"/>
        </w:rPr>
        <w:t>Uno de los resultados más i</w:t>
      </w:r>
      <w:r>
        <w:rPr>
          <w:lang w:val="es-ES_tradnl"/>
        </w:rPr>
        <w:t xml:space="preserve">nteresantes del análisis de Ruiz y </w:t>
      </w:r>
      <w:r w:rsidRPr="00665050">
        <w:rPr>
          <w:lang w:val="es-ES_tradnl"/>
        </w:rPr>
        <w:t xml:space="preserve">Zalacaín fue el hecho </w:t>
      </w:r>
      <w:r>
        <w:rPr>
          <w:lang w:val="es-ES_tradnl"/>
        </w:rPr>
        <w:t xml:space="preserve">de </w:t>
      </w:r>
      <w:r w:rsidRPr="00665050">
        <w:rPr>
          <w:lang w:val="es-ES_tradnl"/>
        </w:rPr>
        <w:t>que los flujos de Puerto Rico hacia la econ</w:t>
      </w:r>
      <w:r>
        <w:rPr>
          <w:lang w:val="es-ES_tradnl"/>
        </w:rPr>
        <w:t>omía de Estados Unidos</w:t>
      </w:r>
      <w:r w:rsidRPr="00665050">
        <w:rPr>
          <w:lang w:val="es-ES_tradnl"/>
        </w:rPr>
        <w:t xml:space="preserve"> </w:t>
      </w:r>
      <w:r w:rsidRPr="008B456C">
        <w:t>—</w:t>
      </w:r>
      <w:r w:rsidRPr="00665050">
        <w:rPr>
          <w:lang w:val="es-ES_tradnl"/>
        </w:rPr>
        <w:t xml:space="preserve">por ejemplo, </w:t>
      </w:r>
      <w:r>
        <w:rPr>
          <w:lang w:val="es-ES_tradnl"/>
        </w:rPr>
        <w:t xml:space="preserve">las </w:t>
      </w:r>
      <w:r w:rsidRPr="00665050">
        <w:rPr>
          <w:lang w:val="es-ES_tradnl"/>
        </w:rPr>
        <w:t xml:space="preserve">exportaciones hacia </w:t>
      </w:r>
      <w:r>
        <w:rPr>
          <w:lang w:val="es-ES_tradnl"/>
        </w:rPr>
        <w:t>esa economía</w:t>
      </w:r>
      <w:r w:rsidRPr="008B456C">
        <w:t>—</w:t>
      </w:r>
      <w:r w:rsidRPr="00665050">
        <w:rPr>
          <w:lang w:val="es-ES_tradnl"/>
        </w:rPr>
        <w:t xml:space="preserve"> crearon un número considerable de empleos no s</w:t>
      </w:r>
      <w:r>
        <w:rPr>
          <w:lang w:val="es-ES_tradnl"/>
        </w:rPr>
        <w:t>o</w:t>
      </w:r>
      <w:r w:rsidRPr="00665050">
        <w:rPr>
          <w:lang w:val="es-ES_tradnl"/>
        </w:rPr>
        <w:t xml:space="preserve">lo </w:t>
      </w:r>
      <w:r>
        <w:rPr>
          <w:lang w:val="es-ES_tradnl"/>
        </w:rPr>
        <w:t>aquí sino también allá</w:t>
      </w:r>
      <w:r w:rsidRPr="00665050">
        <w:rPr>
          <w:lang w:val="es-ES_tradnl"/>
        </w:rPr>
        <w:t>. La situación contraria no aplica. En otras palabras</w:t>
      </w:r>
      <w:r>
        <w:rPr>
          <w:lang w:val="es-ES_tradnl"/>
        </w:rPr>
        <w:t>,</w:t>
      </w:r>
      <w:r w:rsidRPr="00665050">
        <w:rPr>
          <w:lang w:val="es-ES_tradnl"/>
        </w:rPr>
        <w:t xml:space="preserve"> que la economía de Estados Unidos no s</w:t>
      </w:r>
      <w:r>
        <w:rPr>
          <w:lang w:val="es-ES_tradnl"/>
        </w:rPr>
        <w:t>o</w:t>
      </w:r>
      <w:r w:rsidRPr="00665050">
        <w:rPr>
          <w:lang w:val="es-ES_tradnl"/>
        </w:rPr>
        <w:t>lo se beneficia de la demanda de bienes y servicios originada en Puerto Rico, pero también de su propia demanda por bienes y servicios producidos en Puerto Rico.</w:t>
      </w:r>
      <w:r>
        <w:rPr>
          <w:lang w:val="es-ES_tradnl"/>
        </w:rPr>
        <w:t xml:space="preserve"> Al analizar</w:t>
      </w:r>
      <w:r w:rsidRPr="00665050">
        <w:rPr>
          <w:lang w:val="es-ES_tradnl"/>
        </w:rPr>
        <w:t xml:space="preserve"> los datos de valor añadido en la forma de ingresos salariales generados por la relación bilateral, se encontró que el ingreso salarial generado por nuestra economía en la economía de Estados Unidos fue tres veces mayor que el ingreso salarial generado por esa economía en la nuestra. </w:t>
      </w:r>
    </w:p>
    <w:p w:rsidR="005A5E7D" w:rsidRDefault="005A5E7D" w:rsidP="005A5E7D">
      <w:pPr>
        <w:rPr>
          <w:lang w:val="es-ES_tradnl"/>
        </w:rPr>
      </w:pPr>
      <w:r w:rsidRPr="00665050">
        <w:rPr>
          <w:lang w:val="es-ES_tradnl"/>
        </w:rPr>
        <w:t>Finalmente, el gran impacto en empleo y producción originado por las corrientes del comercio interregional</w:t>
      </w:r>
      <w:r>
        <w:rPr>
          <w:lang w:val="es-ES_tradnl"/>
        </w:rPr>
        <w:t xml:space="preserve"> </w:t>
      </w:r>
      <w:r w:rsidRPr="00665050">
        <w:rPr>
          <w:lang w:val="es-ES_tradnl"/>
        </w:rPr>
        <w:t xml:space="preserve">y los pagos de transferencias es algo preocupante, ya que la mayoría de exportaciones a Estados Unidos se generan por firmas </w:t>
      </w:r>
      <w:r>
        <w:rPr>
          <w:lang w:val="es-ES_tradnl"/>
        </w:rPr>
        <w:t>estadounidenses</w:t>
      </w:r>
      <w:r w:rsidRPr="00665050">
        <w:rPr>
          <w:lang w:val="es-ES_tradnl"/>
        </w:rPr>
        <w:t xml:space="preserve"> con poca participación de firmas </w:t>
      </w:r>
      <w:r>
        <w:rPr>
          <w:lang w:val="es-ES_tradnl"/>
        </w:rPr>
        <w:t>de Puerto Rico</w:t>
      </w:r>
      <w:r w:rsidRPr="00665050">
        <w:rPr>
          <w:lang w:val="es-ES_tradnl"/>
        </w:rPr>
        <w:t>. De la misma forma, la gran dependencia en pagos de transferencias para la cr</w:t>
      </w:r>
      <w:r>
        <w:rPr>
          <w:lang w:val="es-ES_tradnl"/>
        </w:rPr>
        <w:t>eación de empleos, como lo demo</w:t>
      </w:r>
      <w:r w:rsidRPr="00665050">
        <w:rPr>
          <w:lang w:val="es-ES_tradnl"/>
        </w:rPr>
        <w:t>stra</w:t>
      </w:r>
      <w:r>
        <w:rPr>
          <w:lang w:val="es-ES_tradnl"/>
        </w:rPr>
        <w:t>ro</w:t>
      </w:r>
      <w:r w:rsidRPr="00665050">
        <w:rPr>
          <w:lang w:val="es-ES_tradnl"/>
        </w:rPr>
        <w:t xml:space="preserve">n </w:t>
      </w:r>
      <w:r>
        <w:rPr>
          <w:lang w:val="es-ES_tradnl"/>
        </w:rPr>
        <w:t>est</w:t>
      </w:r>
      <w:r w:rsidRPr="00665050">
        <w:rPr>
          <w:lang w:val="es-ES_tradnl"/>
        </w:rPr>
        <w:t xml:space="preserve">os resultados, no es una base sólida para un crecimiento económico a largo plazo, especialmente bajo las grandes incertidumbres con respecto a nuestro </w:t>
      </w:r>
      <w:r>
        <w:rPr>
          <w:lang w:val="es-ES_tradnl"/>
        </w:rPr>
        <w:t>estatus</w:t>
      </w:r>
      <w:r w:rsidRPr="00665050">
        <w:rPr>
          <w:lang w:val="es-ES_tradnl"/>
        </w:rPr>
        <w:t xml:space="preserve"> político.</w:t>
      </w:r>
    </w:p>
    <w:p w:rsidR="005A5E7D" w:rsidRPr="00665050" w:rsidRDefault="005A5E7D" w:rsidP="005A5E7D">
      <w:pPr>
        <w:spacing w:line="240" w:lineRule="auto"/>
        <w:rPr>
          <w:sz w:val="28"/>
          <w:lang w:val="es-ES_tradnl"/>
        </w:rPr>
      </w:pPr>
    </w:p>
    <w:p w:rsidR="005A5E7D" w:rsidRDefault="005A5E7D" w:rsidP="005A5E7D">
      <w:pPr>
        <w:pStyle w:val="Heading2"/>
        <w:ind w:left="426" w:hanging="426"/>
      </w:pPr>
      <w:bookmarkStart w:id="41" w:name="_Toc384769740"/>
      <w:r w:rsidRPr="000F3223">
        <w:t>Competitividad</w:t>
      </w:r>
      <w:bookmarkEnd w:id="41"/>
    </w:p>
    <w:p w:rsidR="005A5E7D" w:rsidRDefault="005A5E7D" w:rsidP="005A5E7D">
      <w:pPr>
        <w:spacing w:line="240" w:lineRule="auto"/>
        <w:rPr>
          <w:lang w:val="es-ES_tradnl"/>
        </w:rPr>
      </w:pPr>
    </w:p>
    <w:p w:rsidR="005A5E7D" w:rsidRPr="00E2590D" w:rsidRDefault="005A5E7D" w:rsidP="005A5E7D">
      <w:pPr>
        <w:rPr>
          <w:lang w:val="es-ES_tradnl"/>
        </w:rPr>
      </w:pPr>
      <w:r w:rsidRPr="00E2590D">
        <w:rPr>
          <w:lang w:val="es-ES_tradnl"/>
        </w:rPr>
        <w:t>Los estudios reseñados anteriormente no inclu</w:t>
      </w:r>
      <w:r>
        <w:rPr>
          <w:lang w:val="es-ES_tradnl"/>
        </w:rPr>
        <w:t>yen, por lo menos en forma explí</w:t>
      </w:r>
      <w:r w:rsidRPr="00E2590D">
        <w:rPr>
          <w:lang w:val="es-ES_tradnl"/>
        </w:rPr>
        <w:t xml:space="preserve">cita, alusión alguna </w:t>
      </w:r>
      <w:r>
        <w:rPr>
          <w:lang w:val="es-ES_tradnl"/>
        </w:rPr>
        <w:t>sobr</w:t>
      </w:r>
      <w:r w:rsidRPr="00E2590D">
        <w:rPr>
          <w:lang w:val="es-ES_tradnl"/>
        </w:rPr>
        <w:t>e c</w:t>
      </w:r>
      <w:r>
        <w:rPr>
          <w:lang w:val="es-ES_tradnl"/>
        </w:rPr>
        <w:t>ómo se</w:t>
      </w:r>
      <w:r w:rsidRPr="00E2590D">
        <w:rPr>
          <w:lang w:val="es-ES_tradnl"/>
        </w:rPr>
        <w:t xml:space="preserve"> afectaría la competitividad de </w:t>
      </w:r>
      <w:r>
        <w:rPr>
          <w:lang w:val="es-ES_tradnl"/>
        </w:rPr>
        <w:t>Puerto Rico</w:t>
      </w:r>
      <w:r w:rsidRPr="00E2590D">
        <w:rPr>
          <w:lang w:val="es-ES_tradnl"/>
        </w:rPr>
        <w:t xml:space="preserve"> en los mercados mundiales de ocurrir un cambio en el</w:t>
      </w:r>
      <w:r>
        <w:rPr>
          <w:lang w:val="es-ES_tradnl"/>
        </w:rPr>
        <w:t xml:space="preserve"> </w:t>
      </w:r>
      <w:r w:rsidRPr="00E2590D">
        <w:rPr>
          <w:lang w:val="es-ES_tradnl"/>
        </w:rPr>
        <w:t>estatus político.</w:t>
      </w:r>
      <w:r>
        <w:rPr>
          <w:lang w:val="es-ES_tradnl"/>
        </w:rPr>
        <w:t xml:space="preserve"> Sin embargo</w:t>
      </w:r>
      <w:r w:rsidRPr="00E2590D">
        <w:rPr>
          <w:lang w:val="es-ES_tradnl"/>
        </w:rPr>
        <w:t>, se pueden deducir importantes conclusiones relacionadas a este importante tema</w:t>
      </w:r>
      <w:r>
        <w:rPr>
          <w:lang w:val="es-ES_tradnl"/>
        </w:rPr>
        <w:t xml:space="preserve"> </w:t>
      </w:r>
      <w:r w:rsidRPr="00E2590D">
        <w:rPr>
          <w:lang w:val="es-ES_tradnl"/>
        </w:rPr>
        <w:t>de</w:t>
      </w:r>
      <w:r>
        <w:rPr>
          <w:lang w:val="es-ES_tradnl"/>
        </w:rPr>
        <w:t>l estudio de</w:t>
      </w:r>
      <w:r w:rsidRPr="00E2590D">
        <w:rPr>
          <w:lang w:val="es-ES_tradnl"/>
        </w:rPr>
        <w:t xml:space="preserve"> la literatura reseñada y de estudios recientes, no necesariamente relacionados al estatus político.</w:t>
      </w:r>
      <w:r>
        <w:rPr>
          <w:lang w:val="es-ES_tradnl"/>
        </w:rPr>
        <w:t xml:space="preserve"> </w:t>
      </w:r>
    </w:p>
    <w:p w:rsidR="005A5E7D" w:rsidRDefault="005A5E7D" w:rsidP="005A5E7D">
      <w:pPr>
        <w:rPr>
          <w:szCs w:val="20"/>
          <w:lang w:val="es-ES_tradnl"/>
        </w:rPr>
      </w:pPr>
      <w:r w:rsidRPr="00E2590D">
        <w:rPr>
          <w:lang w:val="es-ES_tradnl"/>
        </w:rPr>
        <w:t xml:space="preserve">A continuación se reseña alguna literatura en la cual se discute el tema de la competitividad. </w:t>
      </w:r>
      <w:r w:rsidRPr="00E2590D">
        <w:rPr>
          <w:szCs w:val="20"/>
          <w:lang w:val="es-ES_tradnl"/>
        </w:rPr>
        <w:t xml:space="preserve">El marco teórico del </w:t>
      </w:r>
      <w:r>
        <w:rPr>
          <w:szCs w:val="20"/>
          <w:lang w:val="es-ES_tradnl"/>
        </w:rPr>
        <w:t>estudio</w:t>
      </w:r>
      <w:r w:rsidRPr="00E2590D">
        <w:rPr>
          <w:szCs w:val="20"/>
          <w:lang w:val="es-ES_tradnl"/>
        </w:rPr>
        <w:t xml:space="preserve"> del Banco de la Reserva Federal</w:t>
      </w:r>
      <w:r>
        <w:rPr>
          <w:szCs w:val="20"/>
          <w:lang w:val="es-ES_tradnl"/>
        </w:rPr>
        <w:t xml:space="preserve"> </w:t>
      </w:r>
      <w:r>
        <w:rPr>
          <w:lang w:val="es-ES_tradnl"/>
        </w:rPr>
        <w:t>de Nueva York (29 de j</w:t>
      </w:r>
      <w:r w:rsidRPr="000E0417">
        <w:rPr>
          <w:lang w:val="es-ES_tradnl"/>
        </w:rPr>
        <w:t xml:space="preserve">unio </w:t>
      </w:r>
      <w:r>
        <w:rPr>
          <w:lang w:val="es-ES_tradnl"/>
        </w:rPr>
        <w:t>de</w:t>
      </w:r>
      <w:r w:rsidRPr="000E0417">
        <w:rPr>
          <w:lang w:val="es-ES_tradnl"/>
        </w:rPr>
        <w:t xml:space="preserve"> 2012)</w:t>
      </w:r>
      <w:r w:rsidRPr="00E2590D">
        <w:rPr>
          <w:szCs w:val="20"/>
          <w:lang w:val="es-ES_tradnl"/>
        </w:rPr>
        <w:t xml:space="preserve"> se bas</w:t>
      </w:r>
      <w:r>
        <w:rPr>
          <w:szCs w:val="20"/>
          <w:lang w:val="es-ES_tradnl"/>
        </w:rPr>
        <w:t>ó</w:t>
      </w:r>
      <w:r w:rsidRPr="00E2590D">
        <w:rPr>
          <w:szCs w:val="20"/>
          <w:lang w:val="es-ES_tradnl"/>
        </w:rPr>
        <w:t xml:space="preserve"> en el concepto de competitividad</w:t>
      </w:r>
      <w:r>
        <w:rPr>
          <w:szCs w:val="20"/>
          <w:lang w:val="es-ES_tradnl"/>
        </w:rPr>
        <w:t xml:space="preserve"> </w:t>
      </w:r>
      <w:r w:rsidRPr="00E2590D">
        <w:rPr>
          <w:szCs w:val="20"/>
          <w:lang w:val="es-ES_tradnl"/>
        </w:rPr>
        <w:t>que desarroll</w:t>
      </w:r>
      <w:r>
        <w:rPr>
          <w:szCs w:val="20"/>
          <w:lang w:val="es-ES_tradnl"/>
        </w:rPr>
        <w:t>ó</w:t>
      </w:r>
      <w:r w:rsidRPr="00E2590D">
        <w:rPr>
          <w:szCs w:val="20"/>
          <w:lang w:val="es-ES_tradnl"/>
        </w:rPr>
        <w:t xml:space="preserve"> Mich</w:t>
      </w:r>
      <w:r>
        <w:rPr>
          <w:szCs w:val="20"/>
          <w:lang w:val="es-ES_tradnl"/>
        </w:rPr>
        <w:t>a</w:t>
      </w:r>
      <w:r w:rsidRPr="00E2590D">
        <w:rPr>
          <w:szCs w:val="20"/>
          <w:lang w:val="es-ES_tradnl"/>
        </w:rPr>
        <w:t xml:space="preserve">el Porter </w:t>
      </w:r>
      <w:r>
        <w:rPr>
          <w:szCs w:val="20"/>
          <w:lang w:val="es-ES_tradnl"/>
        </w:rPr>
        <w:t>desde</w:t>
      </w:r>
      <w:r w:rsidRPr="00E2590D">
        <w:rPr>
          <w:szCs w:val="20"/>
          <w:lang w:val="es-ES_tradnl"/>
        </w:rPr>
        <w:t xml:space="preserve"> principios de la década del 1990 al 2000. Desde entonces</w:t>
      </w:r>
      <w:r>
        <w:rPr>
          <w:szCs w:val="20"/>
          <w:lang w:val="es-ES_tradnl"/>
        </w:rPr>
        <w:t>,</w:t>
      </w:r>
      <w:r w:rsidRPr="00E2590D">
        <w:rPr>
          <w:szCs w:val="20"/>
          <w:lang w:val="es-ES_tradnl"/>
        </w:rPr>
        <w:t xml:space="preserve"> la definición del concepto de competividad ha venido evolucionando gracias a trabajos como los de la </w:t>
      </w:r>
      <w:r w:rsidRPr="00B828FD">
        <w:rPr>
          <w:rFonts w:cs="Helvetica Neue"/>
          <w:color w:val="1A1A1A"/>
          <w:szCs w:val="24"/>
          <w:lang w:val="es-ES_tradnl"/>
        </w:rPr>
        <w:t>Organización para la Cooperación y el Desarrollo Económico (OCDE)</w:t>
      </w:r>
      <w:r>
        <w:rPr>
          <w:szCs w:val="20"/>
          <w:lang w:val="es-ES_tradnl"/>
        </w:rPr>
        <w:t>, Amartya Sen y Joseph Stiglitz.</w:t>
      </w:r>
    </w:p>
    <w:p w:rsidR="005A5E7D" w:rsidRPr="00E2590D" w:rsidRDefault="005A5E7D" w:rsidP="005A5E7D">
      <w:pPr>
        <w:rPr>
          <w:szCs w:val="20"/>
          <w:lang w:val="es-ES_tradnl"/>
        </w:rPr>
      </w:pPr>
      <w:r w:rsidRPr="00E2590D">
        <w:rPr>
          <w:szCs w:val="20"/>
          <w:lang w:val="es-ES_tradnl"/>
        </w:rPr>
        <w:t>Ahora este concepto</w:t>
      </w:r>
      <w:r>
        <w:rPr>
          <w:szCs w:val="20"/>
          <w:lang w:val="es-ES_tradnl"/>
        </w:rPr>
        <w:t xml:space="preserve"> </w:t>
      </w:r>
      <w:r w:rsidRPr="00E2590D">
        <w:rPr>
          <w:szCs w:val="20"/>
          <w:lang w:val="es-ES_tradnl"/>
        </w:rPr>
        <w:t xml:space="preserve">no solo incluye aspectos discutidos en el </w:t>
      </w:r>
      <w:r>
        <w:rPr>
          <w:szCs w:val="20"/>
          <w:lang w:val="es-ES_tradnl"/>
        </w:rPr>
        <w:t>referido i</w:t>
      </w:r>
      <w:r w:rsidRPr="00E2590D">
        <w:rPr>
          <w:szCs w:val="20"/>
          <w:lang w:val="es-ES_tradnl"/>
        </w:rPr>
        <w:t>nforme del Banco de la Reserva</w:t>
      </w:r>
      <w:r>
        <w:rPr>
          <w:szCs w:val="20"/>
          <w:lang w:val="es-ES_tradnl"/>
        </w:rPr>
        <w:t xml:space="preserve"> </w:t>
      </w:r>
      <w:r w:rsidRPr="00E2590D">
        <w:rPr>
          <w:szCs w:val="20"/>
          <w:lang w:val="es-ES_tradnl"/>
        </w:rPr>
        <w:t>Federal</w:t>
      </w:r>
      <w:r>
        <w:rPr>
          <w:szCs w:val="20"/>
          <w:lang w:val="es-ES_tradnl"/>
        </w:rPr>
        <w:t>,</w:t>
      </w:r>
      <w:r w:rsidRPr="00E2590D">
        <w:rPr>
          <w:szCs w:val="20"/>
          <w:lang w:val="es-ES_tradnl"/>
        </w:rPr>
        <w:t xml:space="preserve"> sino que </w:t>
      </w:r>
      <w:r>
        <w:rPr>
          <w:szCs w:val="20"/>
          <w:lang w:val="es-ES_tradnl"/>
        </w:rPr>
        <w:t xml:space="preserve">también </w:t>
      </w:r>
      <w:r w:rsidRPr="00E2590D">
        <w:rPr>
          <w:szCs w:val="20"/>
          <w:lang w:val="es-ES_tradnl"/>
        </w:rPr>
        <w:t xml:space="preserve">se incluyen </w:t>
      </w:r>
      <w:r>
        <w:rPr>
          <w:szCs w:val="20"/>
          <w:lang w:val="es-ES_tradnl"/>
        </w:rPr>
        <w:t xml:space="preserve">otros </w:t>
      </w:r>
      <w:r w:rsidRPr="00E2590D">
        <w:rPr>
          <w:szCs w:val="20"/>
          <w:lang w:val="es-ES_tradnl"/>
        </w:rPr>
        <w:t>aspectos relacionados con la equidad y la sustentabili</w:t>
      </w:r>
      <w:r>
        <w:rPr>
          <w:szCs w:val="20"/>
          <w:lang w:val="es-ES_tradnl"/>
        </w:rPr>
        <w:t>dad ambiental. Como lo</w:t>
      </w:r>
      <w:r w:rsidRPr="00E2590D">
        <w:rPr>
          <w:szCs w:val="20"/>
          <w:lang w:val="es-ES_tradnl"/>
        </w:rPr>
        <w:t xml:space="preserve"> expresa </w:t>
      </w:r>
      <w:r>
        <w:rPr>
          <w:szCs w:val="20"/>
          <w:lang w:val="es-ES_tradnl"/>
        </w:rPr>
        <w:t xml:space="preserve">muy bien </w:t>
      </w:r>
      <w:r w:rsidRPr="00E2590D">
        <w:rPr>
          <w:szCs w:val="20"/>
          <w:lang w:val="es-ES_tradnl"/>
        </w:rPr>
        <w:t xml:space="preserve">el economista </w:t>
      </w:r>
      <w:r>
        <w:rPr>
          <w:szCs w:val="20"/>
          <w:lang w:val="es-ES_tradnl"/>
        </w:rPr>
        <w:t xml:space="preserve">José </w:t>
      </w:r>
      <w:r w:rsidRPr="00E2590D">
        <w:rPr>
          <w:szCs w:val="20"/>
          <w:lang w:val="es-ES_tradnl"/>
        </w:rPr>
        <w:t>Joaquín Villamil</w:t>
      </w:r>
      <w:r>
        <w:rPr>
          <w:szCs w:val="20"/>
          <w:lang w:val="es-ES_tradnl"/>
        </w:rPr>
        <w:t>,</w:t>
      </w:r>
      <w:r w:rsidRPr="00E2590D">
        <w:rPr>
          <w:szCs w:val="20"/>
          <w:lang w:val="es-ES_tradnl"/>
        </w:rPr>
        <w:t xml:space="preserve"> “el proceso de desarrollo es de tal complejidad que es necesario trat</w:t>
      </w:r>
      <w:r>
        <w:rPr>
          <w:szCs w:val="20"/>
          <w:lang w:val="es-ES_tradnl"/>
        </w:rPr>
        <w:t xml:space="preserve">ar con cinco infraestructuras </w:t>
      </w:r>
      <w:r w:rsidRPr="008B456C">
        <w:t>—</w:t>
      </w:r>
      <w:r w:rsidRPr="00E2590D">
        <w:rPr>
          <w:szCs w:val="20"/>
          <w:lang w:val="es-ES_tradnl"/>
        </w:rPr>
        <w:t xml:space="preserve">la física, la social, la institucional, </w:t>
      </w:r>
      <w:r>
        <w:rPr>
          <w:szCs w:val="20"/>
          <w:lang w:val="es-ES_tradnl"/>
        </w:rPr>
        <w:t>la del conocimiento y la verde</w:t>
      </w:r>
      <w:r w:rsidRPr="008B456C">
        <w:t>—</w:t>
      </w:r>
      <w:r w:rsidRPr="00E2590D">
        <w:rPr>
          <w:szCs w:val="20"/>
          <w:lang w:val="es-ES_tradnl"/>
        </w:rPr>
        <w:t xml:space="preserve"> y las complejas interrelaciones entre ellas”</w:t>
      </w:r>
      <w:r>
        <w:rPr>
          <w:szCs w:val="20"/>
          <w:lang w:val="es-ES_tradnl"/>
        </w:rPr>
        <w:t>.</w:t>
      </w:r>
      <w:r w:rsidRPr="008032A9">
        <w:rPr>
          <w:rStyle w:val="FootnoteReference"/>
          <w:szCs w:val="20"/>
          <w:lang w:val="es-ES_tradnl"/>
        </w:rPr>
        <w:footnoteReference w:id="16"/>
      </w:r>
    </w:p>
    <w:p w:rsidR="005A5E7D" w:rsidRDefault="005A5E7D" w:rsidP="005A5E7D">
      <w:pPr>
        <w:rPr>
          <w:lang w:val="es-ES_tradnl"/>
        </w:rPr>
      </w:pPr>
      <w:r w:rsidRPr="000E0417">
        <w:rPr>
          <w:lang w:val="es-ES_tradnl"/>
        </w:rPr>
        <w:t xml:space="preserve">El </w:t>
      </w:r>
      <w:r>
        <w:rPr>
          <w:lang w:val="es-ES_tradnl"/>
        </w:rPr>
        <w:t xml:space="preserve">referido </w:t>
      </w:r>
      <w:r w:rsidRPr="000E0417">
        <w:rPr>
          <w:lang w:val="es-ES_tradnl"/>
        </w:rPr>
        <w:t>estudio se h</w:t>
      </w:r>
      <w:r>
        <w:rPr>
          <w:lang w:val="es-ES_tradnl"/>
        </w:rPr>
        <w:t>iciero</w:t>
      </w:r>
      <w:r w:rsidRPr="000E0417">
        <w:rPr>
          <w:lang w:val="es-ES_tradnl"/>
        </w:rPr>
        <w:t>n</w:t>
      </w:r>
      <w:r>
        <w:rPr>
          <w:lang w:val="es-ES_tradnl"/>
        </w:rPr>
        <w:t xml:space="preserve"> </w:t>
      </w:r>
      <w:r w:rsidRPr="000E0417">
        <w:rPr>
          <w:lang w:val="es-ES_tradnl"/>
        </w:rPr>
        <w:t xml:space="preserve">cinco recomendaciones encaminadas a aumentar la competitividad de </w:t>
      </w:r>
      <w:r>
        <w:rPr>
          <w:lang w:val="es-ES_tradnl"/>
        </w:rPr>
        <w:t>Puerto Rico</w:t>
      </w:r>
      <w:r w:rsidRPr="000E0417">
        <w:rPr>
          <w:lang w:val="es-ES_tradnl"/>
        </w:rPr>
        <w:t>. Entre otras</w:t>
      </w:r>
      <w:r>
        <w:rPr>
          <w:lang w:val="es-ES_tradnl"/>
        </w:rPr>
        <w:t>,</w:t>
      </w:r>
      <w:r w:rsidRPr="000E0417">
        <w:rPr>
          <w:lang w:val="es-ES_tradnl"/>
        </w:rPr>
        <w:t xml:space="preserve"> me parece muy acertada la recomendación relacionada al aumento en la creación de empleo y la tasa de participación de la fuerza laboral, especialmente entre la población m</w:t>
      </w:r>
      <w:r>
        <w:rPr>
          <w:lang w:val="es-ES_tradnl"/>
        </w:rPr>
        <w:t>á</w:t>
      </w:r>
      <w:r w:rsidRPr="000E0417">
        <w:rPr>
          <w:lang w:val="es-ES_tradnl"/>
        </w:rPr>
        <w:t>s joven. Según este informe</w:t>
      </w:r>
      <w:r>
        <w:rPr>
          <w:lang w:val="es-ES_tradnl"/>
        </w:rPr>
        <w:t>,</w:t>
      </w:r>
      <w:r w:rsidRPr="000E0417">
        <w:rPr>
          <w:lang w:val="es-ES_tradnl"/>
        </w:rPr>
        <w:t xml:space="preserve"> la creación de puestos de trabajo y el fomento de la participación activa en el mercado laboral debe ser una prioridad para “los políticos”.</w:t>
      </w:r>
      <w:r>
        <w:rPr>
          <w:lang w:val="es-ES_tradnl"/>
        </w:rPr>
        <w:t xml:space="preserve"> </w:t>
      </w:r>
      <w:r w:rsidRPr="000E0417">
        <w:rPr>
          <w:lang w:val="es-ES_tradnl"/>
        </w:rPr>
        <w:t>En mi opinión</w:t>
      </w:r>
      <w:r>
        <w:rPr>
          <w:lang w:val="es-ES_tradnl"/>
        </w:rPr>
        <w:t>,</w:t>
      </w:r>
      <w:r w:rsidRPr="000E0417">
        <w:rPr>
          <w:lang w:val="es-ES_tradnl"/>
        </w:rPr>
        <w:t xml:space="preserve"> esa ha sido y sigue siendo una alta prioridad del </w:t>
      </w:r>
      <w:r>
        <w:rPr>
          <w:lang w:val="es-ES_tradnl"/>
        </w:rPr>
        <w:t>Gobierno de Puerto Rico.</w:t>
      </w:r>
    </w:p>
    <w:p w:rsidR="005A5E7D" w:rsidRPr="000E0417" w:rsidRDefault="005A5E7D" w:rsidP="005A5E7D">
      <w:pPr>
        <w:rPr>
          <w:lang w:val="es-ES_tradnl"/>
        </w:rPr>
      </w:pPr>
      <w:r w:rsidRPr="000E0417">
        <w:rPr>
          <w:lang w:val="es-ES_tradnl"/>
        </w:rPr>
        <w:t>En cuanto a la baja tasa de participación de la fuerza</w:t>
      </w:r>
      <w:r>
        <w:rPr>
          <w:lang w:val="es-ES_tradnl"/>
        </w:rPr>
        <w:t xml:space="preserve"> laboral</w:t>
      </w:r>
      <w:r w:rsidRPr="000E0417">
        <w:rPr>
          <w:lang w:val="es-ES_tradnl"/>
        </w:rPr>
        <w:t xml:space="preserve"> capacitada para trabajar, el problema no </w:t>
      </w:r>
      <w:r>
        <w:rPr>
          <w:lang w:val="es-ES_tradnl"/>
        </w:rPr>
        <w:t>proviene</w:t>
      </w:r>
      <w:r w:rsidRPr="000E0417">
        <w:rPr>
          <w:lang w:val="es-ES_tradnl"/>
        </w:rPr>
        <w:t xml:space="preserve"> del lado de la oferta sino de la demanda. </w:t>
      </w:r>
      <w:r>
        <w:rPr>
          <w:lang w:val="es-ES_tradnl"/>
        </w:rPr>
        <w:t>Opino que</w:t>
      </w:r>
      <w:r w:rsidRPr="000E0417">
        <w:rPr>
          <w:lang w:val="es-ES_tradnl"/>
        </w:rPr>
        <w:t xml:space="preserve"> si existieran abundantes oportunidades de empleo se generaría un aumento en la tasa de participación, tanto masculina como femenina. El problema de la baja tasa de participación</w:t>
      </w:r>
      <w:r>
        <w:rPr>
          <w:lang w:val="es-ES_tradnl"/>
        </w:rPr>
        <w:t xml:space="preserve"> </w:t>
      </w:r>
      <w:r w:rsidRPr="000E0417">
        <w:rPr>
          <w:lang w:val="es-ES_tradnl"/>
        </w:rPr>
        <w:t>no es de falta de incentivos al trabajo</w:t>
      </w:r>
      <w:r>
        <w:rPr>
          <w:lang w:val="es-ES_tradnl"/>
        </w:rPr>
        <w:t>,</w:t>
      </w:r>
      <w:r w:rsidRPr="000E0417">
        <w:rPr>
          <w:lang w:val="es-ES_tradnl"/>
        </w:rPr>
        <w:t xml:space="preserve"> es un problema de falta de oportunidades de empleo. Supongamos que la tasa de participación aumentara a</w:t>
      </w:r>
      <w:r>
        <w:rPr>
          <w:lang w:val="es-ES_tradnl"/>
        </w:rPr>
        <w:t>l</w:t>
      </w:r>
      <w:r w:rsidRPr="000E0417">
        <w:rPr>
          <w:lang w:val="es-ES_tradnl"/>
        </w:rPr>
        <w:t xml:space="preserve"> 50% de la población de 16 años o m</w:t>
      </w:r>
      <w:r>
        <w:rPr>
          <w:lang w:val="es-ES_tradnl"/>
        </w:rPr>
        <w:t>á</w:t>
      </w:r>
      <w:r w:rsidRPr="000E0417">
        <w:rPr>
          <w:lang w:val="es-ES_tradnl"/>
        </w:rPr>
        <w:t>s, con la capacidad de absorción ac</w:t>
      </w:r>
      <w:r>
        <w:rPr>
          <w:lang w:val="es-ES_tradnl"/>
        </w:rPr>
        <w:t>tual del mercado laboral de la Isla ¿</w:t>
      </w:r>
      <w:r w:rsidRPr="000E0417">
        <w:rPr>
          <w:lang w:val="es-ES_tradnl"/>
        </w:rPr>
        <w:t>se podría abso</w:t>
      </w:r>
      <w:r>
        <w:rPr>
          <w:lang w:val="es-ES_tradnl"/>
        </w:rPr>
        <w:t>rb</w:t>
      </w:r>
      <w:r w:rsidRPr="000E0417">
        <w:rPr>
          <w:lang w:val="es-ES_tradnl"/>
        </w:rPr>
        <w:t>er el exceso de mano de obra generado por el aumento en la fuerza de trabajo?</w:t>
      </w:r>
    </w:p>
    <w:p w:rsidR="005A5E7D" w:rsidRPr="00E2590D" w:rsidRDefault="005A5E7D" w:rsidP="005A5E7D">
      <w:pPr>
        <w:rPr>
          <w:lang w:val="es-ES_tradnl"/>
        </w:rPr>
      </w:pPr>
      <w:r w:rsidRPr="00E2590D">
        <w:rPr>
          <w:lang w:val="es-ES_tradnl"/>
        </w:rPr>
        <w:t xml:space="preserve">Otra recomendación del Banco de la Reserva </w:t>
      </w:r>
      <w:r>
        <w:rPr>
          <w:lang w:val="es-ES_tradnl"/>
        </w:rPr>
        <w:t xml:space="preserve">que </w:t>
      </w:r>
      <w:r w:rsidRPr="00E2590D">
        <w:rPr>
          <w:lang w:val="es-ES_tradnl"/>
        </w:rPr>
        <w:t>me parece muy acertada</w:t>
      </w:r>
      <w:r>
        <w:rPr>
          <w:lang w:val="es-ES_tradnl"/>
        </w:rPr>
        <w:t xml:space="preserve"> es la que propone </w:t>
      </w:r>
      <w:r w:rsidRPr="00E2590D">
        <w:rPr>
          <w:lang w:val="es-ES_tradnl"/>
        </w:rPr>
        <w:t xml:space="preserve">fomentar las asociaciones entre la industria y </w:t>
      </w:r>
      <w:r>
        <w:rPr>
          <w:lang w:val="es-ES_tradnl"/>
        </w:rPr>
        <w:t xml:space="preserve">los </w:t>
      </w:r>
      <w:r w:rsidRPr="00E2590D">
        <w:rPr>
          <w:lang w:val="es-ES_tradnl"/>
        </w:rPr>
        <w:t>centros de educación superior y las universidades</w:t>
      </w:r>
      <w:r>
        <w:rPr>
          <w:lang w:val="es-ES_tradnl"/>
        </w:rPr>
        <w:t>,</w:t>
      </w:r>
      <w:r w:rsidRPr="00E2590D">
        <w:rPr>
          <w:lang w:val="es-ES_tradnl"/>
        </w:rPr>
        <w:t xml:space="preserve"> encaminadas a promover el desarrollo de tecnologías</w:t>
      </w:r>
      <w:r>
        <w:rPr>
          <w:lang w:val="es-ES_tradnl"/>
        </w:rPr>
        <w:t xml:space="preserve"> </w:t>
      </w:r>
      <w:r w:rsidRPr="00E2590D">
        <w:rPr>
          <w:lang w:val="es-ES_tradnl"/>
        </w:rPr>
        <w:t xml:space="preserve">de “importancia mundial”. Aunque </w:t>
      </w:r>
      <w:r>
        <w:rPr>
          <w:lang w:val="es-ES_tradnl"/>
        </w:rPr>
        <w:t xml:space="preserve">lo anterior </w:t>
      </w:r>
      <w:r w:rsidRPr="00E2590D">
        <w:rPr>
          <w:lang w:val="es-ES_tradnl"/>
        </w:rPr>
        <w:t>ha sido una preocupación de los economistas del país por muchos años, es bueno refrescar</w:t>
      </w:r>
      <w:r>
        <w:rPr>
          <w:lang w:val="es-ES_tradnl"/>
        </w:rPr>
        <w:t>nos</w:t>
      </w:r>
      <w:r w:rsidRPr="00E2590D">
        <w:rPr>
          <w:lang w:val="es-ES_tradnl"/>
        </w:rPr>
        <w:t xml:space="preserve"> la memoria. </w:t>
      </w:r>
    </w:p>
    <w:p w:rsidR="005A5E7D" w:rsidRPr="00E2590D" w:rsidRDefault="005A5E7D" w:rsidP="005A5E7D">
      <w:pPr>
        <w:rPr>
          <w:lang w:val="es-ES_tradnl"/>
        </w:rPr>
      </w:pPr>
      <w:r w:rsidRPr="00E2590D">
        <w:rPr>
          <w:lang w:val="es-ES_tradnl"/>
        </w:rPr>
        <w:t xml:space="preserve">Hay dos recomendaciones que son novedosas. </w:t>
      </w:r>
      <w:r w:rsidRPr="00E2590D">
        <w:rPr>
          <w:szCs w:val="20"/>
          <w:lang w:val="es-ES_tradnl"/>
        </w:rPr>
        <w:t xml:space="preserve">Una </w:t>
      </w:r>
      <w:r>
        <w:rPr>
          <w:szCs w:val="20"/>
          <w:lang w:val="es-ES_tradnl"/>
        </w:rPr>
        <w:t>propone</w:t>
      </w:r>
      <w:r w:rsidRPr="00E2590D">
        <w:rPr>
          <w:szCs w:val="20"/>
          <w:lang w:val="es-ES_tradnl"/>
        </w:rPr>
        <w:t xml:space="preserve"> reducir el salario mínimo para jóvenes como una manera de promover el empleo y la otra recom</w:t>
      </w:r>
      <w:r>
        <w:rPr>
          <w:szCs w:val="20"/>
          <w:lang w:val="es-ES_tradnl"/>
        </w:rPr>
        <w:t>ienda</w:t>
      </w:r>
      <w:r w:rsidRPr="00E2590D">
        <w:rPr>
          <w:szCs w:val="20"/>
          <w:lang w:val="es-ES_tradnl"/>
        </w:rPr>
        <w:t xml:space="preserve"> una moratoria en la aplicación de la Ley de Cabotaje. Ambas están basadas en muy poco análisis y sus fundamentos son cuestionables.</w:t>
      </w:r>
    </w:p>
    <w:p w:rsidR="005A5E7D" w:rsidRPr="00E2590D" w:rsidRDefault="005A5E7D" w:rsidP="005A5E7D">
      <w:pPr>
        <w:rPr>
          <w:lang w:val="es-ES_tradnl"/>
        </w:rPr>
      </w:pPr>
      <w:r>
        <w:rPr>
          <w:lang w:val="es-ES_tradnl"/>
        </w:rPr>
        <w:t>L</w:t>
      </w:r>
      <w:r w:rsidRPr="00E2590D">
        <w:rPr>
          <w:lang w:val="es-ES_tradnl"/>
        </w:rPr>
        <w:t>ograr una exención tempora</w:t>
      </w:r>
      <w:r>
        <w:rPr>
          <w:lang w:val="es-ES_tradnl"/>
        </w:rPr>
        <w:t xml:space="preserve">l de la Ley Jones </w:t>
      </w:r>
      <w:r w:rsidRPr="008B456C">
        <w:t>—</w:t>
      </w:r>
      <w:r>
        <w:rPr>
          <w:lang w:val="es-ES_tradnl"/>
        </w:rPr>
        <w:t xml:space="preserve">por ejemplo, </w:t>
      </w:r>
      <w:r w:rsidRPr="00E2590D">
        <w:rPr>
          <w:lang w:val="es-ES_tradnl"/>
        </w:rPr>
        <w:t>durante cinco años</w:t>
      </w:r>
      <w:r w:rsidRPr="008B456C">
        <w:t>—</w:t>
      </w:r>
      <w:r w:rsidRPr="00E2590D">
        <w:rPr>
          <w:lang w:val="es-ES_tradnl"/>
        </w:rPr>
        <w:t xml:space="preserve"> es una buena idea siempre y cuando se tome en serio </w:t>
      </w:r>
      <w:r>
        <w:rPr>
          <w:lang w:val="es-ES_tradnl"/>
        </w:rPr>
        <w:t>l</w:t>
      </w:r>
      <w:r w:rsidRPr="00E2590D">
        <w:rPr>
          <w:lang w:val="es-ES_tradnl"/>
        </w:rPr>
        <w:t>a recomendación</w:t>
      </w:r>
      <w:r>
        <w:rPr>
          <w:lang w:val="es-ES_tradnl"/>
        </w:rPr>
        <w:t>,</w:t>
      </w:r>
      <w:r w:rsidRPr="00E2590D">
        <w:rPr>
          <w:lang w:val="es-ES_tradnl"/>
        </w:rPr>
        <w:t xml:space="preserve"> no sin antes llevar a cabo un estudio en el cual se midan los costos comparativos de las diferentes marinas mercantes. Cabe la posibilidad </w:t>
      </w:r>
      <w:r>
        <w:rPr>
          <w:lang w:val="es-ES_tradnl"/>
        </w:rPr>
        <w:t xml:space="preserve">de </w:t>
      </w:r>
      <w:r w:rsidRPr="00E2590D">
        <w:rPr>
          <w:lang w:val="es-ES_tradnl"/>
        </w:rPr>
        <w:t xml:space="preserve">que la desventaja para Puerto Rico bajo este estatuto no sea la que piensan muchos economistas. </w:t>
      </w:r>
    </w:p>
    <w:p w:rsidR="005A5E7D" w:rsidRPr="00E2590D" w:rsidRDefault="005A5E7D" w:rsidP="005A5E7D">
      <w:pPr>
        <w:rPr>
          <w:lang w:val="es-ES_tradnl"/>
        </w:rPr>
      </w:pPr>
      <w:r>
        <w:rPr>
          <w:lang w:val="es-ES_tradnl"/>
        </w:rPr>
        <w:t>Juan Clar</w:t>
      </w:r>
      <w:r w:rsidRPr="00E2590D">
        <w:rPr>
          <w:lang w:val="es-ES_tradnl"/>
        </w:rPr>
        <w:t xml:space="preserve"> comparte la opinión</w:t>
      </w:r>
      <w:r>
        <w:rPr>
          <w:lang w:val="es-ES_tradnl"/>
        </w:rPr>
        <w:t xml:space="preserve"> sobre la L</w:t>
      </w:r>
      <w:r w:rsidRPr="00E2590D">
        <w:rPr>
          <w:lang w:val="es-ES_tradnl"/>
        </w:rPr>
        <w:t>ey Jones</w:t>
      </w:r>
      <w:r>
        <w:rPr>
          <w:lang w:val="es-ES_tradnl"/>
        </w:rPr>
        <w:t>:</w:t>
      </w:r>
      <w:r w:rsidRPr="00E2590D">
        <w:rPr>
          <w:lang w:val="es-ES_tradnl"/>
        </w:rPr>
        <w:t xml:space="preserve"> “en la actualidad, una de las principales barreras de la isla a la actividad económica internacional se deriva de la Ley Jones de 1920</w:t>
      </w:r>
      <w:r>
        <w:rPr>
          <w:lang w:val="es-ES_tradnl"/>
        </w:rPr>
        <w:t>”</w:t>
      </w:r>
      <w:r w:rsidRPr="00E2590D">
        <w:rPr>
          <w:lang w:val="es-ES_tradnl"/>
        </w:rPr>
        <w:t>. Esta ley proteccionista exige que los buques construidos en Estados Unidos y propiedad de los estadounidenses</w:t>
      </w:r>
      <w:r>
        <w:rPr>
          <w:lang w:val="es-ES_tradnl"/>
        </w:rPr>
        <w:t xml:space="preserve"> </w:t>
      </w:r>
      <w:r w:rsidRPr="00E2590D">
        <w:rPr>
          <w:lang w:val="es-ES_tradnl"/>
        </w:rPr>
        <w:t>transporten todos los bienes entre los puertos de Estados Unidos</w:t>
      </w:r>
      <w:r>
        <w:rPr>
          <w:lang w:val="es-ES_tradnl"/>
        </w:rPr>
        <w:t>,</w:t>
      </w:r>
      <w:r w:rsidRPr="00E2590D">
        <w:rPr>
          <w:lang w:val="es-ES_tradnl"/>
        </w:rPr>
        <w:t xml:space="preserve"> incluyendo </w:t>
      </w:r>
      <w:r>
        <w:rPr>
          <w:lang w:val="es-ES_tradnl"/>
        </w:rPr>
        <w:t xml:space="preserve">a </w:t>
      </w:r>
      <w:r w:rsidRPr="00E2590D">
        <w:rPr>
          <w:lang w:val="es-ES_tradnl"/>
        </w:rPr>
        <w:t>Puerto Rico. Los altos costos de envío son una carga para los consumidores puertorriqueño</w:t>
      </w:r>
      <w:r>
        <w:rPr>
          <w:lang w:val="es-ES_tradnl"/>
        </w:rPr>
        <w:t>s y reducen las opciones de la I</w:t>
      </w:r>
      <w:r w:rsidRPr="00E2590D">
        <w:rPr>
          <w:lang w:val="es-ES_tradnl"/>
        </w:rPr>
        <w:t>sla para establecer relaciones con socios comerciales extr</w:t>
      </w:r>
      <w:r>
        <w:rPr>
          <w:lang w:val="es-ES_tradnl"/>
        </w:rPr>
        <w:t>anjeros (Clar</w:t>
      </w:r>
      <w:r w:rsidRPr="00E2590D">
        <w:rPr>
          <w:lang w:val="es-ES_tradnl"/>
        </w:rPr>
        <w:t>, Juan, 2013)</w:t>
      </w:r>
      <w:r>
        <w:rPr>
          <w:lang w:val="es-ES_tradnl"/>
        </w:rPr>
        <w:t>.</w:t>
      </w:r>
    </w:p>
    <w:p w:rsidR="005A5E7D" w:rsidRDefault="005A5E7D" w:rsidP="005A5E7D">
      <w:pPr>
        <w:rPr>
          <w:lang w:val="es-ES_tradnl"/>
        </w:rPr>
      </w:pPr>
      <w:r w:rsidRPr="00E2590D">
        <w:rPr>
          <w:lang w:val="es-ES_tradnl"/>
        </w:rPr>
        <w:t>Otro punt</w:t>
      </w:r>
      <w:r>
        <w:rPr>
          <w:lang w:val="es-ES_tradnl"/>
        </w:rPr>
        <w:t>o importante planteado por el informe</w:t>
      </w:r>
      <w:r w:rsidRPr="00E2590D">
        <w:rPr>
          <w:lang w:val="es-ES_tradnl"/>
        </w:rPr>
        <w:t xml:space="preserve"> del Banco de</w:t>
      </w:r>
      <w:r>
        <w:rPr>
          <w:lang w:val="es-ES_tradnl"/>
        </w:rPr>
        <w:t xml:space="preserve"> </w:t>
      </w:r>
      <w:r w:rsidRPr="00E2590D">
        <w:rPr>
          <w:lang w:val="es-ES_tradnl"/>
        </w:rPr>
        <w:t xml:space="preserve">la Reserva Federal tiene que ver con el desarrollo del capital humano. </w:t>
      </w:r>
      <w:r>
        <w:rPr>
          <w:lang w:val="es-ES_tradnl"/>
        </w:rPr>
        <w:t>P</w:t>
      </w:r>
      <w:r w:rsidRPr="00E2590D">
        <w:rPr>
          <w:lang w:val="es-ES_tradnl"/>
        </w:rPr>
        <w:t>lante</w:t>
      </w:r>
      <w:r>
        <w:rPr>
          <w:lang w:val="es-ES_tradnl"/>
        </w:rPr>
        <w:t>ó</w:t>
      </w:r>
      <w:r w:rsidRPr="00E2590D">
        <w:rPr>
          <w:lang w:val="es-ES_tradnl"/>
        </w:rPr>
        <w:t xml:space="preserve"> que aunque la fuerza de trabajo es una de las de mayo</w:t>
      </w:r>
      <w:r>
        <w:rPr>
          <w:lang w:val="es-ES_tradnl"/>
        </w:rPr>
        <w:t xml:space="preserve">r nivel </w:t>
      </w:r>
      <w:r w:rsidRPr="00E2590D">
        <w:rPr>
          <w:lang w:val="es-ES_tradnl"/>
        </w:rPr>
        <w:t>educativo del mundo, Puerto Rico sigue rezagado con respecto a</w:t>
      </w:r>
      <w:r>
        <w:rPr>
          <w:lang w:val="es-ES_tradnl"/>
        </w:rPr>
        <w:t xml:space="preserve"> </w:t>
      </w:r>
      <w:r w:rsidRPr="00E2590D">
        <w:rPr>
          <w:lang w:val="es-ES_tradnl"/>
        </w:rPr>
        <w:t xml:space="preserve">la fuerza trabajadora de </w:t>
      </w:r>
      <w:r>
        <w:rPr>
          <w:lang w:val="es-ES_tradnl"/>
        </w:rPr>
        <w:t xml:space="preserve">Estados Unidos </w:t>
      </w:r>
      <w:r w:rsidRPr="00E2590D">
        <w:rPr>
          <w:lang w:val="es-ES_tradnl"/>
        </w:rPr>
        <w:t xml:space="preserve">y </w:t>
      </w:r>
      <w:r>
        <w:rPr>
          <w:lang w:val="es-ES_tradnl"/>
        </w:rPr>
        <w:t xml:space="preserve">que </w:t>
      </w:r>
      <w:r w:rsidRPr="00E2590D">
        <w:rPr>
          <w:lang w:val="es-ES_tradnl"/>
        </w:rPr>
        <w:t>existe una alta abundancia de trabajadores poco calificados.</w:t>
      </w:r>
    </w:p>
    <w:p w:rsidR="005A5E7D" w:rsidRDefault="005A5E7D" w:rsidP="005A5E7D">
      <w:pPr>
        <w:rPr>
          <w:rFonts w:ascii="Times" w:hAnsi="Times"/>
          <w:szCs w:val="20"/>
          <w:lang w:val="es-ES_tradnl"/>
        </w:rPr>
      </w:pPr>
      <w:r w:rsidRPr="00E2590D">
        <w:rPr>
          <w:lang w:val="es-ES_tradnl"/>
        </w:rPr>
        <w:t>Hay también una creciente preocupación de que la calidad del sistema educativo se ha deteriorado, especialmente en los niveles primarios y secundarios. Esta aseveración coincide con el punto de vista de varios estudiosos de la economía de Puerto Rico</w:t>
      </w:r>
      <w:r w:rsidRPr="005710C2">
        <w:rPr>
          <w:lang w:val="es-ES_tradnl"/>
        </w:rPr>
        <w:t xml:space="preserve">. Baumol (1996), </w:t>
      </w:r>
      <w:r w:rsidRPr="008B456C">
        <w:t>—</w:t>
      </w:r>
      <w:r>
        <w:t xml:space="preserve">al </w:t>
      </w:r>
      <w:r w:rsidRPr="005710C2">
        <w:rPr>
          <w:lang w:val="es-ES_tradnl"/>
        </w:rPr>
        <w:t>comenta</w:t>
      </w:r>
      <w:r>
        <w:rPr>
          <w:lang w:val="es-ES_tradnl"/>
        </w:rPr>
        <w:t>r</w:t>
      </w:r>
      <w:r w:rsidRPr="00E2590D">
        <w:rPr>
          <w:lang w:val="es-ES_tradnl"/>
        </w:rPr>
        <w:t xml:space="preserve"> sobre las economías recientemente exitosas, como </w:t>
      </w:r>
      <w:r w:rsidRPr="00E2590D">
        <w:rPr>
          <w:rFonts w:ascii="Times" w:hAnsi="Times"/>
          <w:szCs w:val="20"/>
          <w:lang w:val="es-ES_tradnl"/>
        </w:rPr>
        <w:t>Irlanda, Finlandia</w:t>
      </w:r>
      <w:r>
        <w:rPr>
          <w:rFonts w:ascii="Times" w:hAnsi="Times"/>
          <w:szCs w:val="20"/>
          <w:lang w:val="es-ES_tradnl"/>
        </w:rPr>
        <w:t>,</w:t>
      </w:r>
      <w:r w:rsidRPr="00E2590D">
        <w:rPr>
          <w:rFonts w:ascii="Times" w:hAnsi="Times"/>
          <w:szCs w:val="20"/>
          <w:lang w:val="es-ES_tradnl"/>
        </w:rPr>
        <w:t xml:space="preserve"> India y China</w:t>
      </w:r>
      <w:r w:rsidRPr="008B456C">
        <w:t>—</w:t>
      </w:r>
      <w:r>
        <w:rPr>
          <w:rFonts w:ascii="Times" w:hAnsi="Times"/>
          <w:szCs w:val="20"/>
          <w:lang w:val="es-ES_tradnl"/>
        </w:rPr>
        <w:t xml:space="preserve">opinó </w:t>
      </w:r>
      <w:r w:rsidRPr="00E2590D">
        <w:rPr>
          <w:rFonts w:ascii="Times" w:hAnsi="Times"/>
          <w:szCs w:val="20"/>
          <w:lang w:val="es-ES_tradnl"/>
        </w:rPr>
        <w:t>que su prosperidad no ha sido producto de m</w:t>
      </w:r>
      <w:r>
        <w:rPr>
          <w:rFonts w:ascii="Times" w:hAnsi="Times"/>
          <w:szCs w:val="20"/>
          <w:lang w:val="es-ES_tradnl"/>
        </w:rPr>
        <w:t>á</w:t>
      </w:r>
      <w:r w:rsidRPr="00E2590D">
        <w:rPr>
          <w:rFonts w:ascii="Times" w:hAnsi="Times"/>
          <w:szCs w:val="20"/>
          <w:lang w:val="es-ES_tradnl"/>
        </w:rPr>
        <w:t>s actividad manufactura ni de m</w:t>
      </w:r>
      <w:r>
        <w:rPr>
          <w:rFonts w:ascii="Times" w:hAnsi="Times"/>
          <w:szCs w:val="20"/>
          <w:lang w:val="es-ES_tradnl"/>
        </w:rPr>
        <w:t>á</w:t>
      </w:r>
      <w:r w:rsidRPr="00E2590D">
        <w:rPr>
          <w:rFonts w:ascii="Times" w:hAnsi="Times"/>
          <w:szCs w:val="20"/>
          <w:lang w:val="es-ES_tradnl"/>
        </w:rPr>
        <w:t xml:space="preserve">s servicios turísticos, </w:t>
      </w:r>
      <w:r>
        <w:rPr>
          <w:rFonts w:ascii="Times" w:hAnsi="Times"/>
          <w:szCs w:val="20"/>
          <w:lang w:val="es-ES_tradnl"/>
        </w:rPr>
        <w:t>sin</w:t>
      </w:r>
      <w:r w:rsidRPr="00E2590D">
        <w:rPr>
          <w:rFonts w:ascii="Times" w:hAnsi="Times"/>
          <w:szCs w:val="20"/>
          <w:lang w:val="es-ES_tradnl"/>
        </w:rPr>
        <w:t xml:space="preserve">o </w:t>
      </w:r>
      <w:r>
        <w:rPr>
          <w:rFonts w:ascii="Times" w:hAnsi="Times"/>
          <w:szCs w:val="20"/>
          <w:lang w:val="es-ES_tradnl"/>
        </w:rPr>
        <w:t>que lo</w:t>
      </w:r>
      <w:r w:rsidRPr="00E2590D">
        <w:rPr>
          <w:rFonts w:ascii="Times" w:hAnsi="Times"/>
          <w:szCs w:val="20"/>
          <w:lang w:val="es-ES_tradnl"/>
        </w:rPr>
        <w:t xml:space="preserve"> logra</w:t>
      </w:r>
      <w:r>
        <w:rPr>
          <w:rFonts w:ascii="Times" w:hAnsi="Times"/>
          <w:szCs w:val="20"/>
          <w:lang w:val="es-ES_tradnl"/>
        </w:rPr>
        <w:t>ron</w:t>
      </w:r>
      <w:r w:rsidRPr="00E2590D">
        <w:rPr>
          <w:rFonts w:ascii="Times" w:hAnsi="Times"/>
          <w:szCs w:val="20"/>
          <w:lang w:val="es-ES_tradnl"/>
        </w:rPr>
        <w:t xml:space="preserve"> a través de</w:t>
      </w:r>
      <w:r>
        <w:rPr>
          <w:rFonts w:ascii="Times" w:hAnsi="Times"/>
          <w:szCs w:val="20"/>
          <w:lang w:val="es-ES_tradnl"/>
        </w:rPr>
        <w:t xml:space="preserve"> </w:t>
      </w:r>
      <w:r w:rsidRPr="00E2590D">
        <w:rPr>
          <w:rFonts w:ascii="Times" w:hAnsi="Times"/>
          <w:szCs w:val="20"/>
          <w:lang w:val="es-ES_tradnl"/>
        </w:rPr>
        <w:t>“la utilización de su fuerza de trabajo educada para la creación de propiedad intel</w:t>
      </w:r>
      <w:r>
        <w:rPr>
          <w:rFonts w:ascii="Times" w:hAnsi="Times"/>
          <w:szCs w:val="20"/>
          <w:lang w:val="es-ES_tradnl"/>
        </w:rPr>
        <w:t>ectual intangible, que se puede</w:t>
      </w:r>
      <w:r w:rsidRPr="00E2590D">
        <w:rPr>
          <w:rFonts w:ascii="Times" w:hAnsi="Times"/>
          <w:szCs w:val="20"/>
          <w:lang w:val="es-ES_tradnl"/>
        </w:rPr>
        <w:t xml:space="preserve"> exportar </w:t>
      </w:r>
      <w:r>
        <w:rPr>
          <w:rFonts w:ascii="Times" w:hAnsi="Times"/>
          <w:szCs w:val="20"/>
          <w:lang w:val="es-ES_tradnl"/>
        </w:rPr>
        <w:t>de forma instantánea, sin costo y sin demora”.</w:t>
      </w:r>
    </w:p>
    <w:p w:rsidR="005A5E7D" w:rsidRDefault="005A5E7D" w:rsidP="005A5E7D">
      <w:pPr>
        <w:rPr>
          <w:rFonts w:ascii="Times" w:hAnsi="Times"/>
          <w:szCs w:val="20"/>
          <w:lang w:val="es-ES_tradnl"/>
        </w:rPr>
      </w:pPr>
      <w:r w:rsidRPr="00E2590D">
        <w:rPr>
          <w:rFonts w:ascii="Times" w:hAnsi="Times"/>
          <w:szCs w:val="20"/>
          <w:lang w:val="es-ES_tradnl"/>
        </w:rPr>
        <w:t>Baumol continu</w:t>
      </w:r>
      <w:r>
        <w:rPr>
          <w:rFonts w:ascii="Times" w:hAnsi="Times"/>
          <w:szCs w:val="20"/>
          <w:lang w:val="es-ES_tradnl"/>
        </w:rPr>
        <w:t>ó</w:t>
      </w:r>
      <w:r w:rsidRPr="00E2590D">
        <w:rPr>
          <w:rFonts w:ascii="Times" w:hAnsi="Times"/>
          <w:szCs w:val="20"/>
          <w:lang w:val="es-ES_tradnl"/>
        </w:rPr>
        <w:t xml:space="preserve"> comentando</w:t>
      </w:r>
      <w:r>
        <w:rPr>
          <w:rFonts w:ascii="Times" w:hAnsi="Times"/>
          <w:szCs w:val="20"/>
          <w:lang w:val="es-ES_tradnl"/>
        </w:rPr>
        <w:t>,</w:t>
      </w:r>
      <w:r w:rsidRPr="00E2590D">
        <w:rPr>
          <w:rFonts w:ascii="Times" w:hAnsi="Times"/>
          <w:szCs w:val="20"/>
          <w:lang w:val="es-ES_tradnl"/>
        </w:rPr>
        <w:t xml:space="preserve"> esta vez sobre el sistema educativo</w:t>
      </w:r>
      <w:r>
        <w:rPr>
          <w:rFonts w:ascii="Times" w:hAnsi="Times"/>
          <w:szCs w:val="20"/>
          <w:lang w:val="es-ES_tradnl"/>
        </w:rPr>
        <w:t>:</w:t>
      </w:r>
      <w:r w:rsidRPr="00E2590D">
        <w:rPr>
          <w:rFonts w:ascii="Times" w:hAnsi="Times"/>
          <w:szCs w:val="20"/>
          <w:lang w:val="es-ES_tradnl"/>
        </w:rPr>
        <w:t xml:space="preserve"> “Puerto Rico tiene una enorme ventaja para la creación de la propiedad intelectual</w:t>
      </w:r>
      <w:r>
        <w:rPr>
          <w:rFonts w:ascii="Times" w:hAnsi="Times"/>
          <w:szCs w:val="20"/>
          <w:lang w:val="es-ES_tradnl"/>
        </w:rPr>
        <w:t>,</w:t>
      </w:r>
      <w:r w:rsidRPr="00E2590D">
        <w:rPr>
          <w:rFonts w:ascii="Times" w:hAnsi="Times"/>
          <w:szCs w:val="20"/>
          <w:lang w:val="es-ES_tradnl"/>
        </w:rPr>
        <w:t xml:space="preserve"> que es un mercado prometedor para el futuro </w:t>
      </w:r>
      <w:r w:rsidRPr="008B456C">
        <w:t>—</w:t>
      </w:r>
      <w:r w:rsidRPr="00E2590D">
        <w:rPr>
          <w:rFonts w:ascii="Times" w:hAnsi="Times"/>
          <w:szCs w:val="20"/>
          <w:lang w:val="es-ES_tradnl"/>
        </w:rPr>
        <w:t>la isla posee una</w:t>
      </w:r>
      <w:r>
        <w:rPr>
          <w:rFonts w:ascii="Times" w:hAnsi="Times"/>
          <w:szCs w:val="20"/>
          <w:lang w:val="es-ES_tradnl"/>
        </w:rPr>
        <w:t xml:space="preserve"> </w:t>
      </w:r>
      <w:r w:rsidRPr="00E2590D">
        <w:rPr>
          <w:rFonts w:ascii="Times" w:hAnsi="Times"/>
          <w:szCs w:val="20"/>
          <w:lang w:val="es-ES_tradnl"/>
        </w:rPr>
        <w:t>participación extraordinaria de la población que asiste a los programas universitarios y de p</w:t>
      </w:r>
      <w:r>
        <w:rPr>
          <w:rFonts w:ascii="Times" w:hAnsi="Times"/>
          <w:szCs w:val="20"/>
          <w:lang w:val="es-ES_tradnl"/>
        </w:rPr>
        <w:t>os</w:t>
      </w:r>
      <w:r w:rsidRPr="00E2590D">
        <w:rPr>
          <w:rFonts w:ascii="Times" w:hAnsi="Times"/>
          <w:szCs w:val="20"/>
          <w:lang w:val="es-ES_tradnl"/>
        </w:rPr>
        <w:t>grado. Este ha sido un ingrediente esencial en el progreso de otros países de reciente éxito</w:t>
      </w:r>
      <w:r>
        <w:rPr>
          <w:rFonts w:ascii="Times" w:hAnsi="Times"/>
          <w:szCs w:val="20"/>
          <w:lang w:val="es-ES_tradnl"/>
        </w:rPr>
        <w:t>”</w:t>
      </w:r>
      <w:r w:rsidRPr="00E2590D">
        <w:rPr>
          <w:rFonts w:ascii="Times" w:hAnsi="Times"/>
          <w:szCs w:val="20"/>
          <w:lang w:val="es-ES_tradnl"/>
        </w:rPr>
        <w:t xml:space="preserve">. Sin embargo, </w:t>
      </w:r>
      <w:r>
        <w:rPr>
          <w:rFonts w:ascii="Times" w:hAnsi="Times"/>
          <w:szCs w:val="20"/>
          <w:lang w:val="es-ES_tradnl"/>
        </w:rPr>
        <w:t xml:space="preserve">señaló que </w:t>
      </w:r>
      <w:r w:rsidRPr="00E2590D">
        <w:rPr>
          <w:rFonts w:ascii="Times" w:hAnsi="Times"/>
          <w:szCs w:val="20"/>
          <w:lang w:val="es-ES_tradnl"/>
        </w:rPr>
        <w:t xml:space="preserve">los programas educativos de </w:t>
      </w:r>
      <w:r>
        <w:rPr>
          <w:rFonts w:ascii="Times" w:hAnsi="Times"/>
          <w:szCs w:val="20"/>
          <w:lang w:val="es-ES_tradnl"/>
        </w:rPr>
        <w:t>Puerto Rico</w:t>
      </w:r>
      <w:r w:rsidRPr="00E2590D">
        <w:rPr>
          <w:rFonts w:ascii="Times" w:hAnsi="Times"/>
          <w:szCs w:val="20"/>
          <w:lang w:val="es-ES_tradnl"/>
        </w:rPr>
        <w:t xml:space="preserve"> no están aprovechando esta oportunidad y</w:t>
      </w:r>
      <w:r>
        <w:rPr>
          <w:rFonts w:ascii="Times" w:hAnsi="Times"/>
          <w:szCs w:val="20"/>
          <w:lang w:val="es-ES_tradnl"/>
        </w:rPr>
        <w:t xml:space="preserve"> que, </w:t>
      </w:r>
      <w:r w:rsidRPr="00E2590D">
        <w:rPr>
          <w:rFonts w:ascii="Times" w:hAnsi="Times"/>
          <w:szCs w:val="20"/>
          <w:lang w:val="es-ES_tradnl"/>
        </w:rPr>
        <w:t>literalmente</w:t>
      </w:r>
      <w:r>
        <w:rPr>
          <w:rFonts w:ascii="Times" w:hAnsi="Times"/>
          <w:szCs w:val="20"/>
          <w:lang w:val="es-ES_tradnl"/>
        </w:rPr>
        <w:t xml:space="preserve">, </w:t>
      </w:r>
      <w:r w:rsidRPr="00E2590D">
        <w:rPr>
          <w:rFonts w:ascii="Times" w:hAnsi="Times"/>
          <w:szCs w:val="20"/>
          <w:lang w:val="es-ES_tradnl"/>
        </w:rPr>
        <w:t>están tirando p</w:t>
      </w:r>
      <w:r>
        <w:rPr>
          <w:rFonts w:ascii="Times" w:hAnsi="Times"/>
          <w:szCs w:val="20"/>
          <w:lang w:val="es-ES_tradnl"/>
        </w:rPr>
        <w:t>or la borda esas oportunidades.</w:t>
      </w:r>
    </w:p>
    <w:p w:rsidR="005A5E7D" w:rsidRPr="00E2590D" w:rsidRDefault="005A5E7D" w:rsidP="005A5E7D">
      <w:pPr>
        <w:rPr>
          <w:rFonts w:ascii="Times" w:hAnsi="Times"/>
          <w:szCs w:val="20"/>
          <w:lang w:val="es-ES_tradnl"/>
        </w:rPr>
      </w:pPr>
      <w:r>
        <w:rPr>
          <w:rFonts w:ascii="Times" w:hAnsi="Times"/>
          <w:szCs w:val="20"/>
          <w:lang w:val="es-ES_tradnl"/>
        </w:rPr>
        <w:t>Alegó que la situación obedece</w:t>
      </w:r>
      <w:r w:rsidRPr="00E2590D">
        <w:rPr>
          <w:rFonts w:ascii="Times" w:hAnsi="Times"/>
          <w:szCs w:val="20"/>
          <w:lang w:val="es-ES_tradnl"/>
        </w:rPr>
        <w:t xml:space="preserve"> a que la educación superior tiene dos funciones, </w:t>
      </w:r>
      <w:r>
        <w:rPr>
          <w:rFonts w:ascii="Times" w:hAnsi="Times"/>
          <w:szCs w:val="20"/>
          <w:lang w:val="es-ES_tradnl"/>
        </w:rPr>
        <w:t>la educación y la investigación;</w:t>
      </w:r>
      <w:r w:rsidRPr="00E2590D">
        <w:rPr>
          <w:rFonts w:ascii="Times" w:hAnsi="Times"/>
          <w:szCs w:val="20"/>
          <w:lang w:val="es-ES_tradnl"/>
        </w:rPr>
        <w:t xml:space="preserve"> y </w:t>
      </w:r>
      <w:r>
        <w:rPr>
          <w:rFonts w:ascii="Times" w:hAnsi="Times"/>
          <w:szCs w:val="20"/>
          <w:lang w:val="es-ES_tradnl"/>
        </w:rPr>
        <w:t>que la</w:t>
      </w:r>
      <w:r w:rsidRPr="00E2590D">
        <w:rPr>
          <w:rFonts w:ascii="Times" w:hAnsi="Times"/>
          <w:szCs w:val="20"/>
          <w:lang w:val="es-ES_tradnl"/>
        </w:rPr>
        <w:t xml:space="preserve"> segund</w:t>
      </w:r>
      <w:r>
        <w:rPr>
          <w:rFonts w:ascii="Times" w:hAnsi="Times"/>
          <w:szCs w:val="20"/>
          <w:lang w:val="es-ES_tradnl"/>
        </w:rPr>
        <w:t>a</w:t>
      </w:r>
      <w:r w:rsidRPr="00E2590D">
        <w:rPr>
          <w:rFonts w:ascii="Times" w:hAnsi="Times"/>
          <w:szCs w:val="20"/>
          <w:lang w:val="es-ES_tradnl"/>
        </w:rPr>
        <w:t xml:space="preserve"> es </w:t>
      </w:r>
      <w:r w:rsidRPr="008B456C">
        <w:t>—</w:t>
      </w:r>
      <w:r w:rsidRPr="00E2590D">
        <w:rPr>
          <w:rFonts w:ascii="Times" w:hAnsi="Times"/>
          <w:szCs w:val="20"/>
          <w:lang w:val="es-ES_tradnl"/>
        </w:rPr>
        <w:t>evidentemente</w:t>
      </w:r>
      <w:r w:rsidRPr="008B456C">
        <w:t>—</w:t>
      </w:r>
      <w:r w:rsidRPr="00E2590D">
        <w:rPr>
          <w:rFonts w:ascii="Times" w:hAnsi="Times"/>
          <w:szCs w:val="20"/>
          <w:lang w:val="es-ES_tradnl"/>
        </w:rPr>
        <w:t xml:space="preserve"> </w:t>
      </w:r>
      <w:r>
        <w:rPr>
          <w:rFonts w:ascii="Times" w:hAnsi="Times"/>
          <w:szCs w:val="20"/>
          <w:lang w:val="es-ES_tradnl"/>
        </w:rPr>
        <w:t>un</w:t>
      </w:r>
      <w:r w:rsidRPr="00E2590D">
        <w:rPr>
          <w:rFonts w:ascii="Times" w:hAnsi="Times"/>
          <w:szCs w:val="20"/>
          <w:lang w:val="es-ES_tradnl"/>
        </w:rPr>
        <w:t xml:space="preserve"> eslabón indispensable para la innovación y la creación de la propiedad intelectual para el uso </w:t>
      </w:r>
      <w:r>
        <w:rPr>
          <w:rFonts w:ascii="Times" w:hAnsi="Times"/>
          <w:szCs w:val="20"/>
          <w:lang w:val="es-ES_tradnl"/>
        </w:rPr>
        <w:t>local</w:t>
      </w:r>
      <w:r w:rsidRPr="00E2590D">
        <w:rPr>
          <w:rFonts w:ascii="Times" w:hAnsi="Times"/>
          <w:szCs w:val="20"/>
          <w:lang w:val="es-ES_tradnl"/>
        </w:rPr>
        <w:t xml:space="preserve"> y para la exportación. Pero</w:t>
      </w:r>
      <w:r>
        <w:rPr>
          <w:rFonts w:ascii="Times" w:hAnsi="Times"/>
          <w:szCs w:val="20"/>
          <w:lang w:val="es-ES_tradnl"/>
        </w:rPr>
        <w:t>, le</w:t>
      </w:r>
      <w:r w:rsidRPr="00E2590D">
        <w:rPr>
          <w:rFonts w:ascii="Times" w:hAnsi="Times"/>
          <w:szCs w:val="20"/>
          <w:lang w:val="es-ES_tradnl"/>
        </w:rPr>
        <w:t xml:space="preserve"> parece claro que las instituciones de educación superior ni los centros de investigación ofrecen recompensas sustanciales p</w:t>
      </w:r>
      <w:r>
        <w:rPr>
          <w:rFonts w:ascii="Times" w:hAnsi="Times"/>
          <w:szCs w:val="20"/>
          <w:lang w:val="es-ES_tradnl"/>
        </w:rPr>
        <w:t>ara</w:t>
      </w:r>
      <w:r w:rsidRPr="00E2590D">
        <w:rPr>
          <w:rFonts w:ascii="Times" w:hAnsi="Times"/>
          <w:szCs w:val="20"/>
          <w:lang w:val="es-ES_tradnl"/>
        </w:rPr>
        <w:t xml:space="preserve"> los profesores y estudiantes</w:t>
      </w:r>
      <w:r>
        <w:rPr>
          <w:rFonts w:ascii="Times" w:hAnsi="Times"/>
          <w:szCs w:val="20"/>
          <w:lang w:val="es-ES_tradnl"/>
        </w:rPr>
        <w:t xml:space="preserve"> que contribuyan a</w:t>
      </w:r>
      <w:r w:rsidRPr="00E2590D">
        <w:rPr>
          <w:rFonts w:ascii="Times" w:hAnsi="Times"/>
          <w:szCs w:val="20"/>
          <w:lang w:val="es-ES_tradnl"/>
        </w:rPr>
        <w:t xml:space="preserve">l éxito en esta tarea. En consecuencia, </w:t>
      </w:r>
      <w:r>
        <w:rPr>
          <w:rFonts w:ascii="Times" w:hAnsi="Times"/>
          <w:szCs w:val="20"/>
          <w:lang w:val="es-ES_tradnl"/>
        </w:rPr>
        <w:t xml:space="preserve">le </w:t>
      </w:r>
      <w:r w:rsidRPr="00E2590D">
        <w:rPr>
          <w:rFonts w:ascii="Times" w:hAnsi="Times"/>
          <w:szCs w:val="20"/>
          <w:lang w:val="es-ES_tradnl"/>
        </w:rPr>
        <w:t xml:space="preserve">parece urgente </w:t>
      </w:r>
      <w:r>
        <w:rPr>
          <w:rFonts w:ascii="Times" w:hAnsi="Times"/>
          <w:szCs w:val="20"/>
          <w:lang w:val="es-ES_tradnl"/>
        </w:rPr>
        <w:t>que quienes</w:t>
      </w:r>
      <w:r w:rsidRPr="00E2590D">
        <w:rPr>
          <w:rFonts w:ascii="Times" w:hAnsi="Times"/>
          <w:szCs w:val="20"/>
          <w:lang w:val="es-ES_tradnl"/>
        </w:rPr>
        <w:t xml:space="preserve"> planifican y controlan las actividades de las instituciones de educaci</w:t>
      </w:r>
      <w:r>
        <w:rPr>
          <w:rFonts w:ascii="Times" w:hAnsi="Times"/>
          <w:szCs w:val="20"/>
          <w:lang w:val="es-ES_tradnl"/>
        </w:rPr>
        <w:t>ón superior de la Isla conside</w:t>
      </w:r>
      <w:r w:rsidRPr="00E2590D">
        <w:rPr>
          <w:rFonts w:ascii="Times" w:hAnsi="Times"/>
          <w:szCs w:val="20"/>
          <w:lang w:val="es-ES_tradnl"/>
        </w:rPr>
        <w:t>ren</w:t>
      </w:r>
      <w:r>
        <w:rPr>
          <w:rFonts w:ascii="Times" w:hAnsi="Times"/>
          <w:szCs w:val="20"/>
          <w:lang w:val="es-ES_tradnl"/>
        </w:rPr>
        <w:t xml:space="preserve"> </w:t>
      </w:r>
      <w:r w:rsidRPr="00E2590D">
        <w:rPr>
          <w:rFonts w:ascii="Times" w:hAnsi="Times"/>
          <w:szCs w:val="20"/>
          <w:lang w:val="es-ES_tradnl"/>
        </w:rPr>
        <w:t>medida</w:t>
      </w:r>
      <w:r>
        <w:rPr>
          <w:rFonts w:ascii="Times" w:hAnsi="Times"/>
          <w:szCs w:val="20"/>
          <w:lang w:val="es-ES_tradnl"/>
        </w:rPr>
        <w:t>s que subsanen dicha deficiencia</w:t>
      </w:r>
      <w:r w:rsidRPr="00E2590D">
        <w:rPr>
          <w:rFonts w:ascii="Times" w:hAnsi="Times"/>
          <w:szCs w:val="20"/>
          <w:lang w:val="es-ES_tradnl"/>
        </w:rPr>
        <w:t xml:space="preserve">. </w:t>
      </w:r>
    </w:p>
    <w:p w:rsidR="005A5E7D" w:rsidRDefault="005A5E7D" w:rsidP="005A5E7D">
      <w:pPr>
        <w:rPr>
          <w:szCs w:val="20"/>
          <w:lang w:val="es-ES_tradnl"/>
        </w:rPr>
      </w:pPr>
      <w:r w:rsidRPr="00E2590D">
        <w:rPr>
          <w:szCs w:val="20"/>
          <w:lang w:val="es-ES_tradnl"/>
        </w:rPr>
        <w:t>En un trabajo reciente</w:t>
      </w:r>
      <w:r>
        <w:rPr>
          <w:szCs w:val="20"/>
          <w:lang w:val="es-ES_tradnl"/>
        </w:rPr>
        <w:t>,</w:t>
      </w:r>
      <w:r w:rsidRPr="00E2590D">
        <w:rPr>
          <w:szCs w:val="20"/>
          <w:lang w:val="es-ES_tradnl"/>
        </w:rPr>
        <w:t xml:space="preserve"> publicado en la Revista Jurídica de la Universidad de Puerto Rico</w:t>
      </w:r>
      <w:r>
        <w:rPr>
          <w:szCs w:val="20"/>
          <w:lang w:val="es-ES_tradnl"/>
        </w:rPr>
        <w:t>,</w:t>
      </w:r>
      <w:r w:rsidRPr="00E2590D">
        <w:rPr>
          <w:szCs w:val="20"/>
          <w:lang w:val="es-ES_tradnl"/>
        </w:rPr>
        <w:t xml:space="preserve"> la estudiante de derecho </w:t>
      </w:r>
      <w:r w:rsidRPr="00E2590D">
        <w:rPr>
          <w:szCs w:val="18"/>
          <w:lang w:val="es-ES_tradnl"/>
        </w:rPr>
        <w:t xml:space="preserve">Tzeitel Andino </w:t>
      </w:r>
      <w:r w:rsidRPr="00E2590D">
        <w:rPr>
          <w:szCs w:val="20"/>
          <w:lang w:val="es-ES_tradnl"/>
        </w:rPr>
        <w:t>analiz</w:t>
      </w:r>
      <w:r>
        <w:rPr>
          <w:szCs w:val="20"/>
          <w:lang w:val="es-ES_tradnl"/>
        </w:rPr>
        <w:t>ó</w:t>
      </w:r>
      <w:r w:rsidRPr="00E2590D">
        <w:rPr>
          <w:szCs w:val="20"/>
          <w:lang w:val="es-ES_tradnl"/>
        </w:rPr>
        <w:t xml:space="preserve"> el tema de la fuerza trabajadora educada</w:t>
      </w:r>
      <w:r>
        <w:rPr>
          <w:szCs w:val="20"/>
          <w:lang w:val="es-ES_tradnl"/>
        </w:rPr>
        <w:t>,</w:t>
      </w:r>
      <w:r w:rsidRPr="00E2590D">
        <w:rPr>
          <w:szCs w:val="20"/>
          <w:lang w:val="es-ES_tradnl"/>
        </w:rPr>
        <w:t xml:space="preserve"> y compar</w:t>
      </w:r>
      <w:r>
        <w:rPr>
          <w:szCs w:val="20"/>
          <w:lang w:val="es-ES_tradnl"/>
        </w:rPr>
        <w:t>ó</w:t>
      </w:r>
      <w:r w:rsidRPr="00E2590D">
        <w:rPr>
          <w:szCs w:val="20"/>
          <w:lang w:val="es-ES_tradnl"/>
        </w:rPr>
        <w:t xml:space="preserve"> el empleo por ocupación que existía en los primeros años de desarrollo económico de </w:t>
      </w:r>
      <w:r>
        <w:rPr>
          <w:szCs w:val="20"/>
          <w:lang w:val="es-ES_tradnl"/>
        </w:rPr>
        <w:t xml:space="preserve">Puerto Rico </w:t>
      </w:r>
      <w:r w:rsidRPr="00E2590D">
        <w:rPr>
          <w:szCs w:val="20"/>
          <w:lang w:val="es-ES_tradnl"/>
        </w:rPr>
        <w:t>con los empleos requeridos bajo el sistema actual</w:t>
      </w:r>
      <w:r>
        <w:rPr>
          <w:szCs w:val="20"/>
          <w:lang w:val="es-ES_tradnl"/>
        </w:rPr>
        <w:t xml:space="preserve"> </w:t>
      </w:r>
      <w:r w:rsidRPr="00E2590D">
        <w:rPr>
          <w:szCs w:val="20"/>
          <w:lang w:val="es-ES_tradnl"/>
        </w:rPr>
        <w:t>y los</w:t>
      </w:r>
      <w:r>
        <w:rPr>
          <w:szCs w:val="20"/>
          <w:lang w:val="es-ES_tradnl"/>
        </w:rPr>
        <w:t xml:space="preserve"> </w:t>
      </w:r>
      <w:r w:rsidRPr="00E2590D">
        <w:rPr>
          <w:szCs w:val="20"/>
          <w:lang w:val="es-ES_tradnl"/>
        </w:rPr>
        <w:t xml:space="preserve">prospectivos (Andino, </w:t>
      </w:r>
      <w:r>
        <w:rPr>
          <w:szCs w:val="20"/>
          <w:lang w:val="es-ES_tradnl"/>
        </w:rPr>
        <w:t xml:space="preserve">Tzeitel, </w:t>
      </w:r>
      <w:r w:rsidRPr="00E2590D">
        <w:rPr>
          <w:szCs w:val="20"/>
          <w:lang w:val="es-ES_tradnl"/>
        </w:rPr>
        <w:t>2011).</w:t>
      </w:r>
      <w:r>
        <w:rPr>
          <w:szCs w:val="20"/>
          <w:lang w:val="es-ES_tradnl"/>
        </w:rPr>
        <w:t xml:space="preserve"> </w:t>
      </w:r>
      <w:r w:rsidRPr="00E2590D">
        <w:rPr>
          <w:szCs w:val="20"/>
          <w:lang w:val="es-ES_tradnl"/>
        </w:rPr>
        <w:t xml:space="preserve">Según </w:t>
      </w:r>
      <w:r>
        <w:rPr>
          <w:szCs w:val="20"/>
          <w:lang w:val="es-ES_tradnl"/>
        </w:rPr>
        <w:t>l</w:t>
      </w:r>
      <w:r w:rsidRPr="00E2590D">
        <w:rPr>
          <w:szCs w:val="20"/>
          <w:lang w:val="es-ES_tradnl"/>
        </w:rPr>
        <w:t>a autora</w:t>
      </w:r>
      <w:r>
        <w:rPr>
          <w:szCs w:val="20"/>
          <w:lang w:val="es-ES_tradnl"/>
        </w:rPr>
        <w:t>,</w:t>
      </w:r>
      <w:r w:rsidRPr="00E2590D">
        <w:rPr>
          <w:szCs w:val="20"/>
          <w:lang w:val="es-ES_tradnl"/>
        </w:rPr>
        <w:t xml:space="preserve"> “mientras en la década del sesenta y</w:t>
      </w:r>
      <w:r>
        <w:rPr>
          <w:szCs w:val="20"/>
          <w:lang w:val="es-ES_tradnl"/>
        </w:rPr>
        <w:t xml:space="preserve"> </w:t>
      </w:r>
      <w:r w:rsidRPr="00E2590D">
        <w:rPr>
          <w:szCs w:val="20"/>
          <w:lang w:val="es-ES_tradnl"/>
        </w:rPr>
        <w:t>setenta el modelo industrial ofrecía trabajos de cuello azul en abundancia, relativamente remunerados y</w:t>
      </w:r>
      <w:r>
        <w:rPr>
          <w:szCs w:val="20"/>
          <w:lang w:val="es-ES_tradnl"/>
        </w:rPr>
        <w:t xml:space="preserve"> </w:t>
      </w:r>
      <w:r w:rsidRPr="00E2590D">
        <w:rPr>
          <w:szCs w:val="20"/>
          <w:lang w:val="es-ES_tradnl"/>
        </w:rPr>
        <w:t xml:space="preserve">seguros, en la actualidad </w:t>
      </w:r>
      <w:r w:rsidRPr="00E2590D">
        <w:rPr>
          <w:lang w:val="es-ES_tradnl"/>
        </w:rPr>
        <w:t>estos</w:t>
      </w:r>
      <w:r>
        <w:rPr>
          <w:lang w:val="es-ES_tradnl"/>
        </w:rPr>
        <w:t xml:space="preserve"> </w:t>
      </w:r>
      <w:r w:rsidRPr="00E2590D">
        <w:rPr>
          <w:szCs w:val="20"/>
          <w:lang w:val="es-ES_tradnl"/>
        </w:rPr>
        <w:t>escasean. Hoy en día, para ganar aunque sea el salario mínimo, hay que ser intelectual y mentalmente diestro</w:t>
      </w:r>
      <w:r>
        <w:rPr>
          <w:szCs w:val="20"/>
          <w:lang w:val="es-ES_tradnl"/>
        </w:rPr>
        <w:t>”</w:t>
      </w:r>
      <w:r w:rsidRPr="00E2590D">
        <w:rPr>
          <w:szCs w:val="12"/>
          <w:lang w:val="es-ES_tradnl"/>
        </w:rPr>
        <w:t>.</w:t>
      </w:r>
    </w:p>
    <w:p w:rsidR="005A5E7D" w:rsidRDefault="005A5E7D" w:rsidP="005A5E7D">
      <w:pPr>
        <w:rPr>
          <w:szCs w:val="20"/>
          <w:lang w:val="es-ES_tradnl"/>
        </w:rPr>
      </w:pPr>
      <w:r>
        <w:rPr>
          <w:szCs w:val="20"/>
          <w:lang w:val="es-ES_tradnl"/>
        </w:rPr>
        <w:t>Señaló que l</w:t>
      </w:r>
      <w:r w:rsidRPr="00E2590D">
        <w:rPr>
          <w:szCs w:val="20"/>
          <w:lang w:val="es-ES_tradnl"/>
        </w:rPr>
        <w:t xml:space="preserve">a brecha entre el pasado modelo industrial y el actual modelo económico se </w:t>
      </w:r>
      <w:r>
        <w:rPr>
          <w:szCs w:val="20"/>
          <w:lang w:val="es-ES_tradnl"/>
        </w:rPr>
        <w:t>observa</w:t>
      </w:r>
      <w:r w:rsidRPr="00E2590D">
        <w:rPr>
          <w:szCs w:val="20"/>
          <w:lang w:val="es-ES_tradnl"/>
        </w:rPr>
        <w:t xml:space="preserve"> al analizar el tipo de empleo ofrecido por ambos. En el </w:t>
      </w:r>
      <w:r>
        <w:rPr>
          <w:szCs w:val="20"/>
          <w:lang w:val="es-ES_tradnl"/>
        </w:rPr>
        <w:t>s</w:t>
      </w:r>
      <w:r w:rsidRPr="00E2590D">
        <w:rPr>
          <w:szCs w:val="20"/>
          <w:lang w:val="es-ES_tradnl"/>
        </w:rPr>
        <w:t xml:space="preserve">iglo XX, solo </w:t>
      </w:r>
      <w:r>
        <w:rPr>
          <w:szCs w:val="20"/>
          <w:lang w:val="es-ES_tradnl"/>
        </w:rPr>
        <w:t xml:space="preserve">un </w:t>
      </w:r>
      <w:r w:rsidRPr="00E2590D">
        <w:rPr>
          <w:szCs w:val="20"/>
          <w:lang w:val="es-ES_tradnl"/>
        </w:rPr>
        <w:t>5%</w:t>
      </w:r>
      <w:r>
        <w:rPr>
          <w:szCs w:val="20"/>
          <w:lang w:val="es-ES_tradnl"/>
        </w:rPr>
        <w:t xml:space="preserve"> </w:t>
      </w:r>
      <w:r w:rsidRPr="00E2590D">
        <w:rPr>
          <w:szCs w:val="20"/>
          <w:lang w:val="es-ES_tradnl"/>
        </w:rPr>
        <w:t xml:space="preserve">de los empleos requería de un conocimiento especializado, pero en el </w:t>
      </w:r>
      <w:r>
        <w:rPr>
          <w:szCs w:val="20"/>
          <w:lang w:val="es-ES_tradnl"/>
        </w:rPr>
        <w:t>s</w:t>
      </w:r>
      <w:r w:rsidRPr="00E2590D">
        <w:rPr>
          <w:szCs w:val="20"/>
          <w:lang w:val="es-ES_tradnl"/>
        </w:rPr>
        <w:t>iglo XXI un 70%</w:t>
      </w:r>
      <w:r>
        <w:rPr>
          <w:szCs w:val="20"/>
          <w:lang w:val="es-ES_tradnl"/>
        </w:rPr>
        <w:t xml:space="preserve"> </w:t>
      </w:r>
      <w:r w:rsidRPr="00E2590D">
        <w:rPr>
          <w:szCs w:val="20"/>
          <w:lang w:val="es-ES_tradnl"/>
        </w:rPr>
        <w:t>de los empleos requiere de un conocimiento especializado.</w:t>
      </w:r>
      <w:r>
        <w:rPr>
          <w:szCs w:val="12"/>
          <w:lang w:val="es-ES_tradnl"/>
        </w:rPr>
        <w:t xml:space="preserve"> </w:t>
      </w:r>
      <w:r w:rsidRPr="00E2590D">
        <w:rPr>
          <w:szCs w:val="20"/>
          <w:lang w:val="es-ES_tradnl"/>
        </w:rPr>
        <w:t xml:space="preserve">Además, al </w:t>
      </w:r>
      <w:r w:rsidRPr="00E2590D">
        <w:rPr>
          <w:szCs w:val="18"/>
          <w:lang w:val="es-ES_tradnl"/>
        </w:rPr>
        <w:t>comparar los empleos disponibles en 1973 y 1998 enc</w:t>
      </w:r>
      <w:r>
        <w:rPr>
          <w:szCs w:val="18"/>
          <w:lang w:val="es-ES_tradnl"/>
        </w:rPr>
        <w:t>o</w:t>
      </w:r>
      <w:r w:rsidRPr="00E2590D">
        <w:rPr>
          <w:szCs w:val="18"/>
          <w:lang w:val="es-ES_tradnl"/>
        </w:rPr>
        <w:t>ntr</w:t>
      </w:r>
      <w:r>
        <w:rPr>
          <w:szCs w:val="18"/>
          <w:lang w:val="es-ES_tradnl"/>
        </w:rPr>
        <w:t>ó</w:t>
      </w:r>
      <w:r w:rsidRPr="00E2590D">
        <w:rPr>
          <w:szCs w:val="18"/>
          <w:lang w:val="es-ES_tradnl"/>
        </w:rPr>
        <w:t xml:space="preserve"> que: en trabajos </w:t>
      </w:r>
      <w:r w:rsidRPr="00E2590D">
        <w:rPr>
          <w:szCs w:val="20"/>
          <w:lang w:val="es-ES_tradnl"/>
        </w:rPr>
        <w:t>de cuello azul, diestros y clericales,</w:t>
      </w:r>
      <w:r>
        <w:rPr>
          <w:szCs w:val="20"/>
          <w:lang w:val="es-ES_tradnl"/>
        </w:rPr>
        <w:t xml:space="preserve"> </w:t>
      </w:r>
      <w:r w:rsidRPr="00E2590D">
        <w:rPr>
          <w:szCs w:val="20"/>
          <w:lang w:val="es-ES_tradnl"/>
        </w:rPr>
        <w:t xml:space="preserve">disminuyó </w:t>
      </w:r>
      <w:r>
        <w:rPr>
          <w:szCs w:val="20"/>
          <w:lang w:val="es-ES_tradnl"/>
        </w:rPr>
        <w:t>en</w:t>
      </w:r>
      <w:r w:rsidRPr="00E2590D">
        <w:rPr>
          <w:szCs w:val="20"/>
          <w:lang w:val="es-ES_tradnl"/>
        </w:rPr>
        <w:t xml:space="preserve"> dos tercios el </w:t>
      </w:r>
      <w:r>
        <w:rPr>
          <w:szCs w:val="20"/>
          <w:lang w:val="es-ES_tradnl"/>
        </w:rPr>
        <w:t>porcentaje</w:t>
      </w:r>
      <w:r w:rsidRPr="00E2590D">
        <w:rPr>
          <w:szCs w:val="20"/>
          <w:lang w:val="es-ES_tradnl"/>
        </w:rPr>
        <w:t xml:space="preserve"> de</w:t>
      </w:r>
      <w:r w:rsidRPr="00E2590D">
        <w:rPr>
          <w:szCs w:val="18"/>
          <w:lang w:val="es-ES_tradnl"/>
        </w:rPr>
        <w:t xml:space="preserve"> </w:t>
      </w:r>
      <w:r w:rsidRPr="00E2590D">
        <w:rPr>
          <w:szCs w:val="20"/>
          <w:lang w:val="es-ES_tradnl"/>
        </w:rPr>
        <w:t>trabajadores sin diploma de escuela superior y</w:t>
      </w:r>
      <w:r>
        <w:rPr>
          <w:szCs w:val="20"/>
          <w:lang w:val="es-ES_tradnl"/>
        </w:rPr>
        <w:t xml:space="preserve"> </w:t>
      </w:r>
      <w:r w:rsidRPr="00E2590D">
        <w:rPr>
          <w:szCs w:val="20"/>
          <w:lang w:val="es-ES_tradnl"/>
        </w:rPr>
        <w:t xml:space="preserve">se duplicó el </w:t>
      </w:r>
      <w:r>
        <w:rPr>
          <w:szCs w:val="20"/>
          <w:lang w:val="es-ES_tradnl"/>
        </w:rPr>
        <w:t>porcentaje</w:t>
      </w:r>
      <w:r w:rsidRPr="00E2590D">
        <w:rPr>
          <w:szCs w:val="20"/>
          <w:lang w:val="es-ES_tradnl"/>
        </w:rPr>
        <w:t xml:space="preserve"> de empleados</w:t>
      </w:r>
      <w:r w:rsidRPr="00E2590D">
        <w:rPr>
          <w:szCs w:val="18"/>
          <w:lang w:val="es-ES_tradnl"/>
        </w:rPr>
        <w:t xml:space="preserve"> </w:t>
      </w:r>
      <w:r w:rsidRPr="00E2590D">
        <w:rPr>
          <w:szCs w:val="20"/>
          <w:lang w:val="es-ES_tradnl"/>
        </w:rPr>
        <w:t>con alguna preparación universitaria o con un grado universitario</w:t>
      </w:r>
      <w:r>
        <w:rPr>
          <w:szCs w:val="20"/>
          <w:lang w:val="es-ES_tradnl"/>
        </w:rPr>
        <w:t>;</w:t>
      </w:r>
      <w:r w:rsidRPr="00E2590D">
        <w:rPr>
          <w:szCs w:val="20"/>
          <w:lang w:val="es-ES_tradnl"/>
        </w:rPr>
        <w:t xml:space="preserve"> y en profesiones de cuello azul menos diestros</w:t>
      </w:r>
      <w:r>
        <w:rPr>
          <w:szCs w:val="20"/>
          <w:lang w:val="es-ES_tradnl"/>
        </w:rPr>
        <w:t xml:space="preserve"> </w:t>
      </w:r>
      <w:r w:rsidRPr="00E2590D">
        <w:rPr>
          <w:szCs w:val="20"/>
          <w:lang w:val="es-ES_tradnl"/>
        </w:rPr>
        <w:t xml:space="preserve">(como las ocupaciones de servicio) se redujo </w:t>
      </w:r>
      <w:r>
        <w:rPr>
          <w:szCs w:val="20"/>
          <w:lang w:val="es-ES_tradnl"/>
        </w:rPr>
        <w:t>a</w:t>
      </w:r>
      <w:r w:rsidRPr="00E2590D">
        <w:rPr>
          <w:szCs w:val="20"/>
          <w:lang w:val="es-ES_tradnl"/>
        </w:rPr>
        <w:t xml:space="preserve"> la mitad los desertores escolares reclutados</w:t>
      </w:r>
      <w:r>
        <w:rPr>
          <w:szCs w:val="20"/>
          <w:lang w:val="es-ES_tradnl"/>
        </w:rPr>
        <w:t>,</w:t>
      </w:r>
      <w:r w:rsidRPr="00E2590D">
        <w:rPr>
          <w:szCs w:val="20"/>
          <w:lang w:val="es-ES_tradnl"/>
        </w:rPr>
        <w:t xml:space="preserve"> mientras se triplicó el </w:t>
      </w:r>
      <w:r>
        <w:rPr>
          <w:szCs w:val="20"/>
          <w:lang w:val="es-ES_tradnl"/>
        </w:rPr>
        <w:t>porcentaje</w:t>
      </w:r>
      <w:r w:rsidRPr="00E2590D">
        <w:rPr>
          <w:szCs w:val="20"/>
          <w:lang w:val="es-ES_tradnl"/>
        </w:rPr>
        <w:t xml:space="preserve"> de trabajadores con alguna preparación universitaria o con un título universitario</w:t>
      </w:r>
      <w:r>
        <w:rPr>
          <w:szCs w:val="20"/>
          <w:lang w:val="es-ES_tradnl"/>
        </w:rPr>
        <w:t>.</w:t>
      </w:r>
    </w:p>
    <w:p w:rsidR="005A5E7D" w:rsidRPr="00E2590D" w:rsidRDefault="005A5E7D" w:rsidP="005A5E7D">
      <w:pPr>
        <w:rPr>
          <w:szCs w:val="20"/>
          <w:lang w:val="es-ES_tradnl"/>
        </w:rPr>
      </w:pPr>
      <w:r>
        <w:rPr>
          <w:szCs w:val="20"/>
          <w:lang w:val="es-ES_tradnl"/>
        </w:rPr>
        <w:t>Planteó que e</w:t>
      </w:r>
      <w:r w:rsidRPr="00E2590D">
        <w:rPr>
          <w:szCs w:val="20"/>
          <w:lang w:val="es-ES_tradnl"/>
        </w:rPr>
        <w:t>llo muestra que ahora las ocupaciones de cuello blanco y</w:t>
      </w:r>
      <w:r>
        <w:rPr>
          <w:szCs w:val="20"/>
          <w:lang w:val="es-ES_tradnl"/>
        </w:rPr>
        <w:t xml:space="preserve"> </w:t>
      </w:r>
      <w:r w:rsidRPr="00E2590D">
        <w:rPr>
          <w:szCs w:val="20"/>
          <w:lang w:val="es-ES_tradnl"/>
        </w:rPr>
        <w:t>de cuello azul requieren que los empleados sepan solucionar problemas intelectuales y técnicos.</w:t>
      </w:r>
      <w:r w:rsidRPr="00E2590D">
        <w:rPr>
          <w:szCs w:val="15"/>
          <w:lang w:val="es-ES_tradnl"/>
        </w:rPr>
        <w:t xml:space="preserve"> </w:t>
      </w:r>
      <w:r w:rsidRPr="00E2590D">
        <w:rPr>
          <w:szCs w:val="20"/>
          <w:lang w:val="es-ES_tradnl"/>
        </w:rPr>
        <w:t>El</w:t>
      </w:r>
      <w:r>
        <w:rPr>
          <w:szCs w:val="20"/>
          <w:lang w:val="es-ES_tradnl"/>
        </w:rPr>
        <w:t xml:space="preserve"> </w:t>
      </w:r>
      <w:r w:rsidRPr="00E2590D">
        <w:rPr>
          <w:szCs w:val="20"/>
          <w:lang w:val="es-ES_tradnl"/>
        </w:rPr>
        <w:t>cambio entre un modelo y</w:t>
      </w:r>
      <w:r>
        <w:rPr>
          <w:szCs w:val="20"/>
          <w:lang w:val="es-ES_tradnl"/>
        </w:rPr>
        <w:t xml:space="preserve"> </w:t>
      </w:r>
      <w:r w:rsidRPr="00E2590D">
        <w:rPr>
          <w:szCs w:val="20"/>
          <w:lang w:val="es-ES_tradnl"/>
        </w:rPr>
        <w:t>otro es tan drástico que un 85%</w:t>
      </w:r>
      <w:r>
        <w:rPr>
          <w:szCs w:val="20"/>
          <w:lang w:val="es-ES_tradnl"/>
        </w:rPr>
        <w:t xml:space="preserve"> </w:t>
      </w:r>
      <w:r w:rsidRPr="00E2590D">
        <w:rPr>
          <w:szCs w:val="20"/>
          <w:lang w:val="es-ES_tradnl"/>
        </w:rPr>
        <w:t>de los empleos que el nuevo modelo clasifica como diestros</w:t>
      </w:r>
      <w:r>
        <w:rPr>
          <w:szCs w:val="20"/>
          <w:lang w:val="es-ES_tradnl"/>
        </w:rPr>
        <w:t xml:space="preserve"> </w:t>
      </w:r>
      <w:r w:rsidRPr="00E2590D">
        <w:rPr>
          <w:szCs w:val="20"/>
          <w:lang w:val="es-ES_tradnl"/>
        </w:rPr>
        <w:t xml:space="preserve">requiere estudios universitarios, pero </w:t>
      </w:r>
      <w:r>
        <w:rPr>
          <w:szCs w:val="20"/>
          <w:lang w:val="es-ES_tradnl"/>
        </w:rPr>
        <w:t xml:space="preserve">un </w:t>
      </w:r>
      <w:r w:rsidRPr="00E2590D">
        <w:rPr>
          <w:szCs w:val="20"/>
          <w:lang w:val="es-ES_tradnl"/>
        </w:rPr>
        <w:t>6</w:t>
      </w:r>
      <w:r>
        <w:rPr>
          <w:szCs w:val="20"/>
          <w:lang w:val="es-ES_tradnl"/>
        </w:rPr>
        <w:t>0</w:t>
      </w:r>
      <w:r w:rsidRPr="00E2590D">
        <w:rPr>
          <w:szCs w:val="20"/>
          <w:lang w:val="es-ES_tradnl"/>
        </w:rPr>
        <w:t xml:space="preserve">% de los empleos que se ofrecerán en el futuro requerirán de la capacitación que solo </w:t>
      </w:r>
      <w:r>
        <w:rPr>
          <w:szCs w:val="20"/>
          <w:lang w:val="es-ES_tradnl"/>
        </w:rPr>
        <w:t xml:space="preserve">un </w:t>
      </w:r>
      <w:r w:rsidRPr="00E2590D">
        <w:rPr>
          <w:szCs w:val="20"/>
          <w:lang w:val="es-ES_tradnl"/>
        </w:rPr>
        <w:t>20%</w:t>
      </w:r>
      <w:r>
        <w:rPr>
          <w:szCs w:val="20"/>
          <w:lang w:val="es-ES_tradnl"/>
        </w:rPr>
        <w:t xml:space="preserve"> </w:t>
      </w:r>
      <w:r w:rsidRPr="00E2590D">
        <w:rPr>
          <w:szCs w:val="20"/>
          <w:lang w:val="es-ES_tradnl"/>
        </w:rPr>
        <w:t xml:space="preserve">de los actuales trabajadores poseen. </w:t>
      </w:r>
    </w:p>
    <w:p w:rsidR="005A5E7D" w:rsidRPr="00E2590D" w:rsidRDefault="005A5E7D" w:rsidP="00FD1E6D">
      <w:pPr>
        <w:rPr>
          <w:szCs w:val="20"/>
          <w:lang w:val="es-ES_tradnl"/>
        </w:rPr>
      </w:pPr>
      <w:r w:rsidRPr="00E2590D">
        <w:rPr>
          <w:szCs w:val="20"/>
          <w:lang w:val="es-ES_tradnl"/>
        </w:rPr>
        <w:t>Otros autores ha</w:t>
      </w:r>
      <w:r>
        <w:rPr>
          <w:szCs w:val="20"/>
          <w:lang w:val="es-ES_tradnl"/>
        </w:rPr>
        <w:t>n</w:t>
      </w:r>
      <w:r w:rsidRPr="00E2590D">
        <w:rPr>
          <w:szCs w:val="20"/>
          <w:lang w:val="es-ES_tradnl"/>
        </w:rPr>
        <w:t xml:space="preserve"> enfatizado este tema como un factor importante para mejorar la competitividad. Entre otro</w:t>
      </w:r>
      <w:r>
        <w:rPr>
          <w:szCs w:val="20"/>
          <w:lang w:val="es-ES_tradnl"/>
        </w:rPr>
        <w:t>s</w:t>
      </w:r>
      <w:r w:rsidRPr="00E2590D">
        <w:rPr>
          <w:szCs w:val="20"/>
          <w:lang w:val="es-ES_tradnl"/>
        </w:rPr>
        <w:t xml:space="preserve"> están los artículos de Helen F</w:t>
      </w:r>
      <w:r>
        <w:rPr>
          <w:szCs w:val="20"/>
          <w:lang w:val="es-ES_tradnl"/>
        </w:rPr>
        <w:t>. Ladd y Francisco L. Rivera</w:t>
      </w:r>
      <w:r w:rsidRPr="00E2590D">
        <w:rPr>
          <w:szCs w:val="20"/>
          <w:lang w:val="es-ES_tradnl"/>
        </w:rPr>
        <w:t>-Batiz (en el libro editado por Susan M. Collins, B. P. Bosworth</w:t>
      </w:r>
      <w:r>
        <w:rPr>
          <w:szCs w:val="20"/>
          <w:lang w:val="es-ES_tradnl"/>
        </w:rPr>
        <w:t xml:space="preserve"> y Miguel A. A Soto-Class, 2006),</w:t>
      </w:r>
      <w:r w:rsidRPr="00E2590D">
        <w:rPr>
          <w:szCs w:val="20"/>
          <w:lang w:val="es-ES_tradnl"/>
        </w:rPr>
        <w:t xml:space="preserve"> Ángel Ruiz </w:t>
      </w:r>
      <w:r>
        <w:rPr>
          <w:szCs w:val="20"/>
          <w:lang w:val="es-ES_tradnl"/>
        </w:rPr>
        <w:t>(</w:t>
      </w:r>
      <w:r w:rsidRPr="00E2590D">
        <w:rPr>
          <w:szCs w:val="20"/>
          <w:lang w:val="es-ES_tradnl"/>
        </w:rPr>
        <w:t xml:space="preserve">Ruiz, </w:t>
      </w:r>
      <w:r>
        <w:rPr>
          <w:szCs w:val="20"/>
          <w:lang w:val="es-ES_tradnl"/>
        </w:rPr>
        <w:t>Á</w:t>
      </w:r>
      <w:r w:rsidRPr="00E2590D">
        <w:rPr>
          <w:szCs w:val="20"/>
          <w:lang w:val="es-ES_tradnl"/>
        </w:rPr>
        <w:t>., 2012), Ángel Ruiz y Glorimar Pérez</w:t>
      </w:r>
      <w:r>
        <w:rPr>
          <w:szCs w:val="20"/>
          <w:lang w:val="es-ES_tradnl"/>
        </w:rPr>
        <w:t xml:space="preserve"> (Á</w:t>
      </w:r>
      <w:r w:rsidRPr="00E2590D">
        <w:rPr>
          <w:szCs w:val="20"/>
          <w:lang w:val="es-ES_tradnl"/>
        </w:rPr>
        <w:t xml:space="preserve">. Ruiz y Glorimar Pérez, 2012) y otros que auque no se mencionan en este trabajo no dejan de ser importantes. </w:t>
      </w:r>
    </w:p>
    <w:p w:rsidR="005A5E7D" w:rsidRPr="00E2590D" w:rsidRDefault="005A5E7D" w:rsidP="00FD1E6D">
      <w:pPr>
        <w:rPr>
          <w:lang w:val="es-ES_tradnl"/>
        </w:rPr>
      </w:pPr>
    </w:p>
    <w:p w:rsidR="005A5E7D" w:rsidRPr="00E2590D" w:rsidRDefault="005A5E7D" w:rsidP="00FD1E6D">
      <w:pPr>
        <w:pStyle w:val="Heading2"/>
        <w:spacing w:line="276" w:lineRule="auto"/>
        <w:ind w:left="426" w:hanging="426"/>
      </w:pPr>
      <w:bookmarkStart w:id="42" w:name="_Toc384769741"/>
      <w:r>
        <w:t>Productividad y competitividad</w:t>
      </w:r>
      <w:bookmarkEnd w:id="42"/>
    </w:p>
    <w:p w:rsidR="005A5E7D" w:rsidRDefault="005A5E7D" w:rsidP="00FD1E6D">
      <w:pPr>
        <w:rPr>
          <w:lang w:val="es-ES_tradnl"/>
        </w:rPr>
      </w:pPr>
    </w:p>
    <w:p w:rsidR="005A5E7D" w:rsidRDefault="005A5E7D" w:rsidP="00FD1E6D">
      <w:pPr>
        <w:rPr>
          <w:lang w:val="es-ES_tradnl"/>
        </w:rPr>
      </w:pPr>
      <w:r w:rsidRPr="00E2590D">
        <w:rPr>
          <w:lang w:val="es-ES_tradnl"/>
        </w:rPr>
        <w:t xml:space="preserve">La competitividad va de la mano con la productividad. En prácticamente ninguna de la literatura revisada relacionada al estatus se menciona el deterioro en la productividad como obstáculo principal para aumentar la competitividad de </w:t>
      </w:r>
      <w:r>
        <w:rPr>
          <w:lang w:val="es-ES_tradnl"/>
        </w:rPr>
        <w:t>Puerto Rico</w:t>
      </w:r>
      <w:r w:rsidRPr="00E2590D">
        <w:rPr>
          <w:lang w:val="es-ES_tradnl"/>
        </w:rPr>
        <w:t xml:space="preserve"> en los mercados mundiales.</w:t>
      </w:r>
      <w:r>
        <w:rPr>
          <w:lang w:val="es-ES_tradnl"/>
        </w:rPr>
        <w:t xml:space="preserve"> </w:t>
      </w:r>
      <w:r w:rsidRPr="00E2590D">
        <w:rPr>
          <w:lang w:val="es-ES_tradnl"/>
        </w:rPr>
        <w:t>Sin embargo, este tema ha sido amplia</w:t>
      </w:r>
      <w:r>
        <w:rPr>
          <w:lang w:val="es-ES_tradnl"/>
        </w:rPr>
        <w:t>mente estudiado en Puerto Rico.</w:t>
      </w:r>
    </w:p>
    <w:p w:rsidR="005A5E7D" w:rsidRPr="00E2590D" w:rsidRDefault="005A5E7D" w:rsidP="005A5E7D">
      <w:pPr>
        <w:rPr>
          <w:lang w:val="es-ES_tradnl"/>
        </w:rPr>
      </w:pPr>
      <w:r w:rsidRPr="00E2590D">
        <w:rPr>
          <w:lang w:val="es-ES_tradnl"/>
        </w:rPr>
        <w:t>Por ejemplo, estudios realizados por</w:t>
      </w:r>
      <w:r>
        <w:rPr>
          <w:lang w:val="es-ES_tradnl"/>
        </w:rPr>
        <w:t xml:space="preserve"> Ángel Ruiz (1982, 1987 y 1980)</w:t>
      </w:r>
      <w:r w:rsidRPr="00E2590D">
        <w:rPr>
          <w:lang w:val="es-ES_tradnl"/>
        </w:rPr>
        <w:t xml:space="preserve"> demuestran un patrón de tendencias en la productividad parecido al mostrado por la economía </w:t>
      </w:r>
      <w:r>
        <w:rPr>
          <w:lang w:val="es-ES_tradnl"/>
        </w:rPr>
        <w:t>estadounidense</w:t>
      </w:r>
      <w:r w:rsidRPr="00E2590D">
        <w:rPr>
          <w:lang w:val="es-ES_tradnl"/>
        </w:rPr>
        <w:t>, o sea</w:t>
      </w:r>
      <w:r>
        <w:rPr>
          <w:lang w:val="es-ES_tradnl"/>
        </w:rPr>
        <w:t>,</w:t>
      </w:r>
      <w:r w:rsidRPr="00E2590D">
        <w:rPr>
          <w:lang w:val="es-ES_tradnl"/>
        </w:rPr>
        <w:t xml:space="preserve"> tendencias crecientes en el índice de productividad laboral hasta mediados de la década de 1960-70, una desaceleración hasta 1973 y bajas absolutas</w:t>
      </w:r>
      <w:r>
        <w:rPr>
          <w:lang w:val="es-ES_tradnl"/>
        </w:rPr>
        <w:t>,</w:t>
      </w:r>
      <w:r w:rsidRPr="00E2590D">
        <w:rPr>
          <w:lang w:val="es-ES_tradnl"/>
        </w:rPr>
        <w:t xml:space="preserve"> así como fuertes disminuciones en los índices, a partir de 1974. Según e</w:t>
      </w:r>
      <w:r>
        <w:rPr>
          <w:lang w:val="es-ES_tradnl"/>
        </w:rPr>
        <w:t>ste autor (1982, página 116): “</w:t>
      </w:r>
      <w:r w:rsidRPr="00E2590D">
        <w:rPr>
          <w:lang w:val="es-ES_tradnl"/>
        </w:rPr>
        <w:t>los años de 1960 al 1965 parecen haber sido los años de mayor crecimiento</w:t>
      </w:r>
      <w:r>
        <w:rPr>
          <w:lang w:val="es-ES_tradnl"/>
        </w:rPr>
        <w:t>,</w:t>
      </w:r>
      <w:r w:rsidRPr="00E2590D">
        <w:rPr>
          <w:lang w:val="es-ES_tradnl"/>
        </w:rPr>
        <w:t xml:space="preserve"> tanto en la productividad agregada como por sector industrial. De ahí en adelante se observa una disminución en los ritmos de aumento de la productividad por sector</w:t>
      </w:r>
      <w:r>
        <w:rPr>
          <w:lang w:val="es-ES_tradnl"/>
        </w:rPr>
        <w:t xml:space="preserve"> </w:t>
      </w:r>
      <w:r w:rsidRPr="00E2590D">
        <w:rPr>
          <w:lang w:val="es-ES_tradnl"/>
        </w:rPr>
        <w:t>industrial y una disminución en los niveles absolutos de la productividad en</w:t>
      </w:r>
      <w:r>
        <w:rPr>
          <w:lang w:val="es-ES_tradnl"/>
        </w:rPr>
        <w:t xml:space="preserve"> </w:t>
      </w:r>
      <w:r w:rsidRPr="00E2590D">
        <w:rPr>
          <w:lang w:val="es-ES_tradnl"/>
        </w:rPr>
        <w:t xml:space="preserve">la mayoría de los sectores analizados”. </w:t>
      </w:r>
    </w:p>
    <w:p w:rsidR="005A5E7D" w:rsidRDefault="005A5E7D" w:rsidP="005A5E7D">
      <w:pPr>
        <w:rPr>
          <w:lang w:val="es-ES_tradnl"/>
        </w:rPr>
      </w:pPr>
      <w:r w:rsidRPr="00E2590D">
        <w:rPr>
          <w:lang w:val="es-ES_tradnl"/>
        </w:rPr>
        <w:t>Tan temprano como e</w:t>
      </w:r>
      <w:r>
        <w:rPr>
          <w:lang w:val="es-ES_tradnl"/>
        </w:rPr>
        <w:t>n</w:t>
      </w:r>
      <w:r w:rsidRPr="00E2590D">
        <w:rPr>
          <w:lang w:val="es-ES_tradnl"/>
        </w:rPr>
        <w:t xml:space="preserve"> 1979</w:t>
      </w:r>
      <w:r>
        <w:rPr>
          <w:lang w:val="es-ES_tradnl"/>
        </w:rPr>
        <w:t>,</w:t>
      </w:r>
      <w:r w:rsidRPr="00E2590D">
        <w:rPr>
          <w:lang w:val="es-ES_tradnl"/>
        </w:rPr>
        <w:t xml:space="preserve"> Ruiz y Zalacaín habían </w:t>
      </w:r>
      <w:r>
        <w:rPr>
          <w:lang w:val="es-ES_tradnl"/>
        </w:rPr>
        <w:t>hicieron</w:t>
      </w:r>
      <w:r w:rsidRPr="00E2590D">
        <w:rPr>
          <w:lang w:val="es-ES_tradnl"/>
        </w:rPr>
        <w:t xml:space="preserve"> un estimado de la productividad total de l</w:t>
      </w:r>
      <w:r>
        <w:rPr>
          <w:lang w:val="es-ES_tradnl"/>
        </w:rPr>
        <w:t>o</w:t>
      </w:r>
      <w:r w:rsidRPr="00E2590D">
        <w:rPr>
          <w:lang w:val="es-ES_tradnl"/>
        </w:rPr>
        <w:t>s factores y las fuentes de crecimiento</w:t>
      </w:r>
      <w:r w:rsidRPr="00E2590D">
        <w:rPr>
          <w:rStyle w:val="FootnoteReference"/>
          <w:sz w:val="28"/>
          <w:szCs w:val="20"/>
          <w:lang w:val="es-ES_tradnl"/>
        </w:rPr>
        <w:footnoteReference w:id="17"/>
      </w:r>
      <w:r>
        <w:rPr>
          <w:lang w:val="es-ES_tradnl"/>
        </w:rPr>
        <w:t xml:space="preserve"> (A. Ruiz y F. Zalacaín, j</w:t>
      </w:r>
      <w:r w:rsidRPr="00E2590D">
        <w:rPr>
          <w:lang w:val="es-ES_tradnl"/>
        </w:rPr>
        <w:t>un</w:t>
      </w:r>
      <w:r>
        <w:rPr>
          <w:lang w:val="es-ES_tradnl"/>
        </w:rPr>
        <w:t>io de</w:t>
      </w:r>
      <w:r w:rsidRPr="00E2590D">
        <w:rPr>
          <w:lang w:val="es-ES_tradnl"/>
        </w:rPr>
        <w:t xml:space="preserve"> 1979)</w:t>
      </w:r>
      <w:r>
        <w:rPr>
          <w:lang w:val="es-ES_tradnl"/>
        </w:rPr>
        <w:t>, que</w:t>
      </w:r>
      <w:r w:rsidRPr="00E2590D">
        <w:rPr>
          <w:lang w:val="es-ES_tradnl"/>
        </w:rPr>
        <w:t xml:space="preserve"> </w:t>
      </w:r>
      <w:r>
        <w:rPr>
          <w:lang w:val="es-ES_tradnl"/>
        </w:rPr>
        <w:t xml:space="preserve">fue </w:t>
      </w:r>
      <w:r w:rsidRPr="00E2590D">
        <w:rPr>
          <w:lang w:val="es-ES_tradnl"/>
        </w:rPr>
        <w:t>actualizado m</w:t>
      </w:r>
      <w:r>
        <w:rPr>
          <w:lang w:val="es-ES_tradnl"/>
        </w:rPr>
        <w:t>á</w:t>
      </w:r>
      <w:r w:rsidRPr="00E2590D">
        <w:rPr>
          <w:lang w:val="es-ES_tradnl"/>
        </w:rPr>
        <w:t>s tarde por Ángel Ruiz para los años 1997 y 2003 (A. Ruiz 1997 y 2003). En estos trabajos se concluy</w:t>
      </w:r>
      <w:r>
        <w:rPr>
          <w:lang w:val="es-ES_tradnl"/>
        </w:rPr>
        <w:t>ó</w:t>
      </w:r>
      <w:r w:rsidRPr="00E2590D">
        <w:rPr>
          <w:lang w:val="es-ES_tradnl"/>
        </w:rPr>
        <w:t xml:space="preserve"> que:</w:t>
      </w:r>
    </w:p>
    <w:p w:rsidR="005A5E7D" w:rsidRPr="00C904FA" w:rsidRDefault="005A5E7D" w:rsidP="005A5E7D">
      <w:pPr>
        <w:widowControl w:val="0"/>
        <w:autoSpaceDE w:val="0"/>
        <w:autoSpaceDN w:val="0"/>
        <w:spacing w:line="240" w:lineRule="auto"/>
        <w:ind w:left="720" w:firstLine="0"/>
        <w:rPr>
          <w:rFonts w:eastAsia="Times New Roman"/>
          <w:szCs w:val="24"/>
          <w:lang w:val="es-ES_tradnl"/>
        </w:rPr>
      </w:pPr>
      <w:r>
        <w:rPr>
          <w:lang w:val="es-ES_tradnl"/>
        </w:rPr>
        <w:t xml:space="preserve"> </w:t>
      </w:r>
      <w:r w:rsidRPr="00E2590D">
        <w:rPr>
          <w:lang w:val="es-ES_tradnl"/>
        </w:rPr>
        <w:t>La productividad total de los factores muestra una fuerte disminución a partir de la década</w:t>
      </w:r>
      <w:r>
        <w:rPr>
          <w:lang w:val="es-ES_tradnl"/>
        </w:rPr>
        <w:t xml:space="preserve"> </w:t>
      </w:r>
      <w:r w:rsidRPr="00E2590D">
        <w:rPr>
          <w:lang w:val="es-ES_tradnl"/>
        </w:rPr>
        <w:t xml:space="preserve">de 1970 al 1980. El índice de cambio tecnológico experimenta su mayor crecimiento de 1950 al 1965, periodo en el cual crece a un ritmo promedio anual de 2.7%. A partir de 1965 en adelante el ritmo de crecimiento disminuye marcadamente, creciendo a un ritmo anual promedio de 0.84% de 1965 al 1980 y 0.97% de 1980 al 1997. Esta reducción en la productividad total de </w:t>
      </w:r>
      <w:r>
        <w:rPr>
          <w:lang w:val="es-ES_tradnl"/>
        </w:rPr>
        <w:t xml:space="preserve">los factores muy significativa. </w:t>
      </w:r>
      <w:r w:rsidRPr="00E2590D">
        <w:rPr>
          <w:lang w:val="es-ES_tradnl"/>
        </w:rPr>
        <w:t>A pesar de las complejidades en el proceso de medición de la productividad</w:t>
      </w:r>
      <w:r>
        <w:rPr>
          <w:lang w:val="es-ES_tradnl"/>
        </w:rPr>
        <w:t>,</w:t>
      </w:r>
      <w:r w:rsidRPr="00E2590D">
        <w:rPr>
          <w:lang w:val="es-ES_tradnl"/>
        </w:rPr>
        <w:t xml:space="preserve"> estos resultados deben considerarse como la mejor aproximación de lo que está sucediendo con la productividad a n</w:t>
      </w:r>
      <w:r>
        <w:rPr>
          <w:lang w:val="es-ES_tradnl"/>
        </w:rPr>
        <w:t>ivel agregado en Puerto Rico.</w:t>
      </w:r>
    </w:p>
    <w:p w:rsidR="005A5E7D" w:rsidRPr="000F3223" w:rsidRDefault="005A5E7D" w:rsidP="005A5E7D">
      <w:pPr>
        <w:spacing w:line="360" w:lineRule="auto"/>
        <w:rPr>
          <w:lang w:val="es-ES_tradnl"/>
        </w:rPr>
      </w:pPr>
    </w:p>
    <w:p w:rsidR="005A5E7D" w:rsidRPr="005B5FEE" w:rsidRDefault="005A5E7D" w:rsidP="005A5E7D">
      <w:pPr>
        <w:rPr>
          <w:lang w:val="en-US"/>
        </w:rPr>
      </w:pPr>
      <w:r w:rsidRPr="00CE0527">
        <w:rPr>
          <w:lang w:val="es-ES_tradnl"/>
        </w:rPr>
        <w:t>Años m</w:t>
      </w:r>
      <w:r>
        <w:rPr>
          <w:lang w:val="es-ES_tradnl"/>
        </w:rPr>
        <w:t>á</w:t>
      </w:r>
      <w:r w:rsidRPr="00CE0527">
        <w:rPr>
          <w:lang w:val="es-ES_tradnl"/>
        </w:rPr>
        <w:t>s tarde</w:t>
      </w:r>
      <w:r>
        <w:rPr>
          <w:lang w:val="es-ES_tradnl"/>
        </w:rPr>
        <w:t>,</w:t>
      </w:r>
      <w:r w:rsidRPr="00CE0527">
        <w:rPr>
          <w:lang w:val="es-ES_tradnl"/>
        </w:rPr>
        <w:t xml:space="preserve"> Susan M. Collins y Barry. P Bosworth</w:t>
      </w:r>
      <w:r>
        <w:rPr>
          <w:lang w:val="es-ES_tradnl"/>
        </w:rPr>
        <w:t xml:space="preserve"> enco</w:t>
      </w:r>
      <w:r w:rsidRPr="00CE0527">
        <w:rPr>
          <w:lang w:val="es-ES_tradnl"/>
        </w:rPr>
        <w:t>ntra</w:t>
      </w:r>
      <w:r>
        <w:rPr>
          <w:lang w:val="es-ES_tradnl"/>
        </w:rPr>
        <w:t>ron</w:t>
      </w:r>
      <w:r w:rsidRPr="00CE0527">
        <w:rPr>
          <w:lang w:val="es-ES_tradnl"/>
        </w:rPr>
        <w:t xml:space="preserve"> patrones parecidos a los hallazgos de Ruiz y Zalacaín en sus estimados de la productiv</w:t>
      </w:r>
      <w:r>
        <w:rPr>
          <w:lang w:val="es-ES_tradnl"/>
        </w:rPr>
        <w:t xml:space="preserve">idad total de los factores, </w:t>
      </w:r>
      <w:r w:rsidRPr="00CE0527">
        <w:rPr>
          <w:lang w:val="es-ES_tradnl"/>
        </w:rPr>
        <w:t>au</w:t>
      </w:r>
      <w:r>
        <w:rPr>
          <w:lang w:val="es-ES_tradnl"/>
        </w:rPr>
        <w:t>nque los perí</w:t>
      </w:r>
      <w:r w:rsidRPr="00CE0527">
        <w:rPr>
          <w:lang w:val="es-ES_tradnl"/>
        </w:rPr>
        <w:t xml:space="preserve">odos no coinciden exactamente y los resultados varían un poco. </w:t>
      </w:r>
      <w:r w:rsidRPr="005300BC">
        <w:rPr>
          <w:lang w:val="en-US"/>
        </w:rPr>
        <w:t>Según estos autores,</w:t>
      </w:r>
      <w:r w:rsidRPr="005B5FEE">
        <w:rPr>
          <w:lang w:val="en-US"/>
        </w:rPr>
        <w:t xml:space="preserve"> “total fa</w:t>
      </w:r>
      <w:r>
        <w:rPr>
          <w:lang w:val="en-US"/>
        </w:rPr>
        <w:t>ctor productivity growth fell af</w:t>
      </w:r>
      <w:r w:rsidRPr="005B5FEE">
        <w:rPr>
          <w:lang w:val="en-US"/>
        </w:rPr>
        <w:t xml:space="preserve">ter 1970, turning negative in the 1990’s. This pattern suggests a secular deterioration, which is more </w:t>
      </w:r>
      <w:r>
        <w:rPr>
          <w:lang w:val="en-US"/>
        </w:rPr>
        <w:t>worrisome</w:t>
      </w:r>
      <w:r w:rsidRPr="005B5FEE">
        <w:rPr>
          <w:lang w:val="en-US"/>
        </w:rPr>
        <w:t xml:space="preserve"> that the typical Latin America experience of sharp cyclical </w:t>
      </w:r>
      <w:r>
        <w:rPr>
          <w:lang w:val="en-US"/>
        </w:rPr>
        <w:t>fluctuations in economic growth”</w:t>
      </w:r>
      <w:r w:rsidRPr="005B5FEE">
        <w:rPr>
          <w:lang w:val="en-US"/>
        </w:rPr>
        <w:t xml:space="preserve"> (Collins, S. y B. P. Bosworth, 2006).</w:t>
      </w:r>
    </w:p>
    <w:p w:rsidR="005A5E7D" w:rsidRPr="00035034" w:rsidRDefault="005A5E7D" w:rsidP="005A5E7D">
      <w:pPr>
        <w:rPr>
          <w:lang w:val="es-ES_tradnl"/>
        </w:rPr>
      </w:pPr>
      <w:r w:rsidRPr="00035034">
        <w:rPr>
          <w:lang w:val="es-ES_tradnl"/>
        </w:rPr>
        <w:t>En un trabajo m</w:t>
      </w:r>
      <w:r>
        <w:rPr>
          <w:lang w:val="es-ES_tradnl"/>
        </w:rPr>
        <w:t>á</w:t>
      </w:r>
      <w:r w:rsidRPr="00035034">
        <w:rPr>
          <w:lang w:val="es-ES_tradnl"/>
        </w:rPr>
        <w:t>s reciente</w:t>
      </w:r>
      <w:r>
        <w:rPr>
          <w:lang w:val="es-ES_tradnl"/>
        </w:rPr>
        <w:t>,</w:t>
      </w:r>
      <w:r w:rsidRPr="00035034">
        <w:rPr>
          <w:lang w:val="es-ES_tradnl"/>
        </w:rPr>
        <w:t xml:space="preserve"> relacionado con la aportación del capital humano al crecimiento económico</w:t>
      </w:r>
      <w:r>
        <w:rPr>
          <w:lang w:val="es-ES_tradnl"/>
        </w:rPr>
        <w:t>,</w:t>
      </w:r>
      <w:r w:rsidRPr="00035034">
        <w:rPr>
          <w:lang w:val="es-ES_tradnl"/>
        </w:rPr>
        <w:t xml:space="preserve"> </w:t>
      </w:r>
      <w:r>
        <w:rPr>
          <w:lang w:val="es-ES_tradnl"/>
        </w:rPr>
        <w:t>Ángel Ruiz y Glorimar Pérez</w:t>
      </w:r>
      <w:r w:rsidRPr="00035034">
        <w:rPr>
          <w:lang w:val="es-ES_tradnl"/>
        </w:rPr>
        <w:t xml:space="preserve"> concluye</w:t>
      </w:r>
      <w:r>
        <w:rPr>
          <w:lang w:val="es-ES_tradnl"/>
        </w:rPr>
        <w:t>ro</w:t>
      </w:r>
      <w:r w:rsidRPr="00035034">
        <w:rPr>
          <w:lang w:val="es-ES_tradnl"/>
        </w:rPr>
        <w:t>n que, durante el pe</w:t>
      </w:r>
      <w:r>
        <w:rPr>
          <w:lang w:val="es-ES_tradnl"/>
        </w:rPr>
        <w:t>rí</w:t>
      </w:r>
      <w:r w:rsidRPr="00035034">
        <w:rPr>
          <w:lang w:val="es-ES_tradnl"/>
        </w:rPr>
        <w:t xml:space="preserve">odo </w:t>
      </w:r>
      <w:r>
        <w:rPr>
          <w:lang w:val="es-ES_tradnl"/>
        </w:rPr>
        <w:t xml:space="preserve">entre </w:t>
      </w:r>
      <w:r w:rsidRPr="00035034">
        <w:rPr>
          <w:lang w:val="es-ES_tradnl"/>
        </w:rPr>
        <w:t xml:space="preserve">1977 </w:t>
      </w:r>
      <w:r>
        <w:rPr>
          <w:lang w:val="es-ES_tradnl"/>
        </w:rPr>
        <w:t>y</w:t>
      </w:r>
      <w:r w:rsidRPr="00035034">
        <w:rPr>
          <w:lang w:val="es-ES_tradnl"/>
        </w:rPr>
        <w:t xml:space="preserve"> 2003, el empleo relacionado a una mayor preparación académica (empleo diestro) ha jugado un rol principal en las etapas recientes del crecimiento económico de Puerto Rico. Esto es significativo y </w:t>
      </w:r>
      <w:r>
        <w:rPr>
          <w:lang w:val="es-ES_tradnl"/>
        </w:rPr>
        <w:t>le</w:t>
      </w:r>
      <w:r w:rsidRPr="00035034">
        <w:rPr>
          <w:lang w:val="es-ES_tradnl"/>
        </w:rPr>
        <w:t>s llev</w:t>
      </w:r>
      <w:r>
        <w:rPr>
          <w:lang w:val="es-ES_tradnl"/>
        </w:rPr>
        <w:t>ó</w:t>
      </w:r>
      <w:r w:rsidRPr="00035034">
        <w:rPr>
          <w:lang w:val="es-ES_tradnl"/>
        </w:rPr>
        <w:t xml:space="preserve"> a concluir que ese aumento en el acervo de la fuerza trabajadora de mayor preparación académica ha sido inducido por una mayor inversión en capital humano privado y público. Además</w:t>
      </w:r>
      <w:r>
        <w:rPr>
          <w:lang w:val="es-ES_tradnl"/>
        </w:rPr>
        <w:t>,</w:t>
      </w:r>
      <w:r w:rsidRPr="00035034">
        <w:rPr>
          <w:lang w:val="es-ES_tradnl"/>
        </w:rPr>
        <w:t xml:space="preserve"> que este aumento se refleja en una mayor aportación de este capital al producto interno bruto </w:t>
      </w:r>
      <w:r>
        <w:rPr>
          <w:lang w:val="es-ES_tradnl"/>
        </w:rPr>
        <w:t xml:space="preserve"> (PIB) </w:t>
      </w:r>
      <w:r w:rsidRPr="00035034">
        <w:rPr>
          <w:lang w:val="es-ES_tradnl"/>
        </w:rPr>
        <w:t xml:space="preserve">de la </w:t>
      </w:r>
      <w:r>
        <w:rPr>
          <w:lang w:val="es-ES_tradnl"/>
        </w:rPr>
        <w:t>I</w:t>
      </w:r>
      <w:r w:rsidRPr="00035034">
        <w:rPr>
          <w:lang w:val="es-ES_tradnl"/>
        </w:rPr>
        <w:t>sla. Por ejemplo, al añadirse el capital humano al capital físico</w:t>
      </w:r>
      <w:r>
        <w:rPr>
          <w:lang w:val="es-ES_tradnl"/>
        </w:rPr>
        <w:t>,</w:t>
      </w:r>
      <w:r w:rsidRPr="00035034">
        <w:rPr>
          <w:lang w:val="es-ES_tradnl"/>
        </w:rPr>
        <w:t xml:space="preserve"> los resultados fueron sumamente significativos probando la hipótesis que se plante</w:t>
      </w:r>
      <w:r>
        <w:rPr>
          <w:lang w:val="es-ES_tradnl"/>
        </w:rPr>
        <w:t>ó</w:t>
      </w:r>
      <w:r w:rsidRPr="00035034">
        <w:rPr>
          <w:lang w:val="es-ES_tradnl"/>
        </w:rPr>
        <w:t xml:space="preserve"> en el trabajo (Ruiz, </w:t>
      </w:r>
      <w:r>
        <w:rPr>
          <w:lang w:val="es-ES_tradnl"/>
        </w:rPr>
        <w:t>Á</w:t>
      </w:r>
      <w:r w:rsidRPr="00035034">
        <w:rPr>
          <w:lang w:val="es-ES_tradnl"/>
        </w:rPr>
        <w:t xml:space="preserve">. y Glorimar Pérez, 2012). </w:t>
      </w:r>
    </w:p>
    <w:p w:rsidR="005A5E7D" w:rsidRPr="008E30AE" w:rsidRDefault="005A5E7D" w:rsidP="005A5E7D">
      <w:pPr>
        <w:spacing w:line="240" w:lineRule="auto"/>
        <w:rPr>
          <w:lang w:val="es-ES_tradnl"/>
        </w:rPr>
      </w:pPr>
      <w:r w:rsidRPr="008E30AE">
        <w:rPr>
          <w:lang w:val="es-ES_tradnl"/>
        </w:rPr>
        <w:t xml:space="preserve"> </w:t>
      </w:r>
    </w:p>
    <w:p w:rsidR="005A5E7D" w:rsidRPr="005710C2" w:rsidRDefault="005A5E7D" w:rsidP="005A5E7D">
      <w:pPr>
        <w:pStyle w:val="Heading2"/>
        <w:ind w:left="426" w:hanging="426"/>
      </w:pPr>
      <w:bookmarkStart w:id="43" w:name="_Toc384769742"/>
      <w:r>
        <w:t xml:space="preserve">Conclusiones </w:t>
      </w:r>
      <w:bookmarkEnd w:id="43"/>
    </w:p>
    <w:p w:rsidR="005A5E7D" w:rsidRDefault="005A5E7D" w:rsidP="005A5E7D">
      <w:pPr>
        <w:spacing w:line="360" w:lineRule="auto"/>
        <w:rPr>
          <w:lang w:val="es-ES_tradnl"/>
        </w:rPr>
      </w:pPr>
    </w:p>
    <w:p w:rsidR="005A5E7D" w:rsidRPr="00A73A4C" w:rsidRDefault="005A5E7D" w:rsidP="005A5E7D">
      <w:pPr>
        <w:rPr>
          <w:lang w:val="es-ES_tradnl"/>
        </w:rPr>
      </w:pPr>
      <w:r w:rsidRPr="00A73A4C">
        <w:rPr>
          <w:lang w:val="es-ES_tradnl"/>
        </w:rPr>
        <w:t>De lo reseñado en este capítulo</w:t>
      </w:r>
      <w:r>
        <w:rPr>
          <w:lang w:val="es-ES_tradnl"/>
        </w:rPr>
        <w:t>,</w:t>
      </w:r>
      <w:r w:rsidRPr="00A73A4C">
        <w:rPr>
          <w:lang w:val="es-ES_tradnl"/>
        </w:rPr>
        <w:t xml:space="preserve"> podemos concluir que gran parte del debate sobre el modelo de desarrollo y el estatus político ha girado en torno a los costos y beneficios de las diferentes opciones políticas para Puerto Rico, y a la exención contributiva federal como eje de la política de promoción industrial. Sin embarg</w:t>
      </w:r>
      <w:r>
        <w:rPr>
          <w:lang w:val="es-ES_tradnl"/>
        </w:rPr>
        <w:t>o, el análisis de la literatura</w:t>
      </w:r>
      <w:r w:rsidRPr="00A73A4C">
        <w:rPr>
          <w:lang w:val="es-ES_tradnl"/>
        </w:rPr>
        <w:t xml:space="preserve"> </w:t>
      </w:r>
      <w:r w:rsidRPr="008B456C">
        <w:t>—</w:t>
      </w:r>
      <w:r w:rsidRPr="00A73A4C">
        <w:rPr>
          <w:lang w:val="es-ES_tradnl"/>
        </w:rPr>
        <w:t>especial</w:t>
      </w:r>
      <w:r>
        <w:rPr>
          <w:lang w:val="es-ES_tradnl"/>
        </w:rPr>
        <w:t>mente</w:t>
      </w:r>
      <w:r w:rsidRPr="00A73A4C">
        <w:rPr>
          <w:lang w:val="es-ES_tradnl"/>
        </w:rPr>
        <w:t xml:space="preserve"> </w:t>
      </w:r>
      <w:r>
        <w:rPr>
          <w:lang w:val="es-ES_tradnl"/>
        </w:rPr>
        <w:t>d</w:t>
      </w:r>
      <w:r w:rsidRPr="00A73A4C">
        <w:rPr>
          <w:lang w:val="es-ES_tradnl"/>
        </w:rPr>
        <w:t>el libro editado por Ruiz y Meléndez</w:t>
      </w:r>
      <w:r>
        <w:rPr>
          <w:lang w:val="es-ES_tradnl"/>
        </w:rPr>
        <w:t xml:space="preserve"> (Ruiz, A. y E. Meléndez, 1998)</w:t>
      </w:r>
      <w:r w:rsidRPr="008B456C">
        <w:t>—</w:t>
      </w:r>
      <w:r w:rsidRPr="00A73A4C">
        <w:rPr>
          <w:lang w:val="es-ES_tradnl"/>
        </w:rPr>
        <w:t xml:space="preserve"> demuestra que ninguna de las </w:t>
      </w:r>
      <w:r>
        <w:rPr>
          <w:lang w:val="es-ES_tradnl"/>
        </w:rPr>
        <w:t>fórmulas goza de una ventaja sustancial sobre las otras</w:t>
      </w:r>
      <w:r w:rsidRPr="00A73A4C">
        <w:rPr>
          <w:lang w:val="es-ES_tradnl"/>
        </w:rPr>
        <w:t xml:space="preserve"> y que cualquier percepción de tal ventaja realmente depende de los supuestos </w:t>
      </w:r>
      <w:r>
        <w:rPr>
          <w:lang w:val="es-ES_tradnl"/>
        </w:rPr>
        <w:t>d</w:t>
      </w:r>
      <w:r w:rsidRPr="00A73A4C">
        <w:rPr>
          <w:lang w:val="es-ES_tradnl"/>
        </w:rPr>
        <w:t>el análisis. Mucha de la literatura de principio d</w:t>
      </w:r>
      <w:r>
        <w:rPr>
          <w:lang w:val="es-ES_tradnl"/>
        </w:rPr>
        <w:t>e la década del 1990 al 2000 le da gran énfasis a la S</w:t>
      </w:r>
      <w:r w:rsidRPr="00A73A4C">
        <w:rPr>
          <w:lang w:val="es-ES_tradnl"/>
        </w:rPr>
        <w:t>ección 936</w:t>
      </w:r>
      <w:r>
        <w:rPr>
          <w:lang w:val="es-ES_tradnl"/>
        </w:rPr>
        <w:t>,</w:t>
      </w:r>
      <w:r w:rsidRPr="00A73A4C">
        <w:rPr>
          <w:lang w:val="es-ES_tradnl"/>
        </w:rPr>
        <w:t xml:space="preserve"> eliminada en el 1995 y </w:t>
      </w:r>
      <w:r>
        <w:rPr>
          <w:lang w:val="es-ES_tradnl"/>
        </w:rPr>
        <w:t>con un perí</w:t>
      </w:r>
      <w:r w:rsidRPr="00A73A4C">
        <w:rPr>
          <w:lang w:val="es-ES_tradnl"/>
        </w:rPr>
        <w:t xml:space="preserve">odo transición hasta el año 2005. Nuevos análisis sobre el impacto económico de las diferentes opciones </w:t>
      </w:r>
      <w:r>
        <w:rPr>
          <w:lang w:val="es-ES_tradnl"/>
        </w:rPr>
        <w:t>de estatus</w:t>
      </w:r>
      <w:r w:rsidRPr="00A73A4C">
        <w:rPr>
          <w:lang w:val="es-ES_tradnl"/>
        </w:rPr>
        <w:t xml:space="preserve"> deben evaluar el efecto</w:t>
      </w:r>
      <w:r>
        <w:rPr>
          <w:lang w:val="es-ES_tradnl"/>
        </w:rPr>
        <w:t xml:space="preserve"> que ha causado la eliminación de la Sección 936</w:t>
      </w:r>
      <w:r w:rsidRPr="00A73A4C">
        <w:rPr>
          <w:lang w:val="es-ES_tradnl"/>
        </w:rPr>
        <w:t xml:space="preserve"> en la economía de </w:t>
      </w:r>
      <w:r>
        <w:rPr>
          <w:lang w:val="es-ES_tradnl"/>
        </w:rPr>
        <w:t>Puerto Rico</w:t>
      </w:r>
      <w:r w:rsidRPr="00A73A4C">
        <w:rPr>
          <w:lang w:val="es-ES_tradnl"/>
        </w:rPr>
        <w:t>.</w:t>
      </w:r>
    </w:p>
    <w:p w:rsidR="005A5E7D" w:rsidRPr="00A73A4C" w:rsidRDefault="005A5E7D" w:rsidP="005A5E7D">
      <w:pPr>
        <w:rPr>
          <w:lang w:val="es-ES_tradnl"/>
        </w:rPr>
      </w:pPr>
      <w:r w:rsidRPr="00A73A4C">
        <w:rPr>
          <w:lang w:val="es-ES_tradnl"/>
        </w:rPr>
        <w:t>E</w:t>
      </w:r>
      <w:r>
        <w:rPr>
          <w:lang w:val="es-ES_tradnl"/>
        </w:rPr>
        <w:t xml:space="preserve">l </w:t>
      </w:r>
      <w:r w:rsidRPr="00A73A4C">
        <w:rPr>
          <w:lang w:val="es-ES_tradnl"/>
        </w:rPr>
        <w:t xml:space="preserve">verdadero reto está en ir más allá del debate sobre las alternativas políticas. La mayor parte de las recomendaciones de política pública que se derivan de </w:t>
      </w:r>
      <w:r>
        <w:rPr>
          <w:lang w:val="es-ES_tradnl"/>
        </w:rPr>
        <w:t>la literatura</w:t>
      </w:r>
      <w:r w:rsidRPr="00A73A4C">
        <w:rPr>
          <w:lang w:val="es-ES_tradnl"/>
        </w:rPr>
        <w:t xml:space="preserve"> </w:t>
      </w:r>
      <w:r>
        <w:rPr>
          <w:lang w:val="es-ES_tradnl"/>
        </w:rPr>
        <w:t>reseñada</w:t>
      </w:r>
      <w:r w:rsidRPr="00A73A4C">
        <w:rPr>
          <w:lang w:val="es-ES_tradnl"/>
        </w:rPr>
        <w:t xml:space="preserve"> en este capítulo no dependen exclusivamente de una alternativa política. De hecho, las tres fórmulas </w:t>
      </w:r>
      <w:r>
        <w:rPr>
          <w:lang w:val="es-ES_tradnl"/>
        </w:rPr>
        <w:t>de estatus</w:t>
      </w:r>
      <w:r w:rsidRPr="00A73A4C">
        <w:rPr>
          <w:lang w:val="es-ES_tradnl"/>
        </w:rPr>
        <w:t xml:space="preserve"> pueden aspirar a beneficiarse de la prosperidad económica. Un mayor desarrollo económico promueve</w:t>
      </w:r>
      <w:r>
        <w:rPr>
          <w:lang w:val="es-ES_tradnl"/>
        </w:rPr>
        <w:t xml:space="preserve">, </w:t>
      </w:r>
      <w:r w:rsidRPr="00A73A4C">
        <w:rPr>
          <w:lang w:val="es-ES_tradnl"/>
        </w:rPr>
        <w:t>a su vez</w:t>
      </w:r>
      <w:r>
        <w:rPr>
          <w:lang w:val="es-ES_tradnl"/>
        </w:rPr>
        <w:t>,</w:t>
      </w:r>
      <w:r w:rsidRPr="00A73A4C">
        <w:rPr>
          <w:lang w:val="es-ES_tradnl"/>
        </w:rPr>
        <w:t xml:space="preserve"> soluciones políticas sin las restricciones que impone el estancamiento económico.</w:t>
      </w:r>
    </w:p>
    <w:p w:rsidR="005A5E7D" w:rsidRDefault="005A5E7D" w:rsidP="005A5E7D">
      <w:pPr>
        <w:rPr>
          <w:lang w:val="es-ES_tradnl"/>
        </w:rPr>
      </w:pPr>
      <w:r w:rsidRPr="00A73A4C">
        <w:rPr>
          <w:lang w:val="es-ES_tradnl"/>
        </w:rPr>
        <w:t xml:space="preserve">La mayor contribución de </w:t>
      </w:r>
      <w:r>
        <w:rPr>
          <w:lang w:val="es-ES_tradnl"/>
        </w:rPr>
        <w:t>l</w:t>
      </w:r>
      <w:r w:rsidRPr="00A73A4C">
        <w:rPr>
          <w:lang w:val="es-ES_tradnl"/>
        </w:rPr>
        <w:t xml:space="preserve">os trabajos de </w:t>
      </w:r>
      <w:r>
        <w:rPr>
          <w:lang w:val="es-ES_tradnl"/>
        </w:rPr>
        <w:t>este</w:t>
      </w:r>
      <w:r w:rsidRPr="00A73A4C">
        <w:rPr>
          <w:lang w:val="es-ES_tradnl"/>
        </w:rPr>
        <w:t xml:space="preserve"> grupo de catedráticos </w:t>
      </w:r>
      <w:r w:rsidRPr="008B456C">
        <w:t>—</w:t>
      </w:r>
      <w:r w:rsidRPr="00A73A4C">
        <w:rPr>
          <w:lang w:val="es-ES_tradnl"/>
        </w:rPr>
        <w:t>con una amplia gama de opiniones políticas</w:t>
      </w:r>
      <w:r>
        <w:rPr>
          <w:lang w:val="es-ES_tradnl"/>
        </w:rPr>
        <w:t>,</w:t>
      </w:r>
      <w:r w:rsidRPr="00A73A4C">
        <w:rPr>
          <w:lang w:val="es-ES_tradnl"/>
        </w:rPr>
        <w:t xml:space="preserve"> y que han llevado a cabo investigaci</w:t>
      </w:r>
      <w:r>
        <w:rPr>
          <w:lang w:val="es-ES_tradnl"/>
        </w:rPr>
        <w:t>ones y análisis</w:t>
      </w:r>
      <w:r w:rsidRPr="00A73A4C">
        <w:rPr>
          <w:lang w:val="es-ES_tradnl"/>
        </w:rPr>
        <w:t xml:space="preserve"> no partidista</w:t>
      </w:r>
      <w:r>
        <w:rPr>
          <w:lang w:val="es-ES_tradnl"/>
        </w:rPr>
        <w:t>s</w:t>
      </w:r>
      <w:r w:rsidRPr="008B456C">
        <w:t>—</w:t>
      </w:r>
      <w:r w:rsidRPr="00A73A4C">
        <w:rPr>
          <w:lang w:val="es-ES_tradnl"/>
        </w:rPr>
        <w:t xml:space="preserve"> consiste en demostrar</w:t>
      </w:r>
      <w:r>
        <w:rPr>
          <w:lang w:val="es-ES_tradnl"/>
        </w:rPr>
        <w:t>,</w:t>
      </w:r>
      <w:r w:rsidRPr="00A73A4C">
        <w:rPr>
          <w:lang w:val="es-ES_tradnl"/>
        </w:rPr>
        <w:t xml:space="preserve"> por primera vez</w:t>
      </w:r>
      <w:r>
        <w:rPr>
          <w:lang w:val="es-ES_tradnl"/>
        </w:rPr>
        <w:t>,</w:t>
      </w:r>
      <w:r w:rsidRPr="00A73A4C">
        <w:rPr>
          <w:lang w:val="es-ES_tradnl"/>
        </w:rPr>
        <w:t xml:space="preserve"> la magnitud de las variables económicas en juego cuando se considera un cambio político. Cada una de las fórmulas políticas lleva implícita una serie de ventajas y desventajas, las cuales se han visto seriamente afectadas con la</w:t>
      </w:r>
      <w:r>
        <w:rPr>
          <w:lang w:val="es-ES_tradnl"/>
        </w:rPr>
        <w:t xml:space="preserve"> eliminación de la Sección 936.</w:t>
      </w:r>
    </w:p>
    <w:p w:rsidR="005A5E7D" w:rsidRPr="00A73A4C" w:rsidRDefault="005A5E7D" w:rsidP="005A5E7D">
      <w:pPr>
        <w:rPr>
          <w:lang w:val="es-ES_tradnl"/>
        </w:rPr>
      </w:pPr>
      <w:r w:rsidRPr="00A73A4C">
        <w:rPr>
          <w:lang w:val="es-ES_tradnl"/>
        </w:rPr>
        <w:t xml:space="preserve">El ELA puede todavía ofrecer una serie de ventajas sobre la estadidad o la independencia. Por ejemplo, los reglamentos laborales y ambientales de Puerto Rico, la estructura contributiva </w:t>
      </w:r>
      <w:r>
        <w:rPr>
          <w:lang w:val="es-ES_tradnl"/>
        </w:rPr>
        <w:t>de la Isla</w:t>
      </w:r>
      <w:r w:rsidRPr="00A73A4C">
        <w:rPr>
          <w:lang w:val="es-ES_tradnl"/>
        </w:rPr>
        <w:t>, los salarios y beneficios, así como otros costos</w:t>
      </w:r>
      <w:r>
        <w:rPr>
          <w:lang w:val="es-ES_tradnl"/>
        </w:rPr>
        <w:t>,</w:t>
      </w:r>
      <w:r w:rsidRPr="00A73A4C">
        <w:rPr>
          <w:lang w:val="es-ES_tradnl"/>
        </w:rPr>
        <w:t xml:space="preserve"> pueden atraer la inversión de ciertas empresas que preferirían </w:t>
      </w:r>
      <w:r>
        <w:rPr>
          <w:lang w:val="es-ES_tradnl"/>
        </w:rPr>
        <w:t xml:space="preserve">a </w:t>
      </w:r>
      <w:r w:rsidRPr="00A73A4C">
        <w:rPr>
          <w:lang w:val="es-ES_tradnl"/>
        </w:rPr>
        <w:t xml:space="preserve">Puerto Rico </w:t>
      </w:r>
      <w:r>
        <w:rPr>
          <w:lang w:val="es-ES_tradnl"/>
        </w:rPr>
        <w:t>sobre</w:t>
      </w:r>
      <w:r w:rsidRPr="00A73A4C">
        <w:rPr>
          <w:lang w:val="es-ES_tradnl"/>
        </w:rPr>
        <w:t xml:space="preserve"> estados </w:t>
      </w:r>
      <w:r>
        <w:rPr>
          <w:lang w:val="es-ES_tradnl"/>
        </w:rPr>
        <w:t>de</w:t>
      </w:r>
      <w:r w:rsidRPr="00A73A4C">
        <w:rPr>
          <w:lang w:val="es-ES_tradnl"/>
        </w:rPr>
        <w:t xml:space="preserve"> Estados Unidos. De igual modo,</w:t>
      </w:r>
      <w:r>
        <w:rPr>
          <w:lang w:val="es-ES_tradnl"/>
        </w:rPr>
        <w:t xml:space="preserve"> </w:t>
      </w:r>
      <w:r w:rsidRPr="00A73A4C">
        <w:rPr>
          <w:lang w:val="es-ES_tradnl"/>
        </w:rPr>
        <w:t>favorece al ELA la protección legal y los derechos sobre la propiedad, la integración financiera y otros factores relacionados con la asociación que tiene Puerto Rico con Estados Unidos. En esta reseña se incluyen recomendaciones que se pueden adoptar</w:t>
      </w:r>
      <w:r>
        <w:rPr>
          <w:lang w:val="es-ES_tradnl"/>
        </w:rPr>
        <w:t>,</w:t>
      </w:r>
      <w:r w:rsidRPr="00A73A4C">
        <w:rPr>
          <w:lang w:val="es-ES_tradnl"/>
        </w:rPr>
        <w:t xml:space="preserve"> sin necesidad de un cambio en el estatus político. </w:t>
      </w:r>
    </w:p>
    <w:p w:rsidR="005A5E7D" w:rsidRDefault="005A5E7D" w:rsidP="005A5E7D">
      <w:pPr>
        <w:rPr>
          <w:lang w:val="es-ES_tradnl"/>
        </w:rPr>
      </w:pPr>
      <w:r w:rsidRPr="00A73A4C">
        <w:rPr>
          <w:lang w:val="es-ES_tradnl"/>
        </w:rPr>
        <w:t>La eliminación de la Sección 936 aument</w:t>
      </w:r>
      <w:r>
        <w:rPr>
          <w:lang w:val="es-ES_tradnl"/>
        </w:rPr>
        <w:t xml:space="preserve">ó </w:t>
      </w:r>
      <w:r w:rsidRPr="00A73A4C">
        <w:rPr>
          <w:lang w:val="es-ES_tradnl"/>
        </w:rPr>
        <w:t xml:space="preserve">claramente el atractivo de la estadidad. La mayoría de estudios sobre el ELA </w:t>
      </w:r>
      <w:r>
        <w:rPr>
          <w:lang w:val="es-ES_tradnl"/>
        </w:rPr>
        <w:t>partieron de la premisa de</w:t>
      </w:r>
      <w:r w:rsidRPr="00A73A4C">
        <w:rPr>
          <w:lang w:val="es-ES_tradnl"/>
        </w:rPr>
        <w:t xml:space="preserve"> la continuación de los beneficios contributivos de la Sección 936. La posibilidad de que los créditos salariales </w:t>
      </w:r>
      <w:r>
        <w:rPr>
          <w:lang w:val="es-ES_tradnl"/>
        </w:rPr>
        <w:t>fuese</w:t>
      </w:r>
      <w:r w:rsidRPr="00A73A4C">
        <w:rPr>
          <w:lang w:val="es-ES_tradnl"/>
        </w:rPr>
        <w:t xml:space="preserve">n menos ventajosos para el ELA que los que ofrecía la Sección 936, aumenta la importancia de las transferencias federales y su impacto en el debate político. En la medida en que el ELA pueda lograr paridad con </w:t>
      </w:r>
      <w:r>
        <w:rPr>
          <w:lang w:val="es-ES_tradnl"/>
        </w:rPr>
        <w:t>l</w:t>
      </w:r>
      <w:r w:rsidRPr="00A73A4C">
        <w:rPr>
          <w:lang w:val="es-ES_tradnl"/>
        </w:rPr>
        <w:t>os estados en lo relativo a programas y presupuesto, en esa medida se reduce</w:t>
      </w:r>
      <w:r>
        <w:rPr>
          <w:lang w:val="es-ES_tradnl"/>
        </w:rPr>
        <w:t>n las ventajas de la estadidad.</w:t>
      </w:r>
    </w:p>
    <w:p w:rsidR="005A5E7D" w:rsidRPr="00A73A4C" w:rsidRDefault="005A5E7D" w:rsidP="005A5E7D">
      <w:pPr>
        <w:rPr>
          <w:lang w:val="es-ES_tradnl"/>
        </w:rPr>
      </w:pPr>
      <w:r w:rsidRPr="00A73A4C">
        <w:rPr>
          <w:lang w:val="es-ES_tradnl"/>
        </w:rPr>
        <w:t>Desafortunadamente, la paridad en el presupuesto federal se vuelve menos importante cuando los estados asumen más responsabilidad fiscal por los programas de a</w:t>
      </w:r>
      <w:r>
        <w:rPr>
          <w:lang w:val="es-ES_tradnl"/>
        </w:rPr>
        <w:t>sistencia pública y</w:t>
      </w:r>
      <w:r w:rsidRPr="00A73A4C">
        <w:rPr>
          <w:lang w:val="es-ES_tradnl"/>
        </w:rPr>
        <w:t xml:space="preserve"> de salud, así como otros programas federales que se están consolidando bajo bloques presupuestarios. En estas condiciones, cuando se están reduciendo las transferencias federales a los estados, la estadidad pierde el atractivo que tenía en el pasado.</w:t>
      </w:r>
    </w:p>
    <w:p w:rsidR="005A5E7D" w:rsidRDefault="005A5E7D" w:rsidP="005A5E7D">
      <w:pPr>
        <w:rPr>
          <w:lang w:val="es-ES_tradnl"/>
        </w:rPr>
      </w:pPr>
      <w:r w:rsidRPr="00A73A4C">
        <w:rPr>
          <w:lang w:val="es-ES_tradnl"/>
        </w:rPr>
        <w:t>A pesar de la información que se reseña en este capítulo, el problema de las opciones políticas no podrá</w:t>
      </w:r>
      <w:r>
        <w:rPr>
          <w:lang w:val="es-ES_tradnl"/>
        </w:rPr>
        <w:t xml:space="preserve"> decidirse, </w:t>
      </w:r>
      <w:r w:rsidRPr="00A73A4C">
        <w:rPr>
          <w:lang w:val="es-ES_tradnl"/>
        </w:rPr>
        <w:t>n</w:t>
      </w:r>
      <w:r>
        <w:rPr>
          <w:lang w:val="es-ES_tradnl"/>
        </w:rPr>
        <w:t>i</w:t>
      </w:r>
      <w:r w:rsidRPr="00A73A4C">
        <w:rPr>
          <w:lang w:val="es-ES_tradnl"/>
        </w:rPr>
        <w:t xml:space="preserve"> se decidirá, basándose solamente en consideraciones económicas. Por ejemplo, Bigelow coment</w:t>
      </w:r>
      <w:r>
        <w:rPr>
          <w:lang w:val="es-ES_tradnl"/>
        </w:rPr>
        <w:t>ó</w:t>
      </w:r>
      <w:r w:rsidRPr="00A73A4C">
        <w:rPr>
          <w:lang w:val="es-ES_tradnl"/>
        </w:rPr>
        <w:t xml:space="preserve"> que</w:t>
      </w:r>
      <w:r>
        <w:rPr>
          <w:lang w:val="es-ES_tradnl"/>
        </w:rPr>
        <w:t xml:space="preserve"> “</w:t>
      </w:r>
      <w:r w:rsidRPr="00A73A4C">
        <w:rPr>
          <w:lang w:val="es-ES_tradnl"/>
        </w:rPr>
        <w:t>si bien es cierto que los análisis de costo-beneficio económico son herramientas valiosas</w:t>
      </w:r>
      <w:r>
        <w:rPr>
          <w:lang w:val="es-ES_tradnl"/>
        </w:rPr>
        <w:t>”</w:t>
      </w:r>
      <w:r w:rsidRPr="00A73A4C">
        <w:rPr>
          <w:lang w:val="es-ES_tradnl"/>
        </w:rPr>
        <w:t>, no captan</w:t>
      </w:r>
      <w:r>
        <w:rPr>
          <w:lang w:val="es-ES_tradnl"/>
        </w:rPr>
        <w:t xml:space="preserve"> plenamente los aspectos socio</w:t>
      </w:r>
      <w:r w:rsidRPr="00A73A4C">
        <w:rPr>
          <w:lang w:val="es-ES_tradnl"/>
        </w:rPr>
        <w:t>culturales</w:t>
      </w:r>
      <w:r>
        <w:rPr>
          <w:lang w:val="es-ES_tradnl"/>
        </w:rPr>
        <w:t xml:space="preserve"> </w:t>
      </w:r>
      <w:r w:rsidRPr="00A73A4C">
        <w:rPr>
          <w:lang w:val="es-ES_tradnl"/>
        </w:rPr>
        <w:t xml:space="preserve">del debate sobre el </w:t>
      </w:r>
      <w:r>
        <w:rPr>
          <w:lang w:val="es-ES_tradnl"/>
        </w:rPr>
        <w:t>e</w:t>
      </w:r>
      <w:r w:rsidRPr="00A73A4C">
        <w:rPr>
          <w:lang w:val="es-ES_tradnl"/>
        </w:rPr>
        <w:t>status</w:t>
      </w:r>
      <w:r>
        <w:rPr>
          <w:lang w:val="es-ES_tradnl"/>
        </w:rPr>
        <w:t>. S</w:t>
      </w:r>
      <w:r w:rsidRPr="00A73A4C">
        <w:rPr>
          <w:lang w:val="es-ES_tradnl"/>
        </w:rPr>
        <w:t>ost</w:t>
      </w:r>
      <w:r>
        <w:rPr>
          <w:lang w:val="es-ES_tradnl"/>
        </w:rPr>
        <w:t>uv</w:t>
      </w:r>
      <w:r w:rsidRPr="00A73A4C">
        <w:rPr>
          <w:lang w:val="es-ES_tradnl"/>
        </w:rPr>
        <w:t xml:space="preserve">o que la identificación del debate sobre el </w:t>
      </w:r>
      <w:r>
        <w:rPr>
          <w:lang w:val="es-ES_tradnl"/>
        </w:rPr>
        <w:t>e</w:t>
      </w:r>
      <w:r w:rsidRPr="00A73A4C">
        <w:rPr>
          <w:lang w:val="es-ES_tradnl"/>
        </w:rPr>
        <w:t xml:space="preserve">status en el ámbito de las cuestiones morales acomoda mejor todos los aspectos de la condición política de Puerto Rico, incluyendo tanto los que se han estudiado en detalle </w:t>
      </w:r>
      <w:r>
        <w:rPr>
          <w:lang w:val="es-ES_tradnl"/>
        </w:rPr>
        <w:t>(</w:t>
      </w:r>
      <w:r w:rsidRPr="00A73A4C">
        <w:rPr>
          <w:lang w:val="es-ES_tradnl"/>
        </w:rPr>
        <w:t>análisis econó</w:t>
      </w:r>
      <w:r>
        <w:rPr>
          <w:lang w:val="es-ES_tradnl"/>
        </w:rPr>
        <w:t>micos e ideológicos) y aquellos</w:t>
      </w:r>
      <w:r w:rsidRPr="00A73A4C">
        <w:rPr>
          <w:lang w:val="es-ES_tradnl"/>
        </w:rPr>
        <w:t xml:space="preserve"> que </w:t>
      </w:r>
      <w:r>
        <w:rPr>
          <w:lang w:val="es-ES_tradnl"/>
        </w:rPr>
        <w:t xml:space="preserve">se </w:t>
      </w:r>
      <w:r w:rsidRPr="00A73A4C">
        <w:rPr>
          <w:lang w:val="es-ES_tradnl"/>
        </w:rPr>
        <w:t xml:space="preserve">han </w:t>
      </w:r>
      <w:r>
        <w:rPr>
          <w:lang w:val="es-ES_tradnl"/>
        </w:rPr>
        <w:t>ignorado</w:t>
      </w:r>
      <w:r w:rsidRPr="00A73A4C">
        <w:rPr>
          <w:lang w:val="es-ES_tradnl"/>
        </w:rPr>
        <w:t xml:space="preserve"> por la erudición tradici</w:t>
      </w:r>
      <w:r>
        <w:rPr>
          <w:lang w:val="es-ES_tradnl"/>
        </w:rPr>
        <w:t>onal, p</w:t>
      </w:r>
      <w:r w:rsidRPr="00A73A4C">
        <w:rPr>
          <w:lang w:val="es-ES_tradnl"/>
        </w:rPr>
        <w:t>or ejemplo</w:t>
      </w:r>
      <w:r>
        <w:rPr>
          <w:lang w:val="es-ES_tradnl"/>
        </w:rPr>
        <w:t xml:space="preserve">, el aspecto moral </w:t>
      </w:r>
      <w:r w:rsidRPr="00A73A4C">
        <w:rPr>
          <w:lang w:val="es-ES_tradnl"/>
        </w:rPr>
        <w:t>(Bigelow, Justin, 2007)</w:t>
      </w:r>
      <w:r>
        <w:rPr>
          <w:lang w:val="es-ES_tradnl"/>
        </w:rPr>
        <w:t>.</w:t>
      </w:r>
    </w:p>
    <w:p w:rsidR="005A5E7D" w:rsidRDefault="005A5E7D" w:rsidP="005A5E7D">
      <w:pPr>
        <w:rPr>
          <w:lang w:val="es-ES_tradnl"/>
        </w:rPr>
      </w:pPr>
      <w:r w:rsidRPr="00A73A4C">
        <w:rPr>
          <w:lang w:val="es-ES_tradnl"/>
        </w:rPr>
        <w:t>Previos debates congresionales que consideraron las opciones políticas para Puerto Rico indica</w:t>
      </w:r>
      <w:r>
        <w:rPr>
          <w:lang w:val="es-ES_tradnl"/>
        </w:rPr>
        <w:t>ro</w:t>
      </w:r>
      <w:r w:rsidRPr="00A73A4C">
        <w:rPr>
          <w:lang w:val="es-ES_tradnl"/>
        </w:rPr>
        <w:t xml:space="preserve">n claramente que hay consideraciones culturales, lingüísticas, políticas y raciales que afectan tanto la opinión pública como la postura que adopte el </w:t>
      </w:r>
      <w:r>
        <w:rPr>
          <w:lang w:val="es-ES_tradnl"/>
        </w:rPr>
        <w:t>C</w:t>
      </w:r>
      <w:r w:rsidRPr="00A73A4C">
        <w:rPr>
          <w:lang w:val="es-ES_tradnl"/>
        </w:rPr>
        <w:t>ongreso estadounidense. En muchas áreas, el efecto de un cambio político en Puerto Rico es relativamente mínimo. Por ejemplo, la estadidad o la continuación del ELA producen alteraciones mínimas en la composición o en el nivel migratorio. Solamente las restricciones estructurales asociadas con la independencia afectarían susta</w:t>
      </w:r>
      <w:r>
        <w:rPr>
          <w:lang w:val="es-ES_tradnl"/>
        </w:rPr>
        <w:t>ncialmente el flujo migratorio.</w:t>
      </w:r>
    </w:p>
    <w:p w:rsidR="005A5E7D" w:rsidRPr="00A73A4C" w:rsidRDefault="005A5E7D" w:rsidP="005A5E7D">
      <w:pPr>
        <w:rPr>
          <w:lang w:val="es-ES_tradnl"/>
        </w:rPr>
      </w:pPr>
      <w:r w:rsidRPr="00A73A4C">
        <w:rPr>
          <w:lang w:val="es-ES_tradnl"/>
        </w:rPr>
        <w:t>Por último, queda advertir que quizás las consecuencias económicas no sean los elementos más críticos cuando los puertorriqueños, o el Congreso, consideren las opciones políticas para Puerto Rico. Los trabajos que se reseñan en este capítulo no ent</w:t>
      </w:r>
      <w:r>
        <w:rPr>
          <w:lang w:val="es-ES_tradnl"/>
        </w:rPr>
        <w:t xml:space="preserve">ran a considerar </w:t>
      </w:r>
      <w:r w:rsidRPr="008B456C">
        <w:t>—</w:t>
      </w:r>
      <w:r>
        <w:rPr>
          <w:lang w:val="es-ES_tradnl"/>
        </w:rPr>
        <w:t>por lo menos en forma explí</w:t>
      </w:r>
      <w:r w:rsidRPr="00A73A4C">
        <w:rPr>
          <w:lang w:val="es-ES_tradnl"/>
        </w:rPr>
        <w:t>cita</w:t>
      </w:r>
      <w:r w:rsidRPr="008B456C">
        <w:t>—</w:t>
      </w:r>
      <w:r w:rsidRPr="00A73A4C">
        <w:rPr>
          <w:lang w:val="es-ES_tradnl"/>
        </w:rPr>
        <w:t xml:space="preserve"> en el análisis de los posibles efectos de las diferentes opciones políticas</w:t>
      </w:r>
      <w:r>
        <w:rPr>
          <w:lang w:val="es-ES_tradnl"/>
        </w:rPr>
        <w:t xml:space="preserve"> sobre la competitividad de la I</w:t>
      </w:r>
      <w:r w:rsidRPr="00A73A4C">
        <w:rPr>
          <w:lang w:val="es-ES_tradnl"/>
        </w:rPr>
        <w:t>sla en los mercados mundiales</w:t>
      </w:r>
      <w:r>
        <w:rPr>
          <w:lang w:val="es-ES_tradnl"/>
        </w:rPr>
        <w:t>.</w:t>
      </w:r>
    </w:p>
    <w:p w:rsidR="005A5E7D" w:rsidRPr="00EB4527" w:rsidRDefault="005A5E7D" w:rsidP="005A5E7D">
      <w:pPr>
        <w:rPr>
          <w:lang w:val="es-ES_tradnl"/>
        </w:rPr>
      </w:pPr>
      <w:r w:rsidRPr="00A73A4C">
        <w:rPr>
          <w:lang w:val="es-ES_tradnl"/>
        </w:rPr>
        <w:t>En el informe del Banco de</w:t>
      </w:r>
      <w:r>
        <w:rPr>
          <w:lang w:val="es-ES_tradnl"/>
        </w:rPr>
        <w:t xml:space="preserve"> </w:t>
      </w:r>
      <w:r w:rsidRPr="00A73A4C">
        <w:rPr>
          <w:lang w:val="es-ES_tradnl"/>
        </w:rPr>
        <w:t xml:space="preserve">la Reserva Federal de Nueva York </w:t>
      </w:r>
      <w:r>
        <w:rPr>
          <w:lang w:val="es-ES_tradnl"/>
        </w:rPr>
        <w:t>sobre competitividad (29 de junio de</w:t>
      </w:r>
      <w:r w:rsidRPr="00A73A4C">
        <w:rPr>
          <w:lang w:val="es-ES_tradnl"/>
        </w:rPr>
        <w:t xml:space="preserve"> 2012</w:t>
      </w:r>
      <w:r>
        <w:rPr>
          <w:lang w:val="es-ES_tradnl"/>
        </w:rPr>
        <w:t>)</w:t>
      </w:r>
      <w:r w:rsidRPr="00A73A4C">
        <w:rPr>
          <w:lang w:val="es-ES_tradnl"/>
        </w:rPr>
        <w:t xml:space="preserve"> se h</w:t>
      </w:r>
      <w:r>
        <w:rPr>
          <w:lang w:val="es-ES_tradnl"/>
        </w:rPr>
        <w:t>iciero</w:t>
      </w:r>
      <w:r w:rsidRPr="00A73A4C">
        <w:rPr>
          <w:lang w:val="es-ES_tradnl"/>
        </w:rPr>
        <w:t>n</w:t>
      </w:r>
      <w:r>
        <w:rPr>
          <w:lang w:val="es-ES_tradnl"/>
        </w:rPr>
        <w:t xml:space="preserve"> </w:t>
      </w:r>
      <w:r w:rsidRPr="00A73A4C">
        <w:rPr>
          <w:lang w:val="es-ES_tradnl"/>
        </w:rPr>
        <w:t xml:space="preserve">cinco recomendaciones encaminadas a aumentar la competitividad de </w:t>
      </w:r>
      <w:r>
        <w:rPr>
          <w:lang w:val="es-ES_tradnl"/>
        </w:rPr>
        <w:t>Puerto Rico</w:t>
      </w:r>
      <w:r w:rsidRPr="00A73A4C">
        <w:rPr>
          <w:lang w:val="es-ES_tradnl"/>
        </w:rPr>
        <w:t>. Entre otras, me parece muy acertada la recomendación relacionada al aumento en la creación de empleo</w:t>
      </w:r>
      <w:r>
        <w:rPr>
          <w:lang w:val="es-ES_tradnl"/>
        </w:rPr>
        <w:t>s</w:t>
      </w:r>
      <w:r w:rsidRPr="00A73A4C">
        <w:rPr>
          <w:lang w:val="es-ES_tradnl"/>
        </w:rPr>
        <w:t xml:space="preserve"> y la tasa de participación de la fuerza laboral, especialmente entre la población m</w:t>
      </w:r>
      <w:r>
        <w:rPr>
          <w:lang w:val="es-ES_tradnl"/>
        </w:rPr>
        <w:t>á</w:t>
      </w:r>
      <w:r w:rsidRPr="00A73A4C">
        <w:rPr>
          <w:lang w:val="es-ES_tradnl"/>
        </w:rPr>
        <w:t xml:space="preserve">s joven. </w:t>
      </w:r>
      <w:r w:rsidRPr="00A73A4C">
        <w:rPr>
          <w:lang w:val="es-ES_tradnl"/>
        </w:rPr>
        <w:tab/>
      </w:r>
      <w:r>
        <w:rPr>
          <w:lang w:val="es-ES_tradnl"/>
        </w:rPr>
        <w:t>O</w:t>
      </w:r>
      <w:r w:rsidRPr="00A73A4C">
        <w:rPr>
          <w:lang w:val="es-ES_tradnl"/>
        </w:rPr>
        <w:t xml:space="preserve">tra recomendación </w:t>
      </w:r>
      <w:r>
        <w:rPr>
          <w:lang w:val="es-ES_tradnl"/>
        </w:rPr>
        <w:t>que también</w:t>
      </w:r>
      <w:r w:rsidRPr="00A73A4C">
        <w:rPr>
          <w:lang w:val="es-ES_tradnl"/>
        </w:rPr>
        <w:t xml:space="preserve"> me parece muy acertada</w:t>
      </w:r>
      <w:r>
        <w:rPr>
          <w:lang w:val="es-ES_tradnl"/>
        </w:rPr>
        <w:t xml:space="preserve"> es la que propone </w:t>
      </w:r>
      <w:r w:rsidRPr="00E2590D">
        <w:rPr>
          <w:lang w:val="es-ES_tradnl"/>
        </w:rPr>
        <w:t xml:space="preserve">fomentar las asociaciones entre la industria y </w:t>
      </w:r>
      <w:r>
        <w:rPr>
          <w:lang w:val="es-ES_tradnl"/>
        </w:rPr>
        <w:t xml:space="preserve">los </w:t>
      </w:r>
      <w:r w:rsidRPr="00E2590D">
        <w:rPr>
          <w:lang w:val="es-ES_tradnl"/>
        </w:rPr>
        <w:t>centros de educación superior y las universidades</w:t>
      </w:r>
      <w:r>
        <w:rPr>
          <w:lang w:val="es-ES_tradnl"/>
        </w:rPr>
        <w:t>,</w:t>
      </w:r>
      <w:r w:rsidRPr="00E2590D">
        <w:rPr>
          <w:lang w:val="es-ES_tradnl"/>
        </w:rPr>
        <w:t xml:space="preserve"> encaminadas a promover el desarrollo de tecnologías</w:t>
      </w:r>
      <w:r>
        <w:rPr>
          <w:lang w:val="es-ES_tradnl"/>
        </w:rPr>
        <w:t xml:space="preserve"> </w:t>
      </w:r>
      <w:r w:rsidRPr="00E2590D">
        <w:rPr>
          <w:lang w:val="es-ES_tradnl"/>
        </w:rPr>
        <w:t>de “importancia mundial”.</w:t>
      </w:r>
      <w:r>
        <w:rPr>
          <w:lang w:val="es-ES_tradnl"/>
        </w:rPr>
        <w:t xml:space="preserve"> Tiene</w:t>
      </w:r>
      <w:r w:rsidRPr="00A73A4C">
        <w:rPr>
          <w:lang w:val="es-ES_tradnl"/>
        </w:rPr>
        <w:t xml:space="preserve"> dos recomendaciones </w:t>
      </w:r>
      <w:r>
        <w:rPr>
          <w:lang w:val="es-ES_tradnl"/>
        </w:rPr>
        <w:t xml:space="preserve">adicionales </w:t>
      </w:r>
      <w:r w:rsidRPr="00A73A4C">
        <w:rPr>
          <w:lang w:val="es-ES_tradnl"/>
        </w:rPr>
        <w:t>que son novedosas</w:t>
      </w:r>
      <w:r>
        <w:rPr>
          <w:lang w:val="es-ES_tradnl"/>
        </w:rPr>
        <w:t>; u</w:t>
      </w:r>
      <w:r w:rsidRPr="00E2590D">
        <w:rPr>
          <w:szCs w:val="20"/>
          <w:lang w:val="es-ES_tradnl"/>
        </w:rPr>
        <w:t xml:space="preserve">na </w:t>
      </w:r>
      <w:r>
        <w:rPr>
          <w:szCs w:val="20"/>
          <w:lang w:val="es-ES_tradnl"/>
        </w:rPr>
        <w:t>propone</w:t>
      </w:r>
      <w:r w:rsidRPr="00E2590D">
        <w:rPr>
          <w:szCs w:val="20"/>
          <w:lang w:val="es-ES_tradnl"/>
        </w:rPr>
        <w:t xml:space="preserve"> reducir el salario mínimo para jóvenes como una manera de promover el empleo y la otra recom</w:t>
      </w:r>
      <w:r>
        <w:rPr>
          <w:szCs w:val="20"/>
          <w:lang w:val="es-ES_tradnl"/>
        </w:rPr>
        <w:t>ienda</w:t>
      </w:r>
      <w:r w:rsidRPr="00E2590D">
        <w:rPr>
          <w:szCs w:val="20"/>
          <w:lang w:val="es-ES_tradnl"/>
        </w:rPr>
        <w:t xml:space="preserve"> una moratoria en la aplicación de la Ley de Cabotaje. </w:t>
      </w:r>
      <w:r>
        <w:rPr>
          <w:szCs w:val="20"/>
          <w:lang w:val="es-ES_tradnl"/>
        </w:rPr>
        <w:t>En mi opinión, a</w:t>
      </w:r>
      <w:r w:rsidRPr="00A73A4C">
        <w:rPr>
          <w:szCs w:val="20"/>
          <w:lang w:val="es-ES_tradnl"/>
        </w:rPr>
        <w:t xml:space="preserve">mbas </w:t>
      </w:r>
      <w:r>
        <w:rPr>
          <w:szCs w:val="20"/>
          <w:lang w:val="es-ES_tradnl"/>
        </w:rPr>
        <w:t>se</w:t>
      </w:r>
      <w:r w:rsidRPr="00A73A4C">
        <w:rPr>
          <w:szCs w:val="20"/>
          <w:lang w:val="es-ES_tradnl"/>
        </w:rPr>
        <w:t xml:space="preserve"> basa</w:t>
      </w:r>
      <w:r>
        <w:rPr>
          <w:szCs w:val="20"/>
          <w:lang w:val="es-ES_tradnl"/>
        </w:rPr>
        <w:t>n</w:t>
      </w:r>
      <w:r w:rsidRPr="00A73A4C">
        <w:rPr>
          <w:szCs w:val="20"/>
          <w:lang w:val="es-ES_tradnl"/>
        </w:rPr>
        <w:t xml:space="preserve"> en muy poco análisis y sus fundamentos son cuestionables.</w:t>
      </w:r>
    </w:p>
    <w:p w:rsidR="005A5E7D" w:rsidRDefault="005A5E7D" w:rsidP="005A5E7D">
      <w:pPr>
        <w:rPr>
          <w:lang w:val="es-ES_tradnl"/>
        </w:rPr>
      </w:pPr>
      <w:r w:rsidRPr="00A73A4C">
        <w:rPr>
          <w:lang w:val="es-ES_tradnl"/>
        </w:rPr>
        <w:t>En cuanto a lograr una exención temporal de la Ley Jones</w:t>
      </w:r>
      <w:r>
        <w:rPr>
          <w:lang w:val="es-ES_tradnl"/>
        </w:rPr>
        <w:t xml:space="preserve"> </w:t>
      </w:r>
      <w:r w:rsidRPr="008B456C">
        <w:t>—</w:t>
      </w:r>
      <w:r>
        <w:rPr>
          <w:lang w:val="es-ES_tradnl"/>
        </w:rPr>
        <w:t xml:space="preserve">por ejemplo, </w:t>
      </w:r>
      <w:r w:rsidRPr="00E2590D">
        <w:rPr>
          <w:lang w:val="es-ES_tradnl"/>
        </w:rPr>
        <w:t>durante cinco años</w:t>
      </w:r>
      <w:r w:rsidRPr="008B456C">
        <w:t>—</w:t>
      </w:r>
      <w:r w:rsidRPr="00E2590D">
        <w:rPr>
          <w:lang w:val="es-ES_tradnl"/>
        </w:rPr>
        <w:t xml:space="preserve"> es una buena idea siempre y cuando se tome en serio </w:t>
      </w:r>
      <w:r>
        <w:rPr>
          <w:lang w:val="es-ES_tradnl"/>
        </w:rPr>
        <w:t>l</w:t>
      </w:r>
      <w:r w:rsidRPr="00E2590D">
        <w:rPr>
          <w:lang w:val="es-ES_tradnl"/>
        </w:rPr>
        <w:t>a recomendación</w:t>
      </w:r>
      <w:r>
        <w:rPr>
          <w:lang w:val="es-ES_tradnl"/>
        </w:rPr>
        <w:t>,</w:t>
      </w:r>
      <w:r w:rsidRPr="00E2590D">
        <w:rPr>
          <w:lang w:val="es-ES_tradnl"/>
        </w:rPr>
        <w:t xml:space="preserve"> no sin antes llevar a cabo un estudio en el cual se midan los costos comparativos de las diferentes marinas mercantes</w:t>
      </w:r>
      <w:r>
        <w:rPr>
          <w:lang w:val="es-ES_tradnl"/>
        </w:rPr>
        <w:t xml:space="preserve">. </w:t>
      </w:r>
      <w:r w:rsidRPr="00E2590D">
        <w:rPr>
          <w:lang w:val="es-ES_tradnl"/>
        </w:rPr>
        <w:t xml:space="preserve">Cabe la posibilidad </w:t>
      </w:r>
      <w:r>
        <w:rPr>
          <w:lang w:val="es-ES_tradnl"/>
        </w:rPr>
        <w:t xml:space="preserve">de </w:t>
      </w:r>
      <w:r w:rsidRPr="00E2590D">
        <w:rPr>
          <w:lang w:val="es-ES_tradnl"/>
        </w:rPr>
        <w:t>que la desventaja para Puerto Rico bajo este estatuto no sea la que piensan muchos economistas.</w:t>
      </w:r>
    </w:p>
    <w:p w:rsidR="005A5E7D" w:rsidRDefault="005A5E7D" w:rsidP="005A5E7D">
      <w:pPr>
        <w:rPr>
          <w:lang w:val="es-ES_tradnl"/>
        </w:rPr>
      </w:pPr>
      <w:r w:rsidRPr="00E2590D">
        <w:rPr>
          <w:lang w:val="es-ES_tradnl"/>
        </w:rPr>
        <w:t>Otro punt</w:t>
      </w:r>
      <w:r>
        <w:rPr>
          <w:lang w:val="es-ES_tradnl"/>
        </w:rPr>
        <w:t>o importante planteado por el informe</w:t>
      </w:r>
      <w:r w:rsidRPr="00E2590D">
        <w:rPr>
          <w:lang w:val="es-ES_tradnl"/>
        </w:rPr>
        <w:t xml:space="preserve"> del Banco de</w:t>
      </w:r>
      <w:r>
        <w:rPr>
          <w:lang w:val="es-ES_tradnl"/>
        </w:rPr>
        <w:t xml:space="preserve"> </w:t>
      </w:r>
      <w:r w:rsidRPr="00E2590D">
        <w:rPr>
          <w:lang w:val="es-ES_tradnl"/>
        </w:rPr>
        <w:t xml:space="preserve">la Reserva Federal tiene que ver con el desarrollo del capital humano. </w:t>
      </w:r>
      <w:r>
        <w:rPr>
          <w:lang w:val="es-ES_tradnl"/>
        </w:rPr>
        <w:t>P</w:t>
      </w:r>
      <w:r w:rsidRPr="00E2590D">
        <w:rPr>
          <w:lang w:val="es-ES_tradnl"/>
        </w:rPr>
        <w:t>lante</w:t>
      </w:r>
      <w:r>
        <w:rPr>
          <w:lang w:val="es-ES_tradnl"/>
        </w:rPr>
        <w:t>ó</w:t>
      </w:r>
      <w:r w:rsidRPr="00E2590D">
        <w:rPr>
          <w:lang w:val="es-ES_tradnl"/>
        </w:rPr>
        <w:t xml:space="preserve"> que aunque la fuerza de trabajo es una de las de mayo</w:t>
      </w:r>
      <w:r>
        <w:rPr>
          <w:lang w:val="es-ES_tradnl"/>
        </w:rPr>
        <w:t xml:space="preserve">r nivel </w:t>
      </w:r>
      <w:r w:rsidRPr="00E2590D">
        <w:rPr>
          <w:lang w:val="es-ES_tradnl"/>
        </w:rPr>
        <w:t>educativo del mundo, Puerto Rico sigue rezagado con respecto a</w:t>
      </w:r>
      <w:r>
        <w:rPr>
          <w:lang w:val="es-ES_tradnl"/>
        </w:rPr>
        <w:t xml:space="preserve"> </w:t>
      </w:r>
      <w:r w:rsidRPr="00E2590D">
        <w:rPr>
          <w:lang w:val="es-ES_tradnl"/>
        </w:rPr>
        <w:t xml:space="preserve">la fuerza trabajadora de </w:t>
      </w:r>
      <w:r>
        <w:rPr>
          <w:lang w:val="es-ES_tradnl"/>
        </w:rPr>
        <w:t xml:space="preserve">Estados Unidos </w:t>
      </w:r>
      <w:r w:rsidRPr="00E2590D">
        <w:rPr>
          <w:lang w:val="es-ES_tradnl"/>
        </w:rPr>
        <w:t xml:space="preserve">y </w:t>
      </w:r>
      <w:r>
        <w:rPr>
          <w:lang w:val="es-ES_tradnl"/>
        </w:rPr>
        <w:t xml:space="preserve">que </w:t>
      </w:r>
      <w:r w:rsidRPr="00E2590D">
        <w:rPr>
          <w:lang w:val="es-ES_tradnl"/>
        </w:rPr>
        <w:t>existe una alta abundancia de trabajadores poco calificados.</w:t>
      </w:r>
      <w:r>
        <w:rPr>
          <w:lang w:val="es-ES_tradnl"/>
        </w:rPr>
        <w:t xml:space="preserve"> </w:t>
      </w:r>
      <w:r w:rsidRPr="00A73A4C">
        <w:rPr>
          <w:lang w:val="es-ES_tradnl"/>
        </w:rPr>
        <w:t xml:space="preserve">El </w:t>
      </w:r>
      <w:r>
        <w:rPr>
          <w:lang w:val="es-ES_tradnl"/>
        </w:rPr>
        <w:t>informe</w:t>
      </w:r>
      <w:r w:rsidRPr="00A73A4C">
        <w:rPr>
          <w:lang w:val="es-ES_tradnl"/>
        </w:rPr>
        <w:t xml:space="preserve"> no cubre aspectos relacionados a la baja productividad y como afecta la competitividad</w:t>
      </w:r>
      <w:r>
        <w:rPr>
          <w:lang w:val="es-ES_tradnl"/>
        </w:rPr>
        <w:t xml:space="preserve"> de la I</w:t>
      </w:r>
      <w:r w:rsidRPr="00A73A4C">
        <w:rPr>
          <w:lang w:val="es-ES_tradnl"/>
        </w:rPr>
        <w:t>sla.</w:t>
      </w:r>
    </w:p>
    <w:p w:rsidR="005A5E7D" w:rsidRDefault="005A5E7D" w:rsidP="005A5E7D">
      <w:pPr>
        <w:rPr>
          <w:lang w:val="es-ES_tradnl"/>
        </w:rPr>
      </w:pPr>
      <w:r w:rsidRPr="00A73A4C">
        <w:rPr>
          <w:lang w:val="es-ES_tradnl"/>
        </w:rPr>
        <w:t>Unos de los problemas m</w:t>
      </w:r>
      <w:r>
        <w:rPr>
          <w:lang w:val="es-ES_tradnl"/>
        </w:rPr>
        <w:t>á</w:t>
      </w:r>
      <w:r w:rsidRPr="00A73A4C">
        <w:rPr>
          <w:lang w:val="es-ES_tradnl"/>
        </w:rPr>
        <w:t xml:space="preserve">s serios que se presentan como obstáculos para el </w:t>
      </w:r>
      <w:r>
        <w:rPr>
          <w:lang w:val="es-ES_tradnl"/>
        </w:rPr>
        <w:t xml:space="preserve">aumento en la competitividad </w:t>
      </w:r>
      <w:r w:rsidRPr="00A73A4C">
        <w:rPr>
          <w:lang w:val="es-ES_tradnl"/>
        </w:rPr>
        <w:t>es lo que constituye ya un grave problema estructural de l</w:t>
      </w:r>
      <w:r>
        <w:rPr>
          <w:lang w:val="es-ES_tradnl"/>
        </w:rPr>
        <w:t>a economía de Puerto Rico:</w:t>
      </w:r>
      <w:r w:rsidRPr="00A73A4C">
        <w:rPr>
          <w:lang w:val="es-ES_tradnl"/>
        </w:rPr>
        <w:t xml:space="preserve"> el deterioro en la productividad parcial del trabajo y la productividad total de los factores</w:t>
      </w:r>
      <w:r>
        <w:rPr>
          <w:lang w:val="es-ES_tradnl"/>
        </w:rPr>
        <w:t>,</w:t>
      </w:r>
      <w:r w:rsidRPr="00A73A4C">
        <w:rPr>
          <w:lang w:val="es-ES_tradnl"/>
        </w:rPr>
        <w:t xml:space="preserve"> como lo atestiguan los estudios llevados a cabo sobre este tema. Los estudios relacionados con el estatus político reseña</w:t>
      </w:r>
      <w:r>
        <w:rPr>
          <w:lang w:val="es-ES_tradnl"/>
        </w:rPr>
        <w:t>dos</w:t>
      </w:r>
      <w:r w:rsidRPr="00A73A4C">
        <w:rPr>
          <w:lang w:val="es-ES_tradnl"/>
        </w:rPr>
        <w:t xml:space="preserve"> en este capítulo no entran en la discusión de este te</w:t>
      </w:r>
      <w:r>
        <w:rPr>
          <w:lang w:val="es-ES_tradnl"/>
        </w:rPr>
        <w:t xml:space="preserve">ma, </w:t>
      </w:r>
      <w:r>
        <w:t>al</w:t>
      </w:r>
      <w:r>
        <w:rPr>
          <w:lang w:val="es-ES_tradnl"/>
        </w:rPr>
        <w:t xml:space="preserve"> menos en forma explícita.</w:t>
      </w:r>
    </w:p>
    <w:p w:rsidR="005A5E7D" w:rsidRPr="00A73A4C" w:rsidRDefault="005A5E7D" w:rsidP="005A5E7D">
      <w:pPr>
        <w:rPr>
          <w:lang w:val="es-ES_tradnl"/>
        </w:rPr>
      </w:pPr>
      <w:r>
        <w:rPr>
          <w:lang w:val="es-ES_tradnl"/>
        </w:rPr>
        <w:t>C</w:t>
      </w:r>
      <w:r w:rsidRPr="00A73A4C">
        <w:rPr>
          <w:lang w:val="es-ES_tradnl"/>
        </w:rPr>
        <w:t xml:space="preserve">uando se discuten </w:t>
      </w:r>
      <w:r>
        <w:rPr>
          <w:lang w:val="es-ES_tradnl"/>
        </w:rPr>
        <w:t>e</w:t>
      </w:r>
      <w:r w:rsidRPr="00A73A4C">
        <w:rPr>
          <w:lang w:val="es-ES_tradnl"/>
        </w:rPr>
        <w:t xml:space="preserve">xplícitamente las ventajas y desventajas de uno u otro </w:t>
      </w:r>
      <w:r>
        <w:rPr>
          <w:lang w:val="es-ES_tradnl"/>
        </w:rPr>
        <w:t>estatus político,</w:t>
      </w:r>
      <w:r w:rsidRPr="00A73A4C">
        <w:rPr>
          <w:lang w:val="es-ES_tradnl"/>
        </w:rPr>
        <w:t xml:space="preserve"> </w:t>
      </w:r>
      <w:r>
        <w:rPr>
          <w:lang w:val="es-ES_tradnl"/>
        </w:rPr>
        <w:t>se</w:t>
      </w:r>
      <w:r w:rsidRPr="00A73A4C">
        <w:rPr>
          <w:lang w:val="es-ES_tradnl"/>
        </w:rPr>
        <w:t xml:space="preserve"> puede</w:t>
      </w:r>
      <w:r>
        <w:rPr>
          <w:lang w:val="es-ES_tradnl"/>
        </w:rPr>
        <w:t>n</w:t>
      </w:r>
      <w:r w:rsidRPr="00A73A4C">
        <w:rPr>
          <w:lang w:val="es-ES_tradnl"/>
        </w:rPr>
        <w:t xml:space="preserve"> deducir conclusiones que pueden indicar alzas o bajas en productividad y</w:t>
      </w:r>
      <w:r>
        <w:rPr>
          <w:lang w:val="es-ES_tradnl"/>
        </w:rPr>
        <w:t>,</w:t>
      </w:r>
      <w:r w:rsidRPr="00A73A4C">
        <w:rPr>
          <w:lang w:val="es-ES_tradnl"/>
        </w:rPr>
        <w:t xml:space="preserve"> por ende</w:t>
      </w:r>
      <w:r>
        <w:rPr>
          <w:lang w:val="es-ES_tradnl"/>
        </w:rPr>
        <w:t>,</w:t>
      </w:r>
      <w:r w:rsidRPr="00A73A4C">
        <w:rPr>
          <w:lang w:val="es-ES_tradnl"/>
        </w:rPr>
        <w:t xml:space="preserve"> en la competitividad</w:t>
      </w:r>
      <w:r>
        <w:rPr>
          <w:lang w:val="es-ES_tradnl"/>
        </w:rPr>
        <w:t xml:space="preserve"> de la economía. Por ejemplo, la</w:t>
      </w:r>
      <w:r w:rsidRPr="00A73A4C">
        <w:rPr>
          <w:lang w:val="es-ES_tradnl"/>
        </w:rPr>
        <w:t xml:space="preserve"> CBO argument</w:t>
      </w:r>
      <w:r>
        <w:rPr>
          <w:lang w:val="es-ES_tradnl"/>
        </w:rPr>
        <w:t xml:space="preserve">ó que </w:t>
      </w:r>
      <w:r w:rsidRPr="00A73A4C">
        <w:rPr>
          <w:lang w:val="es-ES_tradnl"/>
        </w:rPr>
        <w:t>los promotores del ELA sostienen que dará lugar a una mayor expansión de la inversión directa en la industria</w:t>
      </w:r>
      <w:r>
        <w:rPr>
          <w:lang w:val="es-ES_tradnl"/>
        </w:rPr>
        <w:t xml:space="preserve"> manufacturera de Puerto Rico. E</w:t>
      </w:r>
      <w:r w:rsidRPr="00A73A4C">
        <w:rPr>
          <w:lang w:val="es-ES_tradnl"/>
        </w:rPr>
        <w:t>n especial</w:t>
      </w:r>
      <w:r>
        <w:rPr>
          <w:lang w:val="es-ES_tradnl"/>
        </w:rPr>
        <w:t>, señalan</w:t>
      </w:r>
      <w:r w:rsidRPr="00A73A4C">
        <w:rPr>
          <w:lang w:val="es-ES_tradnl"/>
        </w:rPr>
        <w:t xml:space="preserve"> la posibilidad de una mayor inversión por parte de las empresas de fuera de Estados Uni</w:t>
      </w:r>
      <w:r>
        <w:rPr>
          <w:lang w:val="es-ES_tradnl"/>
        </w:rPr>
        <w:t>dos que podrían invertir en la I</w:t>
      </w:r>
      <w:r w:rsidRPr="00A73A4C">
        <w:rPr>
          <w:lang w:val="es-ES_tradnl"/>
        </w:rPr>
        <w:t xml:space="preserve">sla como expansiones de su operaciones continentales y otros beneficios adicionales. </w:t>
      </w:r>
      <w:r>
        <w:rPr>
          <w:lang w:val="es-ES_tradnl"/>
        </w:rPr>
        <w:t>P</w:t>
      </w:r>
      <w:r w:rsidRPr="00A73A4C">
        <w:rPr>
          <w:lang w:val="es-ES_tradnl"/>
        </w:rPr>
        <w:t xml:space="preserve">odríamos inferir </w:t>
      </w:r>
      <w:r>
        <w:rPr>
          <w:lang w:val="es-ES_tradnl"/>
        </w:rPr>
        <w:t>d</w:t>
      </w:r>
      <w:r w:rsidRPr="00A73A4C">
        <w:rPr>
          <w:lang w:val="es-ES_tradnl"/>
        </w:rPr>
        <w:t xml:space="preserve">e esta aseveración </w:t>
      </w:r>
      <w:r>
        <w:rPr>
          <w:lang w:val="es-ES_tradnl"/>
        </w:rPr>
        <w:t xml:space="preserve">que ello generaría </w:t>
      </w:r>
      <w:r w:rsidRPr="00A73A4C">
        <w:rPr>
          <w:lang w:val="es-ES_tradnl"/>
        </w:rPr>
        <w:t xml:space="preserve">un aumento en la competitividad. </w:t>
      </w:r>
    </w:p>
    <w:p w:rsidR="005A5E7D" w:rsidRPr="00A73A4C" w:rsidRDefault="005A5E7D" w:rsidP="005A5E7D">
      <w:pPr>
        <w:rPr>
          <w:szCs w:val="20"/>
          <w:lang w:val="es-ES_tradnl"/>
        </w:rPr>
      </w:pPr>
      <w:r w:rsidRPr="00A73A4C">
        <w:rPr>
          <w:lang w:val="es-ES_tradnl"/>
        </w:rPr>
        <w:t>Bajo los</w:t>
      </w:r>
      <w:r>
        <w:rPr>
          <w:lang w:val="es-ES_tradnl"/>
        </w:rPr>
        <w:t xml:space="preserve"> supuestos de la</w:t>
      </w:r>
      <w:r w:rsidRPr="00A73A4C">
        <w:rPr>
          <w:lang w:val="es-ES_tradnl"/>
        </w:rPr>
        <w:t xml:space="preserve"> CBO, la estadidad podría </w:t>
      </w:r>
      <w:r>
        <w:rPr>
          <w:lang w:val="es-ES_tradnl"/>
        </w:rPr>
        <w:t xml:space="preserve">haber </w:t>
      </w:r>
      <w:r w:rsidRPr="00A73A4C">
        <w:rPr>
          <w:lang w:val="es-ES_tradnl"/>
        </w:rPr>
        <w:t>reduci</w:t>
      </w:r>
      <w:r>
        <w:rPr>
          <w:lang w:val="es-ES_tradnl"/>
        </w:rPr>
        <w:t>do</w:t>
      </w:r>
      <w:r w:rsidRPr="00A73A4C">
        <w:rPr>
          <w:lang w:val="es-ES_tradnl"/>
        </w:rPr>
        <w:t xml:space="preserve"> la tasa de crecimiento del PNB real de Puerto Rico durante el período 1992-2000 entre aproximadamente uno y dos puntos porcentuales, dependiendo de l</w:t>
      </w:r>
      <w:r>
        <w:rPr>
          <w:lang w:val="es-ES_tradnl"/>
        </w:rPr>
        <w:t>as</w:t>
      </w:r>
      <w:r w:rsidRPr="00A73A4C">
        <w:rPr>
          <w:lang w:val="es-ES_tradnl"/>
        </w:rPr>
        <w:t xml:space="preserve"> </w:t>
      </w:r>
      <w:r>
        <w:rPr>
          <w:lang w:val="es-ES_tradnl"/>
        </w:rPr>
        <w:t>premisas</w:t>
      </w:r>
      <w:r w:rsidRPr="00A73A4C">
        <w:rPr>
          <w:lang w:val="es-ES_tradnl"/>
        </w:rPr>
        <w:t xml:space="preserve"> sobre el crecimiento en el estatus actual. Estas estimaciones refleja</w:t>
      </w:r>
      <w:r>
        <w:rPr>
          <w:lang w:val="es-ES_tradnl"/>
        </w:rPr>
        <w:t>ro</w:t>
      </w:r>
      <w:r w:rsidRPr="00A73A4C">
        <w:rPr>
          <w:lang w:val="es-ES_tradnl"/>
        </w:rPr>
        <w:t>n el efecto de</w:t>
      </w:r>
      <w:r>
        <w:rPr>
          <w:lang w:val="es-ES_tradnl"/>
        </w:rPr>
        <w:t xml:space="preserve"> mayores transferencias netas </w:t>
      </w:r>
      <w:r w:rsidRPr="008B456C">
        <w:t>—</w:t>
      </w:r>
      <w:r w:rsidRPr="00A73A4C">
        <w:rPr>
          <w:lang w:val="es-ES_tradnl"/>
        </w:rPr>
        <w:t>que tienen el efecto de aumentar el crecimiento real en lo</w:t>
      </w:r>
      <w:r>
        <w:rPr>
          <w:lang w:val="es-ES_tradnl"/>
        </w:rPr>
        <w:t>s primeros años de la estadidad</w:t>
      </w:r>
      <w:r w:rsidRPr="008B456C">
        <w:t>—</w:t>
      </w:r>
      <w:r w:rsidRPr="00A73A4C">
        <w:rPr>
          <w:lang w:val="es-ES_tradnl"/>
        </w:rPr>
        <w:t xml:space="preserve"> y los efectos de la pérdida de la inversión y las exportaciones de las empresas de la Sección 936, en comparación con el escenario base del</w:t>
      </w:r>
      <w:r>
        <w:rPr>
          <w:lang w:val="es-ES_tradnl"/>
        </w:rPr>
        <w:t xml:space="preserve"> estatus actual en la que ambos estaría</w:t>
      </w:r>
      <w:r w:rsidRPr="00A73A4C">
        <w:rPr>
          <w:lang w:val="es-ES_tradnl"/>
        </w:rPr>
        <w:t>n creciendo. E</w:t>
      </w:r>
      <w:r>
        <w:rPr>
          <w:lang w:val="es-ES_tradnl"/>
        </w:rPr>
        <w:t>ll</w:t>
      </w:r>
      <w:r w:rsidRPr="00A73A4C">
        <w:rPr>
          <w:lang w:val="es-ES_tradnl"/>
        </w:rPr>
        <w:t>o nos podría lle</w:t>
      </w:r>
      <w:r>
        <w:rPr>
          <w:lang w:val="es-ES_tradnl"/>
        </w:rPr>
        <w:t>v</w:t>
      </w:r>
      <w:r w:rsidRPr="00A73A4C">
        <w:rPr>
          <w:lang w:val="es-ES_tradnl"/>
        </w:rPr>
        <w:t xml:space="preserve">ar a inferir que afectaría la competitividad de </w:t>
      </w:r>
      <w:r>
        <w:rPr>
          <w:lang w:val="es-ES_tradnl"/>
        </w:rPr>
        <w:t>Puerto Rico</w:t>
      </w:r>
      <w:r w:rsidRPr="00A73A4C">
        <w:rPr>
          <w:lang w:val="es-ES_tradnl"/>
        </w:rPr>
        <w:t xml:space="preserve"> negativamente. </w:t>
      </w:r>
    </w:p>
    <w:p w:rsidR="005A5E7D" w:rsidRDefault="005A5E7D" w:rsidP="005A5E7D">
      <w:pPr>
        <w:rPr>
          <w:lang w:val="es-ES_tradnl"/>
        </w:rPr>
      </w:pPr>
      <w:r w:rsidRPr="00A73A4C">
        <w:rPr>
          <w:lang w:val="es-ES_tradnl"/>
        </w:rPr>
        <w:t>Otros</w:t>
      </w:r>
      <w:r>
        <w:rPr>
          <w:lang w:val="es-ES_tradnl"/>
        </w:rPr>
        <w:t xml:space="preserve"> </w:t>
      </w:r>
      <w:r w:rsidRPr="00A73A4C">
        <w:rPr>
          <w:lang w:val="es-ES_tradnl"/>
        </w:rPr>
        <w:t xml:space="preserve">posibles efectos económicos </w:t>
      </w:r>
      <w:r>
        <w:rPr>
          <w:lang w:val="es-ES_tradnl"/>
        </w:rPr>
        <w:t>bajo</w:t>
      </w:r>
      <w:r w:rsidRPr="00A73A4C">
        <w:rPr>
          <w:lang w:val="es-ES_tradnl"/>
        </w:rPr>
        <w:t xml:space="preserve"> la independencia son aún más especulativo</w:t>
      </w:r>
      <w:r>
        <w:rPr>
          <w:lang w:val="es-ES_tradnl"/>
        </w:rPr>
        <w:t>s</w:t>
      </w:r>
      <w:r w:rsidRPr="00A73A4C">
        <w:rPr>
          <w:lang w:val="es-ES_tradnl"/>
        </w:rPr>
        <w:t>. En el lado positivo, podría conducir a una menor dependencia, mejora de políticas arancelarias, costos de envío reducidos y otros beneficios no cuantificables. Sin embargo, el acceso de un Puerto Rico independiente a los mercados financieros de Estados Unidos sería menos</w:t>
      </w:r>
      <w:r>
        <w:rPr>
          <w:lang w:val="es-ES_tradnl"/>
        </w:rPr>
        <w:t xml:space="preserve"> </w:t>
      </w:r>
      <w:r w:rsidRPr="00A73A4C">
        <w:rPr>
          <w:lang w:val="es-ES_tradnl"/>
        </w:rPr>
        <w:t>ventajoso que bajo el esta</w:t>
      </w:r>
      <w:r>
        <w:rPr>
          <w:lang w:val="es-ES_tradnl"/>
        </w:rPr>
        <w:t>tus actual</w:t>
      </w:r>
      <w:r w:rsidRPr="00A73A4C">
        <w:rPr>
          <w:lang w:val="es-ES_tradnl"/>
        </w:rPr>
        <w:t xml:space="preserve"> o </w:t>
      </w:r>
      <w:r>
        <w:rPr>
          <w:lang w:val="es-ES_tradnl"/>
        </w:rPr>
        <w:t>la estadidad. Al menos,</w:t>
      </w:r>
      <w:r w:rsidRPr="00A73A4C">
        <w:rPr>
          <w:lang w:val="es-ES_tradnl"/>
        </w:rPr>
        <w:t xml:space="preserve"> sería probable que Puerto Rico t</w:t>
      </w:r>
      <w:r>
        <w:rPr>
          <w:lang w:val="es-ES_tradnl"/>
        </w:rPr>
        <w:t>uviese</w:t>
      </w:r>
      <w:r w:rsidRPr="00A73A4C">
        <w:rPr>
          <w:lang w:val="es-ES_tradnl"/>
        </w:rPr>
        <w:t xml:space="preserve"> que pagar un estimado de dos puntos porcentuales más en intereses </w:t>
      </w:r>
      <w:r>
        <w:rPr>
          <w:lang w:val="es-ES_tradnl"/>
        </w:rPr>
        <w:t xml:space="preserve">de </w:t>
      </w:r>
      <w:r w:rsidRPr="00A73A4C">
        <w:rPr>
          <w:lang w:val="es-ES_tradnl"/>
        </w:rPr>
        <w:t>lo</w:t>
      </w:r>
      <w:r>
        <w:rPr>
          <w:lang w:val="es-ES_tradnl"/>
        </w:rPr>
        <w:t xml:space="preserve"> que paga</w:t>
      </w:r>
      <w:r w:rsidRPr="00A73A4C">
        <w:rPr>
          <w:lang w:val="es-ES_tradnl"/>
        </w:rPr>
        <w:t xml:space="preserve"> actual</w:t>
      </w:r>
      <w:r>
        <w:rPr>
          <w:lang w:val="es-ES_tradnl"/>
        </w:rPr>
        <w:t>mente en su deuda pública.</w:t>
      </w:r>
    </w:p>
    <w:p w:rsidR="005A5E7D" w:rsidRPr="00A73A4C" w:rsidRDefault="005A5E7D" w:rsidP="005A5E7D">
      <w:pPr>
        <w:rPr>
          <w:lang w:val="es-ES_tradnl"/>
        </w:rPr>
      </w:pPr>
      <w:r>
        <w:rPr>
          <w:lang w:val="es-ES_tradnl"/>
        </w:rPr>
        <w:t xml:space="preserve">Otra posibilidad </w:t>
      </w:r>
      <w:r w:rsidRPr="00A73A4C">
        <w:rPr>
          <w:lang w:val="es-ES_tradnl"/>
        </w:rPr>
        <w:t>es que la nueva nación t</w:t>
      </w:r>
      <w:r>
        <w:rPr>
          <w:lang w:val="es-ES_tradnl"/>
        </w:rPr>
        <w:t>uviese</w:t>
      </w:r>
      <w:r w:rsidRPr="00A73A4C">
        <w:rPr>
          <w:lang w:val="es-ES_tradnl"/>
        </w:rPr>
        <w:t xml:space="preserve"> dificultades de endeudamiento </w:t>
      </w:r>
      <w:r>
        <w:rPr>
          <w:lang w:val="es-ES_tradnl"/>
        </w:rPr>
        <w:t>a</w:t>
      </w:r>
      <w:r w:rsidRPr="00A73A4C">
        <w:rPr>
          <w:lang w:val="es-ES_tradnl"/>
        </w:rPr>
        <w:t xml:space="preserve"> cualquier tasa de interés, como lo han hecho otros países en desarrollo en los últimos años. Este resultado pesimista sería </w:t>
      </w:r>
      <w:r>
        <w:rPr>
          <w:lang w:val="es-ES_tradnl"/>
        </w:rPr>
        <w:t>incluso</w:t>
      </w:r>
      <w:r w:rsidRPr="00A73A4C">
        <w:rPr>
          <w:lang w:val="es-ES_tradnl"/>
        </w:rPr>
        <w:t xml:space="preserve"> más probable si la inversión directa en Puerto Rico se redu</w:t>
      </w:r>
      <w:r>
        <w:rPr>
          <w:lang w:val="es-ES_tradnl"/>
        </w:rPr>
        <w:t>jese</w:t>
      </w:r>
      <w:r w:rsidRPr="00A73A4C">
        <w:rPr>
          <w:lang w:val="es-ES_tradnl"/>
        </w:rPr>
        <w:t>, lo que conduc</w:t>
      </w:r>
      <w:r>
        <w:rPr>
          <w:lang w:val="es-ES_tradnl"/>
        </w:rPr>
        <w:t>iría</w:t>
      </w:r>
      <w:r w:rsidRPr="00A73A4C">
        <w:rPr>
          <w:lang w:val="es-ES_tradnl"/>
        </w:rPr>
        <w:t xml:space="preserve"> a un menor crecimiento de las exportaciones de </w:t>
      </w:r>
      <w:r>
        <w:rPr>
          <w:lang w:val="es-ES_tradnl"/>
        </w:rPr>
        <w:t>la Isla</w:t>
      </w:r>
      <w:r w:rsidRPr="00A73A4C">
        <w:rPr>
          <w:lang w:val="es-ES_tradnl"/>
        </w:rPr>
        <w:t xml:space="preserve"> y una menor aportación de la inversión directa a la financiación del déficit </w:t>
      </w:r>
      <w:r>
        <w:rPr>
          <w:lang w:val="es-ES_tradnl"/>
        </w:rPr>
        <w:t>en la</w:t>
      </w:r>
      <w:r w:rsidRPr="00A73A4C">
        <w:rPr>
          <w:lang w:val="es-ES_tradnl"/>
        </w:rPr>
        <w:t xml:space="preserve"> balanza de pagos. En este caso</w:t>
      </w:r>
      <w:r>
        <w:rPr>
          <w:lang w:val="es-ES_tradnl"/>
        </w:rPr>
        <w:t>,</w:t>
      </w:r>
      <w:r w:rsidRPr="00A73A4C">
        <w:rPr>
          <w:lang w:val="es-ES_tradnl"/>
        </w:rPr>
        <w:t xml:space="preserve"> no se pueden inferir conclusiones contundentes en cuanto </w:t>
      </w:r>
      <w:r>
        <w:rPr>
          <w:lang w:val="es-ES_tradnl"/>
        </w:rPr>
        <w:t>al</w:t>
      </w:r>
      <w:r w:rsidRPr="00A73A4C">
        <w:rPr>
          <w:lang w:val="es-ES_tradnl"/>
        </w:rPr>
        <w:t xml:space="preserve"> impacto en la competitividad. Todo depende de</w:t>
      </w:r>
      <w:r>
        <w:rPr>
          <w:lang w:val="es-ES_tradnl"/>
        </w:rPr>
        <w:t>l</w:t>
      </w:r>
      <w:r w:rsidRPr="00A73A4C">
        <w:rPr>
          <w:lang w:val="es-ES_tradnl"/>
        </w:rPr>
        <w:t xml:space="preserve"> lente </w:t>
      </w:r>
      <w:r>
        <w:rPr>
          <w:lang w:val="es-ES_tradnl"/>
        </w:rPr>
        <w:t xml:space="preserve">con que </w:t>
      </w:r>
      <w:r w:rsidRPr="00A73A4C">
        <w:rPr>
          <w:lang w:val="es-ES_tradnl"/>
        </w:rPr>
        <w:t xml:space="preserve">se mire lo </w:t>
      </w:r>
      <w:r>
        <w:rPr>
          <w:lang w:val="es-ES_tradnl"/>
        </w:rPr>
        <w:t>reseñad</w:t>
      </w:r>
      <w:r w:rsidRPr="00A73A4C">
        <w:rPr>
          <w:lang w:val="es-ES_tradnl"/>
        </w:rPr>
        <w:t>o sobre el estatus político de la independencia.</w:t>
      </w:r>
    </w:p>
    <w:p w:rsidR="005A5E7D" w:rsidRPr="00A73A4C" w:rsidRDefault="005A5E7D" w:rsidP="005A5E7D">
      <w:pPr>
        <w:rPr>
          <w:lang w:val="es-ES_tradnl"/>
        </w:rPr>
      </w:pPr>
      <w:r w:rsidRPr="00A73A4C">
        <w:rPr>
          <w:lang w:val="es-ES_tradnl"/>
        </w:rPr>
        <w:t>De todas maneras</w:t>
      </w:r>
      <w:r>
        <w:rPr>
          <w:lang w:val="es-ES_tradnl"/>
        </w:rPr>
        <w:t>,</w:t>
      </w:r>
      <w:r w:rsidRPr="00A73A4C">
        <w:rPr>
          <w:lang w:val="es-ES_tradnl"/>
        </w:rPr>
        <w:t xml:space="preserve"> los economistas de Puerto Rico y algunos de fuera han venido planteando estos problemas por un sinnúmero de años y no han recibido la atención que merecen. En mi opinión</w:t>
      </w:r>
      <w:r>
        <w:rPr>
          <w:lang w:val="es-ES_tradnl"/>
        </w:rPr>
        <w:t>,</w:t>
      </w:r>
      <w:r w:rsidRPr="00A73A4C">
        <w:rPr>
          <w:lang w:val="es-ES_tradnl"/>
        </w:rPr>
        <w:t xml:space="preserve"> no hay que esperar que un “experto”</w:t>
      </w:r>
      <w:r>
        <w:rPr>
          <w:lang w:val="es-ES_tradnl"/>
        </w:rPr>
        <w:t xml:space="preserve"> </w:t>
      </w:r>
      <w:r w:rsidRPr="00A73A4C">
        <w:rPr>
          <w:lang w:val="es-ES_tradnl"/>
        </w:rPr>
        <w:t>externo venga a decirnos lo que ya todo conocemos</w:t>
      </w:r>
      <w:r>
        <w:rPr>
          <w:lang w:val="es-ES_tradnl"/>
        </w:rPr>
        <w:t>. L</w:t>
      </w:r>
      <w:r w:rsidRPr="00A73A4C">
        <w:rPr>
          <w:lang w:val="es-ES_tradnl"/>
        </w:rPr>
        <w:t>o que se necesita es prestar atención a la investigación que hemos llevado a cabo y voluntad por parte de las autoridades p</w:t>
      </w:r>
      <w:r>
        <w:rPr>
          <w:lang w:val="es-ES_tradnl"/>
        </w:rPr>
        <w:t>úblicas</w:t>
      </w:r>
      <w:r w:rsidRPr="00A73A4C">
        <w:rPr>
          <w:lang w:val="es-ES_tradnl"/>
        </w:rPr>
        <w:t xml:space="preserve"> </w:t>
      </w:r>
      <w:r w:rsidRPr="008B456C">
        <w:t>—</w:t>
      </w:r>
      <w:r w:rsidRPr="00A73A4C">
        <w:rPr>
          <w:lang w:val="es-ES_tradnl"/>
        </w:rPr>
        <w:t>y privadas</w:t>
      </w:r>
      <w:r>
        <w:rPr>
          <w:lang w:val="es-ES_tradnl"/>
        </w:rPr>
        <w:t xml:space="preserve">, </w:t>
      </w:r>
      <w:r w:rsidRPr="00A73A4C">
        <w:rPr>
          <w:lang w:val="es-ES_tradnl"/>
        </w:rPr>
        <w:t>en ciertos casos</w:t>
      </w:r>
      <w:r w:rsidRPr="008B456C">
        <w:t>—</w:t>
      </w:r>
      <w:r w:rsidRPr="00A73A4C">
        <w:rPr>
          <w:lang w:val="es-ES_tradnl"/>
        </w:rPr>
        <w:t xml:space="preserve"> para poner en práctica las medidas necesarias para enfocar los problemas con seriedad y responsabilidad</w:t>
      </w:r>
      <w:r>
        <w:rPr>
          <w:lang w:val="es-ES_tradnl"/>
        </w:rPr>
        <w:t>,</w:t>
      </w:r>
      <w:r w:rsidRPr="00A73A4C">
        <w:rPr>
          <w:lang w:val="es-ES_tradnl"/>
        </w:rPr>
        <w:t xml:space="preserve"> y darle la solución adecuada. </w:t>
      </w:r>
    </w:p>
    <w:p w:rsidR="005A5E7D" w:rsidRDefault="005A5E7D" w:rsidP="005A5E7D">
      <w:pPr>
        <w:rPr>
          <w:lang w:val="es-ES_tradnl"/>
        </w:rPr>
      </w:pPr>
      <w:r>
        <w:rPr>
          <w:lang w:val="es-ES_tradnl"/>
        </w:rPr>
        <w:t xml:space="preserve">Se ha </w:t>
      </w:r>
      <w:r w:rsidRPr="00A73A4C">
        <w:rPr>
          <w:lang w:val="es-ES_tradnl"/>
        </w:rPr>
        <w:t>reseñado</w:t>
      </w:r>
      <w:r>
        <w:rPr>
          <w:lang w:val="es-ES_tradnl"/>
        </w:rPr>
        <w:t xml:space="preserve"> también</w:t>
      </w:r>
      <w:r w:rsidRPr="00A73A4C">
        <w:rPr>
          <w:lang w:val="es-ES_tradnl"/>
        </w:rPr>
        <w:t xml:space="preserve"> alguna de</w:t>
      </w:r>
      <w:r>
        <w:rPr>
          <w:lang w:val="es-ES_tradnl"/>
        </w:rPr>
        <w:t xml:space="preserve"> </w:t>
      </w:r>
      <w:r w:rsidRPr="00A73A4C">
        <w:rPr>
          <w:lang w:val="es-ES_tradnl"/>
        </w:rPr>
        <w:t>la literatura reci</w:t>
      </w:r>
      <w:r>
        <w:rPr>
          <w:lang w:val="es-ES_tradnl"/>
        </w:rPr>
        <w:t>ente sobre aspectos importantes,</w:t>
      </w:r>
      <w:r w:rsidRPr="00A73A4C">
        <w:rPr>
          <w:lang w:val="es-ES_tradnl"/>
        </w:rPr>
        <w:t xml:space="preserve"> que </w:t>
      </w:r>
      <w:r w:rsidRPr="008B456C">
        <w:t>—</w:t>
      </w:r>
      <w:r w:rsidRPr="00A73A4C">
        <w:rPr>
          <w:lang w:val="es-ES_tradnl"/>
        </w:rPr>
        <w:t>aunque no se refieren directamente a los costos y beneficios de las diferentes opciones de estatus po</w:t>
      </w:r>
      <w:r>
        <w:rPr>
          <w:lang w:val="es-ES_tradnl"/>
        </w:rPr>
        <w:t>lítico</w:t>
      </w:r>
      <w:r w:rsidRPr="008B456C">
        <w:t>—</w:t>
      </w:r>
      <w:r w:rsidRPr="00A73A4C">
        <w:rPr>
          <w:lang w:val="es-ES_tradnl"/>
        </w:rPr>
        <w:t xml:space="preserve"> inciden de una forma u otra sobre la situación actual de la economía de Puerto Rico y hacen recomendaciones valiosas encaminadas a mejorar la situación actual</w:t>
      </w:r>
      <w:r>
        <w:rPr>
          <w:lang w:val="es-ES_tradnl"/>
        </w:rPr>
        <w:t>,</w:t>
      </w:r>
      <w:r w:rsidRPr="00A73A4C">
        <w:rPr>
          <w:lang w:val="es-ES_tradnl"/>
        </w:rPr>
        <w:t xml:space="preserve"> sin necesidad de un cambio en el estatus político. Uno de estos aspectos es</w:t>
      </w:r>
      <w:r>
        <w:rPr>
          <w:lang w:val="es-ES_tradnl"/>
        </w:rPr>
        <w:t xml:space="preserve"> el</w:t>
      </w:r>
      <w:r w:rsidRPr="00A73A4C">
        <w:rPr>
          <w:lang w:val="es-ES_tradnl"/>
        </w:rPr>
        <w:t xml:space="preserve"> re</w:t>
      </w:r>
      <w:r>
        <w:rPr>
          <w:lang w:val="es-ES_tradnl"/>
        </w:rPr>
        <w:t>lacionado con la globalización.</w:t>
      </w:r>
    </w:p>
    <w:p w:rsidR="005A5E7D" w:rsidRDefault="005A5E7D" w:rsidP="005A5E7D">
      <w:pPr>
        <w:rPr>
          <w:lang w:val="es-ES_tradnl"/>
        </w:rPr>
      </w:pPr>
      <w:r w:rsidRPr="00C06F5C">
        <w:rPr>
          <w:lang w:val="es-ES_tradnl"/>
        </w:rPr>
        <w:t xml:space="preserve">La inserción de Puerto Rico en el proceso de globalización es uno de los aspectos que afectan </w:t>
      </w:r>
      <w:r>
        <w:rPr>
          <w:lang w:val="es-ES_tradnl"/>
        </w:rPr>
        <w:t>su</w:t>
      </w:r>
      <w:r w:rsidRPr="00C06F5C">
        <w:rPr>
          <w:lang w:val="es-ES_tradnl"/>
        </w:rPr>
        <w:t xml:space="preserve"> desarrollo económico</w:t>
      </w:r>
      <w:r>
        <w:rPr>
          <w:lang w:val="es-ES_tradnl"/>
        </w:rPr>
        <w:t>,</w:t>
      </w:r>
      <w:r w:rsidRPr="00C06F5C">
        <w:rPr>
          <w:lang w:val="es-ES_tradnl"/>
        </w:rPr>
        <w:t xml:space="preserve"> </w:t>
      </w:r>
      <w:r>
        <w:rPr>
          <w:lang w:val="es-ES_tradnl"/>
        </w:rPr>
        <w:t>que ha sido discutido</w:t>
      </w:r>
      <w:r w:rsidRPr="00C06F5C">
        <w:rPr>
          <w:lang w:val="es-ES_tradnl"/>
        </w:rPr>
        <w:t xml:space="preserve"> por varios autores</w:t>
      </w:r>
      <w:r>
        <w:rPr>
          <w:lang w:val="es-ES_tradnl"/>
        </w:rPr>
        <w:t>. En un artí</w:t>
      </w:r>
      <w:r w:rsidRPr="00C06F5C">
        <w:rPr>
          <w:lang w:val="es-ES_tradnl"/>
        </w:rPr>
        <w:t>culo publicado</w:t>
      </w:r>
      <w:r>
        <w:rPr>
          <w:lang w:val="es-ES_tradnl"/>
        </w:rPr>
        <w:t xml:space="preserve">, </w:t>
      </w:r>
      <w:r w:rsidRPr="00C06F5C">
        <w:rPr>
          <w:lang w:val="es-ES_tradnl"/>
        </w:rPr>
        <w:t>Juan Clar</w:t>
      </w:r>
      <w:r>
        <w:rPr>
          <w:lang w:val="es-ES_tradnl"/>
        </w:rPr>
        <w:t xml:space="preserve"> </w:t>
      </w:r>
      <w:r w:rsidRPr="00C06F5C">
        <w:rPr>
          <w:lang w:val="es-ES_tradnl"/>
        </w:rPr>
        <w:t>comen</w:t>
      </w:r>
      <w:r>
        <w:rPr>
          <w:lang w:val="es-ES_tradnl"/>
        </w:rPr>
        <w:t>tó:</w:t>
      </w:r>
      <w:r w:rsidRPr="00C06F5C">
        <w:rPr>
          <w:lang w:val="es-ES_tradnl"/>
        </w:rPr>
        <w:t xml:space="preserve"> “Aunque el Estado Libre Asociado de Puerto Rico se convirtió en un modelo ejemplar de rápida industrialización y democratización en la década de 1950</w:t>
      </w:r>
      <w:r>
        <w:rPr>
          <w:lang w:val="es-ES_tradnl"/>
        </w:rPr>
        <w:t>,</w:t>
      </w:r>
      <w:r w:rsidRPr="00C06F5C">
        <w:rPr>
          <w:lang w:val="es-ES_tradnl"/>
        </w:rPr>
        <w:t xml:space="preserve"> su principal defecto como un modelo para el siglo XXI se puede atribuir a las </w:t>
      </w:r>
      <w:r>
        <w:rPr>
          <w:lang w:val="es-ES_tradnl"/>
        </w:rPr>
        <w:t xml:space="preserve">barreras que le </w:t>
      </w:r>
      <w:r w:rsidRPr="00C06F5C">
        <w:rPr>
          <w:lang w:val="es-ES_tradnl"/>
        </w:rPr>
        <w:t>impone a la capacidad del territorio para internacionalizar su sociedad y la economía</w:t>
      </w:r>
      <w:r>
        <w:rPr>
          <w:lang w:val="es-ES_tradnl"/>
        </w:rPr>
        <w:t>”.</w:t>
      </w:r>
    </w:p>
    <w:p w:rsidR="005A5E7D" w:rsidRDefault="005A5E7D" w:rsidP="005A5E7D">
      <w:pPr>
        <w:rPr>
          <w:lang w:val="es-ES_tradnl"/>
        </w:rPr>
      </w:pPr>
      <w:r>
        <w:rPr>
          <w:lang w:val="es-ES_tradnl"/>
        </w:rPr>
        <w:t>Planteó que, e</w:t>
      </w:r>
      <w:r w:rsidRPr="00C06F5C">
        <w:rPr>
          <w:lang w:val="es-ES_tradnl"/>
        </w:rPr>
        <w:t>n una época posterior a la Guerra Fría</w:t>
      </w:r>
      <w:r>
        <w:rPr>
          <w:lang w:val="es-ES_tradnl"/>
        </w:rPr>
        <w:t>, existen signos claros de que la I</w:t>
      </w:r>
      <w:r w:rsidRPr="00C06F5C">
        <w:rPr>
          <w:lang w:val="es-ES_tradnl"/>
        </w:rPr>
        <w:t>sla no ha adoptado plenamente los beneficios de la globalización</w:t>
      </w:r>
      <w:r>
        <w:rPr>
          <w:lang w:val="es-ES_tradnl"/>
        </w:rPr>
        <w:t>. Para avalarlo, aseguró que “</w:t>
      </w:r>
      <w:r w:rsidRPr="00C06F5C">
        <w:rPr>
          <w:lang w:val="es-ES_tradnl"/>
        </w:rPr>
        <w:t>el noventa por ciento del comercio de Puerto Rico es sólo con Estados Unidos, debido a que</w:t>
      </w:r>
      <w:r>
        <w:rPr>
          <w:lang w:val="es-ES_tradnl"/>
        </w:rPr>
        <w:t xml:space="preserve"> </w:t>
      </w:r>
      <w:r w:rsidRPr="00C06F5C">
        <w:rPr>
          <w:lang w:val="es-ES_tradnl"/>
        </w:rPr>
        <w:t>las políticas de comercio federales se hacen para satisfacer los intereses</w:t>
      </w:r>
      <w:r>
        <w:rPr>
          <w:lang w:val="es-ES_tradnl"/>
        </w:rPr>
        <w:t>”</w:t>
      </w:r>
      <w:r w:rsidRPr="00C06F5C">
        <w:rPr>
          <w:lang w:val="es-ES_tradnl"/>
        </w:rPr>
        <w:t xml:space="preserve"> de </w:t>
      </w:r>
      <w:r>
        <w:rPr>
          <w:lang w:val="es-ES_tradnl"/>
        </w:rPr>
        <w:t xml:space="preserve">ese país y que </w:t>
      </w:r>
      <w:r w:rsidRPr="00C06F5C">
        <w:rPr>
          <w:lang w:val="es-ES_tradnl"/>
        </w:rPr>
        <w:t xml:space="preserve">Puerto Rico está sujeto a </w:t>
      </w:r>
      <w:r>
        <w:rPr>
          <w:lang w:val="es-ES_tradnl"/>
        </w:rPr>
        <w:t>su</w:t>
      </w:r>
      <w:r w:rsidRPr="00C06F5C">
        <w:rPr>
          <w:lang w:val="es-ES_tradnl"/>
        </w:rPr>
        <w:t xml:space="preserve">s leyes </w:t>
      </w:r>
      <w:r>
        <w:rPr>
          <w:lang w:val="es-ES_tradnl"/>
        </w:rPr>
        <w:t xml:space="preserve">de </w:t>
      </w:r>
      <w:r w:rsidRPr="00C06F5C">
        <w:rPr>
          <w:lang w:val="es-ES_tradnl"/>
        </w:rPr>
        <w:t>aduana</w:t>
      </w:r>
      <w:r>
        <w:rPr>
          <w:lang w:val="es-ES_tradnl"/>
        </w:rPr>
        <w:t xml:space="preserve">. </w:t>
      </w:r>
      <w:r w:rsidRPr="00A73A4C">
        <w:rPr>
          <w:lang w:val="es-ES_tradnl"/>
        </w:rPr>
        <w:t>Las bar</w:t>
      </w:r>
      <w:r>
        <w:rPr>
          <w:lang w:val="es-ES_tradnl"/>
        </w:rPr>
        <w:t>reras comerciales han impedido su</w:t>
      </w:r>
      <w:r w:rsidRPr="00A73A4C">
        <w:rPr>
          <w:lang w:val="es-ES_tradnl"/>
        </w:rPr>
        <w:t xml:space="preserve"> plena integración a los mercados globales y el desarrollo de industrias competitivas a nivel mundial.</w:t>
      </w:r>
    </w:p>
    <w:p w:rsidR="005A5E7D" w:rsidRPr="00A73A4C" w:rsidRDefault="005A5E7D" w:rsidP="005A5E7D">
      <w:pPr>
        <w:rPr>
          <w:lang w:val="es-ES_tradnl"/>
        </w:rPr>
      </w:pPr>
      <w:r w:rsidRPr="00A73A4C">
        <w:rPr>
          <w:lang w:val="es-ES_tradnl"/>
        </w:rPr>
        <w:t>Además</w:t>
      </w:r>
      <w:r>
        <w:rPr>
          <w:lang w:val="es-ES_tradnl"/>
        </w:rPr>
        <w:t>,</w:t>
      </w:r>
      <w:r w:rsidRPr="00A73A4C">
        <w:rPr>
          <w:lang w:val="es-ES_tradnl"/>
        </w:rPr>
        <w:t xml:space="preserve"> la estrategia de crecimiento económico de los </w:t>
      </w:r>
      <w:r>
        <w:rPr>
          <w:lang w:val="es-ES_tradnl"/>
        </w:rPr>
        <w:t>Gobiernos locales se ha</w:t>
      </w:r>
      <w:r w:rsidRPr="00A73A4C">
        <w:rPr>
          <w:lang w:val="es-ES_tradnl"/>
        </w:rPr>
        <w:t xml:space="preserve"> centrado históricamente en atraer inversiones extranjeras y de Estados Unidos. Esta política ha dado lugar a una falla en</w:t>
      </w:r>
      <w:r>
        <w:rPr>
          <w:lang w:val="es-ES_tradnl"/>
        </w:rPr>
        <w:t xml:space="preserve"> </w:t>
      </w:r>
      <w:r w:rsidRPr="00A73A4C">
        <w:rPr>
          <w:lang w:val="es-ES_tradnl"/>
        </w:rPr>
        <w:t>el desarrollo de sectores locales exportadores competitivos.</w:t>
      </w:r>
      <w:r>
        <w:rPr>
          <w:lang w:val="es-ES_tradnl"/>
        </w:rPr>
        <w:t xml:space="preserve"> La falla en promover la inversión manufacturera de Puerto Rico </w:t>
      </w:r>
      <w:r w:rsidRPr="008B456C">
        <w:t>—</w:t>
      </w:r>
      <w:r>
        <w:rPr>
          <w:lang w:val="es-ES_tradnl"/>
        </w:rPr>
        <w:t>no solo la producción dirigida al mercado local, sino también para la exportación</w:t>
      </w:r>
      <w:r w:rsidRPr="008B456C">
        <w:t>—</w:t>
      </w:r>
      <w:r>
        <w:rPr>
          <w:lang w:val="es-ES_tradnl"/>
        </w:rPr>
        <w:t xml:space="preserve"> ha sido una de las críticas de diversos artículos, por ejemplo de Dietz (2003), y Edward Wolff y Ángel Ruiz (1996), e informes como el de la CEPAL (2005).</w:t>
      </w:r>
    </w:p>
    <w:p w:rsidR="005A5E7D" w:rsidRPr="000D7CAB" w:rsidRDefault="005A5E7D" w:rsidP="005A5E7D">
      <w:pPr>
        <w:spacing w:line="360" w:lineRule="auto"/>
        <w:rPr>
          <w:sz w:val="28"/>
          <w:lang w:val="es-ES_tradnl"/>
        </w:rPr>
      </w:pPr>
    </w:p>
    <w:p w:rsidR="005A5E7D" w:rsidRPr="00816D6E" w:rsidRDefault="005A5E7D" w:rsidP="00816D6E">
      <w:pPr>
        <w:pStyle w:val="Heading2"/>
        <w:numPr>
          <w:ilvl w:val="0"/>
          <w:numId w:val="0"/>
        </w:numPr>
        <w:jc w:val="both"/>
        <w:rPr>
          <w:lang w:val="en-US"/>
        </w:rPr>
      </w:pPr>
      <w:bookmarkStart w:id="44" w:name="_Toc384769743"/>
      <w:r w:rsidRPr="00816D6E">
        <w:rPr>
          <w:lang w:val="en-US"/>
        </w:rPr>
        <w:t>Referencias</w:t>
      </w:r>
      <w:bookmarkEnd w:id="44"/>
    </w:p>
    <w:p w:rsidR="00816D6E" w:rsidRPr="00A01D20" w:rsidRDefault="00816D6E" w:rsidP="00816D6E">
      <w:pPr>
        <w:spacing w:after="240" w:line="240" w:lineRule="auto"/>
        <w:ind w:left="720" w:right="61" w:hanging="630"/>
        <w:rPr>
          <w:szCs w:val="24"/>
        </w:rPr>
      </w:pPr>
      <w:r w:rsidRPr="00A01D20">
        <w:rPr>
          <w:szCs w:val="24"/>
          <w:lang w:val="en-US"/>
        </w:rPr>
        <w:t xml:space="preserve">An Analysis of the Effects of a Repeal of Section 936 Under Puerto Rico’s Present Commonwealth Status. </w:t>
      </w:r>
      <w:r w:rsidRPr="00A01D20">
        <w:rPr>
          <w:szCs w:val="24"/>
        </w:rPr>
        <w:t xml:space="preserve">(1991). Volumen II. Washington, DC. </w:t>
      </w:r>
    </w:p>
    <w:p w:rsidR="00816D6E" w:rsidRPr="00A01D20" w:rsidRDefault="00816D6E" w:rsidP="00816D6E">
      <w:pPr>
        <w:spacing w:after="240" w:line="240" w:lineRule="auto"/>
        <w:ind w:left="720" w:hanging="630"/>
        <w:rPr>
          <w:szCs w:val="24"/>
          <w:lang w:val="es-ES_tradnl"/>
        </w:rPr>
      </w:pPr>
      <w:r w:rsidRPr="00A01D20">
        <w:rPr>
          <w:szCs w:val="24"/>
          <w:lang w:val="es-ES_tradnl"/>
        </w:rPr>
        <w:t xml:space="preserve">Andino Caballero, T.(2011). Innovando una Educación Cincuentona,  </w:t>
      </w:r>
      <w:r w:rsidRPr="00A01D20">
        <w:rPr>
          <w:i/>
          <w:szCs w:val="24"/>
          <w:lang w:val="es-ES_tradnl"/>
        </w:rPr>
        <w:t>Revista Jurídica</w:t>
      </w:r>
      <w:r w:rsidRPr="00A01D20">
        <w:rPr>
          <w:szCs w:val="24"/>
          <w:lang w:val="es-ES_tradnl"/>
        </w:rPr>
        <w:t xml:space="preserve">, U.P.R. 529. </w:t>
      </w:r>
    </w:p>
    <w:p w:rsidR="00816D6E" w:rsidRPr="00A01D20" w:rsidRDefault="00816D6E" w:rsidP="00816D6E">
      <w:pPr>
        <w:spacing w:after="240" w:line="240" w:lineRule="auto"/>
        <w:ind w:left="720" w:hanging="630"/>
        <w:rPr>
          <w:szCs w:val="24"/>
          <w:lang w:val="en-US"/>
        </w:rPr>
      </w:pPr>
      <w:r w:rsidRPr="00A01D20">
        <w:rPr>
          <w:szCs w:val="24"/>
          <w:lang w:val="en-US"/>
        </w:rPr>
        <w:t>Badillo, V. (2005). The Economic Implications of Puerto Rican Statehood, (Tesis), Haverford College.</w:t>
      </w:r>
    </w:p>
    <w:p w:rsidR="00816D6E" w:rsidRPr="00A01D20" w:rsidRDefault="00816D6E" w:rsidP="00816D6E">
      <w:pPr>
        <w:spacing w:after="240" w:line="240" w:lineRule="auto"/>
        <w:ind w:left="720" w:hanging="630"/>
        <w:rPr>
          <w:szCs w:val="24"/>
          <w:lang w:val="en-US"/>
        </w:rPr>
      </w:pPr>
      <w:r w:rsidRPr="00A01D20">
        <w:rPr>
          <w:szCs w:val="24"/>
          <w:lang w:val="en-US"/>
        </w:rPr>
        <w:t xml:space="preserve">Baumol W. (2006).  Puerto Rico and the Economic Future: Outsourcer or Outsourcee? </w:t>
      </w:r>
      <w:r w:rsidRPr="00A01D20">
        <w:rPr>
          <w:i/>
          <w:szCs w:val="24"/>
          <w:lang w:val="en-US"/>
        </w:rPr>
        <w:t>Inter Metro Business Journal</w:t>
      </w:r>
      <w:r w:rsidRPr="00A01D20">
        <w:rPr>
          <w:szCs w:val="24"/>
          <w:lang w:val="en-US"/>
        </w:rPr>
        <w:t>, Primavera 2006, Vol. 2 No. 1.</w:t>
      </w:r>
    </w:p>
    <w:p w:rsidR="00816D6E" w:rsidRPr="00A01D20" w:rsidRDefault="00816D6E" w:rsidP="00816D6E">
      <w:pPr>
        <w:widowControl w:val="0"/>
        <w:autoSpaceDE w:val="0"/>
        <w:autoSpaceDN w:val="0"/>
        <w:adjustRightInd w:val="0"/>
        <w:spacing w:after="240" w:line="240" w:lineRule="auto"/>
        <w:ind w:left="720" w:hanging="630"/>
        <w:rPr>
          <w:szCs w:val="24"/>
          <w:lang w:val="en-US"/>
        </w:rPr>
      </w:pPr>
      <w:r w:rsidRPr="00A01D20">
        <w:rPr>
          <w:szCs w:val="24"/>
          <w:lang w:val="en-US"/>
        </w:rPr>
        <w:t xml:space="preserve">Baumol, W. &amp; Wolff, E. (1996) Catching up in the postwar period: Puerto Rico as the fifth ‘tiger’? </w:t>
      </w:r>
      <w:r w:rsidRPr="00A01D20">
        <w:rPr>
          <w:i/>
          <w:szCs w:val="24"/>
          <w:lang w:val="en-US"/>
        </w:rPr>
        <w:t>World Development</w:t>
      </w:r>
      <w:r w:rsidRPr="00A01D20">
        <w:rPr>
          <w:szCs w:val="24"/>
          <w:lang w:val="en-US"/>
        </w:rPr>
        <w:t>, 24, pp. 869-885.</w:t>
      </w:r>
    </w:p>
    <w:p w:rsidR="00816D6E" w:rsidRPr="00A01D20" w:rsidRDefault="00816D6E" w:rsidP="00816D6E">
      <w:pPr>
        <w:widowControl w:val="0"/>
        <w:autoSpaceDE w:val="0"/>
        <w:autoSpaceDN w:val="0"/>
        <w:adjustRightInd w:val="0"/>
        <w:spacing w:after="240" w:line="240" w:lineRule="auto"/>
        <w:ind w:left="720" w:hanging="630"/>
        <w:rPr>
          <w:szCs w:val="24"/>
          <w:lang w:val="en-US"/>
        </w:rPr>
      </w:pPr>
      <w:r w:rsidRPr="00A01D20">
        <w:rPr>
          <w:szCs w:val="24"/>
          <w:lang w:val="en-US"/>
        </w:rPr>
        <w:t>Bigelow, J. (2007). A New State of Puerto Rican Politics: Framing the Plebiscites on Status, Macalester College.</w:t>
      </w:r>
    </w:p>
    <w:p w:rsidR="00816D6E" w:rsidRPr="00A01D20" w:rsidRDefault="00816D6E" w:rsidP="00816D6E">
      <w:pPr>
        <w:spacing w:after="240" w:line="240" w:lineRule="auto"/>
        <w:ind w:left="720" w:hanging="630"/>
        <w:rPr>
          <w:szCs w:val="24"/>
          <w:lang w:val="en-US"/>
        </w:rPr>
      </w:pPr>
      <w:r w:rsidRPr="00A01D20">
        <w:rPr>
          <w:szCs w:val="24"/>
          <w:lang w:val="en-US"/>
        </w:rPr>
        <w:t>Blum, J. (1994). The Tax Elasticity of 936 Investment in Puerto Rico, en E. Meléndez y A. Ruiz (Eds.) Economic Effects of the Political Options for Puerto Rico. Interamerican University Press, Río Piedras, PR.</w:t>
      </w:r>
    </w:p>
    <w:p w:rsidR="00816D6E" w:rsidRPr="00A01D20" w:rsidRDefault="00816D6E" w:rsidP="00816D6E">
      <w:pPr>
        <w:spacing w:after="240" w:line="240" w:lineRule="auto"/>
        <w:ind w:left="720" w:hanging="630"/>
        <w:rPr>
          <w:szCs w:val="24"/>
          <w:lang w:val="en-US"/>
        </w:rPr>
      </w:pPr>
      <w:r w:rsidRPr="00A01D20">
        <w:rPr>
          <w:szCs w:val="24"/>
          <w:lang w:val="en-US"/>
        </w:rPr>
        <w:t xml:space="preserve">Bofill Valdés, J. (1994). The Impact of Federal Disbursements and Taxes in the Puerto Rican Economy and Status Options en E. Melendez and A. Ruiz (editores) </w:t>
      </w:r>
      <w:r w:rsidRPr="00A01D20">
        <w:rPr>
          <w:i/>
          <w:szCs w:val="24"/>
          <w:lang w:val="en-US"/>
        </w:rPr>
        <w:t>Economic Effects of the Political Options for Puerto Rico, Interamerican University Press</w:t>
      </w:r>
      <w:r w:rsidRPr="00A01D20">
        <w:rPr>
          <w:szCs w:val="24"/>
          <w:lang w:val="en-US"/>
        </w:rPr>
        <w:t>, Río Piedras, PR</w:t>
      </w:r>
    </w:p>
    <w:p w:rsidR="00816D6E" w:rsidRPr="00A01D20" w:rsidRDefault="00816D6E" w:rsidP="00816D6E">
      <w:pPr>
        <w:spacing w:after="240" w:line="240" w:lineRule="auto"/>
        <w:ind w:left="720" w:hanging="630"/>
        <w:rPr>
          <w:szCs w:val="24"/>
        </w:rPr>
      </w:pPr>
      <w:r w:rsidRPr="00A01D20">
        <w:rPr>
          <w:szCs w:val="24"/>
          <w:lang w:val="en-US"/>
        </w:rPr>
        <w:t xml:space="preserve">Brumbaugh, David. (1991). Puerto Rico’s Status Options and Federal Taxes. </w:t>
      </w:r>
      <w:r w:rsidRPr="00A01D20">
        <w:rPr>
          <w:szCs w:val="24"/>
        </w:rPr>
        <w:t>Washington, DC: Congressional Research Service, Library of Congress.</w:t>
      </w:r>
    </w:p>
    <w:p w:rsidR="00816D6E" w:rsidRPr="00A01D20" w:rsidRDefault="00816D6E" w:rsidP="00816D6E">
      <w:pPr>
        <w:spacing w:after="240" w:line="240" w:lineRule="auto"/>
        <w:ind w:left="720" w:right="61" w:hanging="630"/>
        <w:rPr>
          <w:szCs w:val="24"/>
          <w:lang w:val="es-ES_tradnl"/>
        </w:rPr>
      </w:pPr>
      <w:r w:rsidRPr="00A01D20">
        <w:rPr>
          <w:szCs w:val="24"/>
          <w:lang w:val="es-ES_tradnl"/>
        </w:rPr>
        <w:t xml:space="preserve">Cambio en los Niveles de Productividad por sector Industrial en la Economía de Puerto Rico (2006)  </w:t>
      </w:r>
      <w:r w:rsidRPr="00A01D20">
        <w:rPr>
          <w:i/>
          <w:szCs w:val="24"/>
          <w:lang w:val="es-ES_tradnl"/>
        </w:rPr>
        <w:t>Revista Electrónica de la División de Ciencias Económicas</w:t>
      </w:r>
      <w:r w:rsidRPr="00A01D20">
        <w:rPr>
          <w:szCs w:val="24"/>
          <w:lang w:val="es-ES_tradnl"/>
        </w:rPr>
        <w:t>, Universidad Interamericana de Puerto Rico.</w:t>
      </w:r>
    </w:p>
    <w:p w:rsidR="00816D6E" w:rsidRPr="00A01D20" w:rsidRDefault="00816D6E" w:rsidP="00816D6E">
      <w:pPr>
        <w:spacing w:after="240" w:line="240" w:lineRule="auto"/>
        <w:ind w:left="720" w:right="61" w:hanging="630"/>
        <w:rPr>
          <w:szCs w:val="24"/>
          <w:lang w:val="es-ES_tradnl"/>
        </w:rPr>
      </w:pPr>
      <w:r w:rsidRPr="00A01D20">
        <w:rPr>
          <w:szCs w:val="24"/>
          <w:lang w:val="es-ES_tradnl"/>
        </w:rPr>
        <w:t>Cambio Tecnológico e Inversión en Capital Humano: Dos Factores Claves en los Nuevos Modelos de Crecimiento Económicos (2006).</w:t>
      </w:r>
      <w:r w:rsidRPr="00A01D20">
        <w:rPr>
          <w:i/>
          <w:szCs w:val="24"/>
          <w:lang w:val="es-ES_tradnl"/>
        </w:rPr>
        <w:t xml:space="preserve"> Boletín de la Asociación de Economistas de Puerto Rico</w:t>
      </w:r>
      <w:r w:rsidRPr="00A01D20">
        <w:rPr>
          <w:szCs w:val="24"/>
          <w:lang w:val="es-ES_tradnl"/>
        </w:rPr>
        <w:t xml:space="preserve">, Volumen 1, Núm. 1.  </w:t>
      </w:r>
    </w:p>
    <w:p w:rsidR="00816D6E" w:rsidRPr="00A01D20" w:rsidRDefault="00816D6E" w:rsidP="00816D6E">
      <w:pPr>
        <w:spacing w:after="240" w:line="240" w:lineRule="auto"/>
        <w:ind w:left="720" w:right="61" w:hanging="630"/>
        <w:rPr>
          <w:szCs w:val="24"/>
          <w:lang w:val="en-US"/>
        </w:rPr>
      </w:pPr>
      <w:r w:rsidRPr="00A01D20">
        <w:rPr>
          <w:szCs w:val="24"/>
          <w:lang w:val="es-ES_tradnl"/>
        </w:rPr>
        <w:t xml:space="preserve">Cambios en la Productividad Parcial del Factor Trabajo en el Sector de los Servicios en Puerto Rico: : Un Enfoque Usando la Técnica de Insumo-Producto. </w:t>
      </w:r>
      <w:r w:rsidRPr="00A01D20">
        <w:rPr>
          <w:szCs w:val="24"/>
          <w:lang w:val="en-US"/>
        </w:rPr>
        <w:t xml:space="preserve">(1978).  </w:t>
      </w:r>
      <w:r w:rsidRPr="00A01D20">
        <w:rPr>
          <w:i/>
          <w:szCs w:val="24"/>
          <w:lang w:val="en-US"/>
        </w:rPr>
        <w:t>Revista de Ciencias Sociales</w:t>
      </w:r>
      <w:r w:rsidRPr="00A01D20">
        <w:rPr>
          <w:szCs w:val="24"/>
          <w:lang w:val="en-US"/>
        </w:rPr>
        <w:t>, Vol. XXI, Núm. 3-4.</w:t>
      </w:r>
    </w:p>
    <w:p w:rsidR="00816D6E" w:rsidRPr="00A01D20" w:rsidRDefault="00816D6E" w:rsidP="00816D6E">
      <w:pPr>
        <w:spacing w:after="240" w:line="240" w:lineRule="auto"/>
        <w:ind w:left="720" w:hanging="630"/>
        <w:rPr>
          <w:szCs w:val="24"/>
          <w:lang w:val="en-US"/>
        </w:rPr>
      </w:pPr>
      <w:r w:rsidRPr="00A01D20">
        <w:rPr>
          <w:szCs w:val="24"/>
          <w:lang w:val="en-US"/>
        </w:rPr>
        <w:t>CBO (1990) Potential Economic Impacts of Changes in Puerto Rico’s Status Under S. 712, Washington, D.C: Congressional Budget Office.</w:t>
      </w:r>
    </w:p>
    <w:p w:rsidR="00816D6E" w:rsidRPr="00A01D20" w:rsidRDefault="00816D6E" w:rsidP="00816D6E">
      <w:pPr>
        <w:spacing w:after="240" w:line="240" w:lineRule="auto"/>
        <w:ind w:left="720" w:hanging="630"/>
        <w:rPr>
          <w:szCs w:val="24"/>
          <w:lang w:val="en-US"/>
        </w:rPr>
      </w:pPr>
      <w:r w:rsidRPr="00A01D20">
        <w:rPr>
          <w:szCs w:val="24"/>
          <w:lang w:val="es-ES_tradnl"/>
        </w:rPr>
        <w:t xml:space="preserve">CEPAL (2005) Globalización y Desarrollo: Desafíos de Puerto Rico Frente al Siglo XXI. </w:t>
      </w:r>
      <w:r w:rsidRPr="00A01D20">
        <w:rPr>
          <w:szCs w:val="24"/>
          <w:lang w:val="en-US"/>
        </w:rPr>
        <w:t>México, DF.</w:t>
      </w:r>
    </w:p>
    <w:p w:rsidR="00816D6E" w:rsidRPr="00A01D20" w:rsidRDefault="00816D6E" w:rsidP="008964A4">
      <w:pPr>
        <w:spacing w:beforeLines="1" w:afterLines="1" w:line="240" w:lineRule="auto"/>
        <w:ind w:left="720" w:hanging="630"/>
        <w:outlineLvl w:val="1"/>
        <w:rPr>
          <w:szCs w:val="24"/>
          <w:lang w:val="en-US"/>
        </w:rPr>
      </w:pPr>
      <w:bookmarkStart w:id="45" w:name="_Toc382585741"/>
      <w:bookmarkStart w:id="46" w:name="_Toc382585986"/>
      <w:bookmarkStart w:id="47" w:name="_Toc382586759"/>
      <w:bookmarkStart w:id="48" w:name="_Toc382588721"/>
      <w:bookmarkStart w:id="49" w:name="_Toc384769744"/>
      <w:r w:rsidRPr="00A01D20">
        <w:rPr>
          <w:szCs w:val="24"/>
          <w:lang w:val="en-US"/>
        </w:rPr>
        <w:t xml:space="preserve">Clar, Juan (2013). </w:t>
      </w:r>
      <w:r w:rsidRPr="00A01D20">
        <w:rPr>
          <w:kern w:val="36"/>
          <w:szCs w:val="24"/>
          <w:lang w:val="en-US"/>
        </w:rPr>
        <w:t xml:space="preserve">Rethinking the Puerto Rican Commonwealth Model through a Lens of Internationalization.  </w:t>
      </w:r>
      <w:r w:rsidRPr="00A01D20">
        <w:rPr>
          <w:i/>
          <w:szCs w:val="24"/>
          <w:lang w:val="en-US"/>
        </w:rPr>
        <w:t>The Fletcher Forum of World Affairs</w:t>
      </w:r>
      <w:r w:rsidRPr="00A01D20">
        <w:rPr>
          <w:szCs w:val="24"/>
          <w:lang w:val="en-US"/>
        </w:rPr>
        <w:t>,  Edición especial.</w:t>
      </w:r>
      <w:bookmarkEnd w:id="45"/>
      <w:bookmarkEnd w:id="46"/>
      <w:bookmarkEnd w:id="47"/>
      <w:bookmarkEnd w:id="48"/>
      <w:bookmarkEnd w:id="49"/>
    </w:p>
    <w:p w:rsidR="00816D6E" w:rsidRPr="00A01D20" w:rsidRDefault="00816D6E" w:rsidP="008964A4">
      <w:pPr>
        <w:spacing w:beforeLines="1" w:afterLines="1" w:line="240" w:lineRule="auto"/>
        <w:ind w:left="720" w:hanging="630"/>
        <w:outlineLvl w:val="1"/>
        <w:rPr>
          <w:szCs w:val="24"/>
          <w:lang w:val="en-US"/>
        </w:rPr>
      </w:pPr>
    </w:p>
    <w:p w:rsidR="00816D6E" w:rsidRPr="00A01D20" w:rsidRDefault="00816D6E" w:rsidP="00816D6E">
      <w:pPr>
        <w:spacing w:after="240" w:line="240" w:lineRule="auto"/>
        <w:ind w:left="720" w:hanging="630"/>
        <w:rPr>
          <w:szCs w:val="24"/>
          <w:lang w:val="en-US"/>
        </w:rPr>
      </w:pPr>
      <w:r w:rsidRPr="00A01D20">
        <w:rPr>
          <w:szCs w:val="24"/>
          <w:lang w:val="en-US"/>
        </w:rPr>
        <w:t xml:space="preserve">Colón Moreira, Javier (1993).  </w:t>
      </w:r>
      <w:r w:rsidRPr="00A01D20">
        <w:rPr>
          <w:szCs w:val="24"/>
        </w:rPr>
        <w:t xml:space="preserve">Future Political-Economic Scenarios in Puerto Rico en E. Meléndez y A. Ruiz (Eds.) </w:t>
      </w:r>
      <w:r w:rsidRPr="00A01D20">
        <w:rPr>
          <w:i/>
          <w:szCs w:val="24"/>
          <w:lang w:val="en-US"/>
        </w:rPr>
        <w:t>Economic Effects of the Political Options for Puerto Rico</w:t>
      </w:r>
      <w:r w:rsidRPr="00A01D20">
        <w:rPr>
          <w:szCs w:val="24"/>
          <w:lang w:val="en-US"/>
        </w:rPr>
        <w:t>, Interamerican University Press, ”, Río Piedras, PR.</w:t>
      </w:r>
    </w:p>
    <w:p w:rsidR="00816D6E" w:rsidRPr="00A01D20" w:rsidRDefault="00816D6E" w:rsidP="00816D6E">
      <w:pPr>
        <w:spacing w:after="240" w:line="240" w:lineRule="auto"/>
        <w:ind w:left="720" w:hanging="630"/>
        <w:rPr>
          <w:szCs w:val="24"/>
        </w:rPr>
      </w:pPr>
      <w:r w:rsidRPr="00A01D20">
        <w:rPr>
          <w:szCs w:val="24"/>
          <w:lang w:val="en-US"/>
        </w:rPr>
        <w:t xml:space="preserve">Del Valle-Caballero, J. (1993). Income Distribution and Industrial Policy: An Assessment of the Implications of Political Status Options on Industrial Profitability. </w:t>
      </w:r>
      <w:r w:rsidRPr="00A01D20">
        <w:rPr>
          <w:szCs w:val="24"/>
        </w:rPr>
        <w:t>Río Piedras, PR: Centro de Economía Aplicada.</w:t>
      </w:r>
    </w:p>
    <w:p w:rsidR="00816D6E" w:rsidRPr="00A01D20" w:rsidRDefault="00816D6E" w:rsidP="00816D6E">
      <w:pPr>
        <w:spacing w:after="240" w:line="240" w:lineRule="auto"/>
        <w:ind w:left="720" w:hanging="630"/>
        <w:rPr>
          <w:szCs w:val="24"/>
          <w:lang w:val="en-US"/>
        </w:rPr>
      </w:pPr>
      <w:r w:rsidRPr="00A01D20">
        <w:rPr>
          <w:szCs w:val="24"/>
        </w:rPr>
        <w:t xml:space="preserve">Dietz James L. (2003) Puerto Rico: Negotiating Development and Change. </w:t>
      </w:r>
      <w:r w:rsidRPr="00A01D20">
        <w:rPr>
          <w:szCs w:val="24"/>
          <w:lang w:val="en-US"/>
        </w:rPr>
        <w:t>Lynne Rienner, Publishers, Inc. Boulder, Colorado.</w:t>
      </w:r>
    </w:p>
    <w:p w:rsidR="00816D6E" w:rsidRPr="00A01D20" w:rsidRDefault="00816D6E" w:rsidP="00816D6E">
      <w:pPr>
        <w:spacing w:after="240" w:line="240" w:lineRule="auto"/>
        <w:ind w:left="720" w:hanging="630"/>
        <w:rPr>
          <w:szCs w:val="24"/>
          <w:lang w:val="en-US"/>
        </w:rPr>
      </w:pPr>
      <w:r w:rsidRPr="00A01D20">
        <w:rPr>
          <w:szCs w:val="24"/>
          <w:lang w:val="en-US"/>
        </w:rPr>
        <w:t>Economic Development Administration. (1984). Report on the Benefits of Section 936 U.S. Internal Revenue Code to Puerto Rico. San Juan, PR</w:t>
      </w:r>
    </w:p>
    <w:p w:rsidR="00816D6E" w:rsidRPr="00A01D20" w:rsidRDefault="00816D6E" w:rsidP="00816D6E">
      <w:pPr>
        <w:spacing w:after="240" w:line="240" w:lineRule="auto"/>
        <w:ind w:left="720" w:hanging="630"/>
        <w:rPr>
          <w:szCs w:val="24"/>
          <w:lang w:val="en-US"/>
        </w:rPr>
      </w:pPr>
      <w:r w:rsidRPr="00A01D20">
        <w:rPr>
          <w:szCs w:val="24"/>
          <w:lang w:val="en-US"/>
        </w:rPr>
        <w:t>Estudios Técnicos. (1989). “The Impact of Section 936 on Puerto Rico’s Economy and Banking System”. Hato Rey, PR.</w:t>
      </w:r>
    </w:p>
    <w:p w:rsidR="00816D6E" w:rsidRPr="00A01D20" w:rsidRDefault="00816D6E" w:rsidP="00816D6E">
      <w:pPr>
        <w:spacing w:after="240" w:line="240" w:lineRule="auto"/>
        <w:ind w:left="720" w:hanging="630"/>
        <w:rPr>
          <w:szCs w:val="24"/>
          <w:lang w:val="en-US"/>
        </w:rPr>
      </w:pPr>
      <w:r w:rsidRPr="00A01D20">
        <w:rPr>
          <w:szCs w:val="24"/>
          <w:lang w:val="en-US"/>
        </w:rPr>
        <w:t>Federal Reserve Bank of New York (2012) Report on the Competitiveness of Puerto Rico’s Economy.</w:t>
      </w:r>
    </w:p>
    <w:p w:rsidR="00816D6E" w:rsidRPr="00A01D20" w:rsidRDefault="00816D6E" w:rsidP="00816D6E">
      <w:pPr>
        <w:spacing w:after="240" w:line="240" w:lineRule="auto"/>
        <w:ind w:left="720" w:hanging="630"/>
        <w:rPr>
          <w:szCs w:val="24"/>
        </w:rPr>
      </w:pPr>
      <w:r w:rsidRPr="00A01D20">
        <w:rPr>
          <w:szCs w:val="24"/>
          <w:lang w:val="en-US"/>
        </w:rPr>
        <w:t xml:space="preserve">Finn, Bertram. (1983). The Economic Implications of Statehood for Puerto Rico en J. Heine (Ed. ), </w:t>
      </w:r>
      <w:r w:rsidRPr="00A01D20">
        <w:rPr>
          <w:i/>
          <w:szCs w:val="24"/>
          <w:lang w:val="en-US"/>
        </w:rPr>
        <w:t>Time for Decision: The United States and Puerto Rico</w:t>
      </w:r>
      <w:r w:rsidRPr="00A01D20">
        <w:rPr>
          <w:szCs w:val="24"/>
          <w:lang w:val="en-US"/>
        </w:rPr>
        <w:t xml:space="preserve">. </w:t>
      </w:r>
      <w:r w:rsidRPr="00A01D20">
        <w:rPr>
          <w:szCs w:val="24"/>
        </w:rPr>
        <w:t>Lanham: North-South Publishing Co.</w:t>
      </w:r>
    </w:p>
    <w:p w:rsidR="00816D6E" w:rsidRPr="00A01D20" w:rsidRDefault="00816D6E" w:rsidP="00816D6E">
      <w:pPr>
        <w:spacing w:after="240" w:line="240" w:lineRule="auto"/>
        <w:ind w:left="720" w:hanging="630"/>
        <w:rPr>
          <w:szCs w:val="24"/>
          <w:lang w:val="es-ES_tradnl"/>
        </w:rPr>
      </w:pPr>
      <w:r w:rsidRPr="00A01D20">
        <w:rPr>
          <w:szCs w:val="24"/>
        </w:rPr>
        <w:t xml:space="preserve">Gautier-Mayoral, C. </w:t>
      </w:r>
      <w:r w:rsidRPr="00A01D20">
        <w:rPr>
          <w:szCs w:val="24"/>
          <w:lang w:val="es-ES_tradnl"/>
        </w:rPr>
        <w:t>(1990). Poder y Plebiscito: Puerto Rico en 1991. Río Piedras, PR: Centro de Investigaciones Sociales, Universidad de Puerto Rico.</w:t>
      </w:r>
    </w:p>
    <w:p w:rsidR="00816D6E" w:rsidRPr="00A01D20" w:rsidRDefault="00816D6E" w:rsidP="00816D6E">
      <w:pPr>
        <w:spacing w:after="240" w:line="240" w:lineRule="auto"/>
        <w:ind w:left="720" w:hanging="630"/>
        <w:rPr>
          <w:szCs w:val="24"/>
          <w:lang w:val="en-US"/>
        </w:rPr>
      </w:pPr>
      <w:r w:rsidRPr="00A01D20">
        <w:rPr>
          <w:szCs w:val="24"/>
          <w:lang w:val="en-US"/>
        </w:rPr>
        <w:t>GAO (1996) Analysis of Certain Potential Effects of Extending Federal Income Taxation to Puerto Rico. Washington DC: United States Accounting Office.</w:t>
      </w:r>
    </w:p>
    <w:p w:rsidR="00816D6E" w:rsidRPr="00A01D20" w:rsidRDefault="00816D6E" w:rsidP="00816D6E">
      <w:pPr>
        <w:spacing w:after="240" w:line="240" w:lineRule="auto"/>
        <w:ind w:left="720" w:hanging="630"/>
        <w:rPr>
          <w:szCs w:val="24"/>
          <w:lang w:val="en-US"/>
        </w:rPr>
      </w:pPr>
      <w:r w:rsidRPr="00A01D20">
        <w:rPr>
          <w:szCs w:val="24"/>
          <w:lang w:val="en-US"/>
        </w:rPr>
        <w:t>Government Development Bank. (1985). Impact of 936 Funds in the Financial Markets in Puerto Rico. San Juan, PR.</w:t>
      </w:r>
    </w:p>
    <w:p w:rsidR="00816D6E" w:rsidRPr="00A01D20" w:rsidRDefault="00816D6E" w:rsidP="00816D6E">
      <w:pPr>
        <w:widowControl w:val="0"/>
        <w:autoSpaceDE w:val="0"/>
        <w:autoSpaceDN w:val="0"/>
        <w:adjustRightInd w:val="0"/>
        <w:spacing w:after="240" w:line="240" w:lineRule="auto"/>
        <w:ind w:left="720" w:hanging="630"/>
        <w:rPr>
          <w:szCs w:val="24"/>
          <w:lang w:val="en-US"/>
        </w:rPr>
      </w:pPr>
      <w:r w:rsidRPr="00A01D20">
        <w:rPr>
          <w:szCs w:val="24"/>
          <w:lang w:val="en-US"/>
        </w:rPr>
        <w:t xml:space="preserve">Green, C. (1996) Industrial policy for Puerto Rico and the implications of political status en E. Melendez y A. Ruiz (Eds.) </w:t>
      </w:r>
      <w:r w:rsidRPr="00A01D20">
        <w:rPr>
          <w:i/>
          <w:szCs w:val="24"/>
          <w:lang w:val="en-US"/>
        </w:rPr>
        <w:t xml:space="preserve">Economic Implications of Puerto Rico's Status Options. </w:t>
      </w:r>
    </w:p>
    <w:p w:rsidR="00816D6E" w:rsidRPr="00A01D20" w:rsidRDefault="00816D6E" w:rsidP="00816D6E">
      <w:pPr>
        <w:spacing w:after="240" w:line="240" w:lineRule="auto"/>
        <w:ind w:left="720" w:hanging="630"/>
        <w:rPr>
          <w:szCs w:val="24"/>
          <w:lang w:val="en-US"/>
        </w:rPr>
      </w:pPr>
      <w:r w:rsidRPr="00A01D20">
        <w:rPr>
          <w:szCs w:val="24"/>
          <w:lang w:val="en-US"/>
        </w:rPr>
        <w:t xml:space="preserve">Heine, J. (1980) (Ed.) A time for Decision: Puerto Rico and The United States Facing the 1980’s. </w:t>
      </w:r>
    </w:p>
    <w:p w:rsidR="00816D6E" w:rsidRPr="00A01D20" w:rsidRDefault="00816D6E" w:rsidP="00816D6E">
      <w:pPr>
        <w:spacing w:after="240" w:line="240" w:lineRule="auto"/>
        <w:ind w:left="720" w:hanging="630"/>
        <w:rPr>
          <w:szCs w:val="24"/>
        </w:rPr>
      </w:pPr>
      <w:r w:rsidRPr="00A01D20">
        <w:rPr>
          <w:szCs w:val="24"/>
          <w:lang w:val="en-US"/>
        </w:rPr>
        <w:t xml:space="preserve">Hexner, J. Thomas, G., Jenkins, H., Ladd, K., Russell L. (1993). </w:t>
      </w:r>
      <w:r w:rsidRPr="00A01D20">
        <w:rPr>
          <w:szCs w:val="24"/>
        </w:rPr>
        <w:t>Puerto Rican Statehood. Cambridge: Hex, Inc.</w:t>
      </w:r>
    </w:p>
    <w:p w:rsidR="00816D6E" w:rsidRPr="00A01D20" w:rsidRDefault="00816D6E" w:rsidP="00816D6E">
      <w:pPr>
        <w:spacing w:after="240" w:line="240" w:lineRule="auto"/>
        <w:ind w:left="720" w:hanging="630"/>
        <w:rPr>
          <w:szCs w:val="24"/>
          <w:lang w:val="en-US"/>
        </w:rPr>
      </w:pPr>
      <w:r w:rsidRPr="00A01D20">
        <w:rPr>
          <w:szCs w:val="24"/>
          <w:lang w:val="en-US"/>
        </w:rPr>
        <w:t xml:space="preserve">Isard, W. (1951). Interregional and Regional Input-output Analysis: A model of a Space Economy, </w:t>
      </w:r>
      <w:r w:rsidRPr="00A01D20">
        <w:rPr>
          <w:i/>
          <w:szCs w:val="24"/>
          <w:lang w:val="en-US"/>
        </w:rPr>
        <w:t>Review of Economics and Statistics</w:t>
      </w:r>
      <w:r w:rsidRPr="00A01D20">
        <w:rPr>
          <w:szCs w:val="24"/>
          <w:lang w:val="en-US"/>
        </w:rPr>
        <w:t>, 33, 318-28.</w:t>
      </w:r>
    </w:p>
    <w:p w:rsidR="00816D6E" w:rsidRPr="00A01D20" w:rsidRDefault="00816D6E" w:rsidP="00816D6E">
      <w:pPr>
        <w:widowControl w:val="0"/>
        <w:autoSpaceDE w:val="0"/>
        <w:autoSpaceDN w:val="0"/>
        <w:adjustRightInd w:val="0"/>
        <w:spacing w:after="240" w:line="240" w:lineRule="auto"/>
        <w:ind w:left="720" w:hanging="630"/>
        <w:rPr>
          <w:szCs w:val="24"/>
          <w:lang w:val="en-US"/>
        </w:rPr>
      </w:pPr>
      <w:r w:rsidRPr="00A01D20">
        <w:rPr>
          <w:szCs w:val="24"/>
          <w:lang w:val="en-US"/>
        </w:rPr>
        <w:t>Jenkins, G., Nazrul I. (1998) Economic Consequences of Statehood for Puerto Rico: A General Equilibrium Analysis, Development Discussion Paper Number: 1998-6, Harvard Institute for International Development.</w:t>
      </w:r>
    </w:p>
    <w:p w:rsidR="00816D6E" w:rsidRPr="00A01D20" w:rsidRDefault="00816D6E" w:rsidP="00816D6E">
      <w:pPr>
        <w:spacing w:after="240" w:line="240" w:lineRule="auto"/>
        <w:ind w:left="720" w:hanging="630"/>
        <w:rPr>
          <w:szCs w:val="24"/>
        </w:rPr>
      </w:pPr>
      <w:r w:rsidRPr="00A01D20">
        <w:rPr>
          <w:szCs w:val="24"/>
          <w:lang w:val="en-US"/>
        </w:rPr>
        <w:t xml:space="preserve">Kiefer, Donald. (1977). Treating Puerto Rico as a State Under Federal Tax and Expenditure Programs: A Preliminary Economic Analysis. </w:t>
      </w:r>
      <w:r w:rsidRPr="00A01D20">
        <w:rPr>
          <w:szCs w:val="24"/>
        </w:rPr>
        <w:t>Washington, DC: Congressional Research Service, Library of Congress.</w:t>
      </w:r>
    </w:p>
    <w:p w:rsidR="00816D6E" w:rsidRPr="00A01D20" w:rsidRDefault="00816D6E" w:rsidP="00816D6E">
      <w:pPr>
        <w:widowControl w:val="0"/>
        <w:autoSpaceDE w:val="0"/>
        <w:autoSpaceDN w:val="0"/>
        <w:adjustRightInd w:val="0"/>
        <w:spacing w:after="240" w:line="240" w:lineRule="auto"/>
        <w:ind w:left="720" w:right="61" w:hanging="630"/>
        <w:rPr>
          <w:color w:val="000000"/>
          <w:szCs w:val="24"/>
          <w:lang w:val="es-ES_tradnl"/>
        </w:rPr>
      </w:pPr>
      <w:r w:rsidRPr="00A01D20">
        <w:rPr>
          <w:color w:val="000000"/>
          <w:szCs w:val="24"/>
          <w:lang w:val="es-ES_tradnl"/>
        </w:rPr>
        <w:t>La substitución de importaciones en el sector agro-industrial de la economía de Puerto Rico: escenarios</w:t>
      </w:r>
      <w:r w:rsidRPr="00A01D20">
        <w:rPr>
          <w:szCs w:val="24"/>
          <w:lang w:val="es-ES_tradnl"/>
        </w:rPr>
        <w:t xml:space="preserve"> (2012)</w:t>
      </w:r>
      <w:r w:rsidRPr="00A01D20">
        <w:rPr>
          <w:color w:val="000000"/>
          <w:szCs w:val="24"/>
          <w:lang w:val="es-ES_tradnl"/>
        </w:rPr>
        <w:t xml:space="preserve">. </w:t>
      </w:r>
      <w:r w:rsidRPr="00A01D20">
        <w:rPr>
          <w:i/>
          <w:color w:val="000000"/>
          <w:szCs w:val="24"/>
          <w:lang w:val="es-ES_tradnl"/>
        </w:rPr>
        <w:t>Boletín Informativo de la Asociación de Economistas de Puerto Rico</w:t>
      </w:r>
      <w:r w:rsidRPr="00A01D20">
        <w:rPr>
          <w:color w:val="000000"/>
          <w:szCs w:val="24"/>
          <w:lang w:val="es-ES_tradnl"/>
        </w:rPr>
        <w:t>.</w:t>
      </w:r>
    </w:p>
    <w:p w:rsidR="00816D6E" w:rsidRPr="00A01D20" w:rsidRDefault="00816D6E" w:rsidP="00816D6E">
      <w:pPr>
        <w:widowControl w:val="0"/>
        <w:autoSpaceDE w:val="0"/>
        <w:autoSpaceDN w:val="0"/>
        <w:adjustRightInd w:val="0"/>
        <w:spacing w:after="240" w:line="240" w:lineRule="auto"/>
        <w:ind w:left="720" w:hanging="630"/>
        <w:rPr>
          <w:szCs w:val="24"/>
          <w:lang w:val="en-US"/>
        </w:rPr>
      </w:pPr>
      <w:r w:rsidRPr="00A01D20">
        <w:rPr>
          <w:szCs w:val="24"/>
          <w:lang w:val="en-US"/>
        </w:rPr>
        <w:t xml:space="preserve">Lefort, F. (1997) Presentation on Convergence Theory. Diagnostic Policy Center. </w:t>
      </w:r>
    </w:p>
    <w:p w:rsidR="00816D6E" w:rsidRPr="00A01D20" w:rsidRDefault="00816D6E" w:rsidP="00816D6E">
      <w:pPr>
        <w:widowControl w:val="0"/>
        <w:autoSpaceDE w:val="0"/>
        <w:autoSpaceDN w:val="0"/>
        <w:adjustRightInd w:val="0"/>
        <w:spacing w:after="240" w:line="240" w:lineRule="auto"/>
        <w:ind w:left="720" w:hanging="630"/>
        <w:rPr>
          <w:szCs w:val="24"/>
          <w:lang w:val="en-US"/>
        </w:rPr>
      </w:pPr>
      <w:r w:rsidRPr="00A01D20">
        <w:rPr>
          <w:szCs w:val="24"/>
          <w:lang w:val="en-US"/>
        </w:rPr>
        <w:t>Lefort, F. (1997) Is Puerto Rico Converging to the U.S.? International Tax Program, Harvard Law School</w:t>
      </w:r>
    </w:p>
    <w:p w:rsidR="00816D6E" w:rsidRPr="00A01D20" w:rsidRDefault="00816D6E" w:rsidP="00816D6E">
      <w:pPr>
        <w:spacing w:after="240" w:line="240" w:lineRule="auto"/>
        <w:ind w:left="720" w:hanging="630"/>
        <w:rPr>
          <w:szCs w:val="24"/>
          <w:lang w:val="en-US"/>
        </w:rPr>
      </w:pPr>
      <w:r w:rsidRPr="00A01D20">
        <w:rPr>
          <w:szCs w:val="24"/>
          <w:lang w:val="en-US"/>
        </w:rPr>
        <w:t>Leontief, W., y Strout, A. (1963), Multiregional Input-output Analysis en T. Barna (ed.) Structural Interdependence and Economic Development, Mac-Millan, London.</w:t>
      </w:r>
    </w:p>
    <w:p w:rsidR="00816D6E" w:rsidRPr="00A01D20" w:rsidRDefault="00816D6E" w:rsidP="00816D6E">
      <w:pPr>
        <w:spacing w:after="240" w:line="240" w:lineRule="auto"/>
        <w:ind w:left="720" w:hanging="630"/>
        <w:rPr>
          <w:szCs w:val="24"/>
          <w:lang w:val="en-US"/>
        </w:rPr>
      </w:pPr>
      <w:r w:rsidRPr="00A01D20">
        <w:rPr>
          <w:szCs w:val="24"/>
          <w:lang w:val="en-US"/>
        </w:rPr>
        <w:t xml:space="preserve">Maldonado, Rita. (1974). The Economic Costs and Benefits of Puerto Rico’s Political Alternatives.  </w:t>
      </w:r>
      <w:r w:rsidRPr="00A01D20">
        <w:rPr>
          <w:i/>
          <w:szCs w:val="24"/>
          <w:lang w:val="en-US"/>
        </w:rPr>
        <w:t>Southern Economic Journal</w:t>
      </w:r>
      <w:r w:rsidRPr="00A01D20">
        <w:rPr>
          <w:szCs w:val="24"/>
          <w:lang w:val="en-US"/>
        </w:rPr>
        <w:t>.</w:t>
      </w:r>
    </w:p>
    <w:p w:rsidR="00816D6E" w:rsidRPr="00A01D20" w:rsidRDefault="00816D6E" w:rsidP="00816D6E">
      <w:pPr>
        <w:spacing w:after="240" w:line="240" w:lineRule="auto"/>
        <w:ind w:left="720" w:hanging="630"/>
        <w:rPr>
          <w:szCs w:val="24"/>
          <w:lang w:val="en-US"/>
        </w:rPr>
      </w:pPr>
      <w:r w:rsidRPr="00A01D20">
        <w:rPr>
          <w:szCs w:val="24"/>
          <w:lang w:val="en-US"/>
        </w:rPr>
        <w:t>Marwick, P. (1990). Economic and Fiscal Impact of Puerto Rican Statehood. Washington, DC.</w:t>
      </w:r>
    </w:p>
    <w:p w:rsidR="00816D6E" w:rsidRPr="00A01D20" w:rsidRDefault="00816D6E" w:rsidP="00816D6E">
      <w:pPr>
        <w:spacing w:after="240" w:line="240" w:lineRule="auto"/>
        <w:ind w:left="720" w:hanging="630"/>
        <w:rPr>
          <w:szCs w:val="24"/>
          <w:lang w:val="en-US"/>
        </w:rPr>
      </w:pPr>
      <w:r w:rsidRPr="00A01D20">
        <w:rPr>
          <w:szCs w:val="24"/>
          <w:lang w:val="en-US"/>
        </w:rPr>
        <w:t>McKee, Michael. (1990). The Economic Consequences of Puerto Rican Statehood. Washington, DC: Quick, Finan and Associates.</w:t>
      </w:r>
    </w:p>
    <w:p w:rsidR="00816D6E" w:rsidRPr="00A01D20" w:rsidRDefault="00816D6E" w:rsidP="00816D6E">
      <w:pPr>
        <w:spacing w:after="240" w:line="240" w:lineRule="auto"/>
        <w:ind w:left="720" w:right="61" w:hanging="630"/>
        <w:rPr>
          <w:szCs w:val="24"/>
          <w:lang w:val="en-US"/>
        </w:rPr>
      </w:pPr>
      <w:r w:rsidRPr="00A01D20">
        <w:rPr>
          <w:szCs w:val="24"/>
          <w:lang w:val="en-US"/>
        </w:rPr>
        <w:t xml:space="preserve">Meléndez, E., y Ruiz, A. (Eds.) (1998) The Potential Impact of the Repeal of Section 936 on Puerto Rico’s Economy. </w:t>
      </w:r>
      <w:r w:rsidRPr="00A01D20">
        <w:rPr>
          <w:i/>
          <w:szCs w:val="24"/>
          <w:lang w:val="en-US"/>
        </w:rPr>
        <w:t>Interamerican University Press,</w:t>
      </w:r>
      <w:r w:rsidRPr="00A01D20">
        <w:rPr>
          <w:szCs w:val="24"/>
          <w:lang w:val="en-US"/>
        </w:rPr>
        <w:t xml:space="preserve"> Río Piedras, PR, 1998.</w:t>
      </w:r>
    </w:p>
    <w:p w:rsidR="00816D6E" w:rsidRPr="00A01D20" w:rsidRDefault="00816D6E" w:rsidP="00816D6E">
      <w:pPr>
        <w:spacing w:after="240" w:line="240" w:lineRule="auto"/>
        <w:ind w:left="720" w:hanging="630"/>
        <w:rPr>
          <w:szCs w:val="24"/>
          <w:lang w:val="en-US"/>
        </w:rPr>
      </w:pPr>
      <w:r w:rsidRPr="00A01D20">
        <w:rPr>
          <w:szCs w:val="24"/>
          <w:lang w:val="en-US"/>
        </w:rPr>
        <w:t xml:space="preserve">Meléndez, E. (1990). Accumulation and Crisis in the Open Economy: The Postwar Social Structure of Accumulation in Puerto Rico. </w:t>
      </w:r>
      <w:r w:rsidRPr="00A01D20">
        <w:rPr>
          <w:i/>
          <w:szCs w:val="24"/>
          <w:lang w:val="en-US"/>
        </w:rPr>
        <w:t>Review of Radical Political Economics</w:t>
      </w:r>
      <w:r w:rsidRPr="00A01D20">
        <w:rPr>
          <w:szCs w:val="24"/>
          <w:lang w:val="en-US"/>
        </w:rPr>
        <w:t>.</w:t>
      </w:r>
    </w:p>
    <w:p w:rsidR="00816D6E" w:rsidRPr="00A01D20" w:rsidRDefault="00816D6E" w:rsidP="00816D6E">
      <w:pPr>
        <w:spacing w:after="240" w:line="240" w:lineRule="auto"/>
        <w:ind w:left="720" w:hanging="630"/>
        <w:rPr>
          <w:szCs w:val="24"/>
          <w:lang w:val="en-US"/>
        </w:rPr>
      </w:pPr>
      <w:r w:rsidRPr="00A01D20">
        <w:rPr>
          <w:szCs w:val="24"/>
          <w:lang w:val="en-US"/>
        </w:rPr>
        <w:t xml:space="preserve">Negrón, E. (1993). Tax-Related Industrial Incentive Impact of Political Status Options for Puerto Rico, en E. Meléndez y A. Ruiz (Eds.) </w:t>
      </w:r>
      <w:r w:rsidRPr="00A01D20">
        <w:rPr>
          <w:i/>
          <w:szCs w:val="24"/>
          <w:lang w:val="en-US"/>
        </w:rPr>
        <w:t>Economic Effects of the Political Options for Puerto Rico</w:t>
      </w:r>
      <w:r w:rsidRPr="00A01D20">
        <w:rPr>
          <w:szCs w:val="24"/>
          <w:lang w:val="en-US"/>
        </w:rPr>
        <w:t>. Interamerican University Press, Río Piedras, PR, 1998.</w:t>
      </w:r>
    </w:p>
    <w:p w:rsidR="00816D6E" w:rsidRPr="00A01D20" w:rsidRDefault="00816D6E" w:rsidP="00816D6E">
      <w:pPr>
        <w:spacing w:after="240" w:line="240" w:lineRule="auto"/>
        <w:ind w:left="720" w:hanging="630"/>
        <w:rPr>
          <w:szCs w:val="24"/>
          <w:lang w:val="en-US"/>
        </w:rPr>
      </w:pPr>
      <w:r w:rsidRPr="00A01D20">
        <w:rPr>
          <w:szCs w:val="24"/>
          <w:lang w:val="en-US"/>
        </w:rPr>
        <w:t xml:space="preserve">Pantojas, E. (2013) The Puerto Rico Status Question: Can the Stalemate be Broken? </w:t>
      </w:r>
      <w:r w:rsidRPr="00A01D20">
        <w:rPr>
          <w:i/>
          <w:szCs w:val="24"/>
          <w:lang w:val="en-US"/>
        </w:rPr>
        <w:t>Caribbean Journal of International Relations &amp; Diplomacy</w:t>
      </w:r>
      <w:r w:rsidRPr="00A01D20">
        <w:rPr>
          <w:szCs w:val="24"/>
          <w:lang w:val="en-US"/>
        </w:rPr>
        <w:t>, Vol.1 No. 2.</w:t>
      </w:r>
    </w:p>
    <w:p w:rsidR="00816D6E" w:rsidRPr="00A01D20" w:rsidRDefault="00816D6E" w:rsidP="00816D6E">
      <w:pPr>
        <w:spacing w:after="240" w:line="240" w:lineRule="auto"/>
        <w:ind w:left="720" w:hanging="630"/>
        <w:rPr>
          <w:szCs w:val="24"/>
          <w:lang w:val="en-US"/>
        </w:rPr>
      </w:pPr>
      <w:r w:rsidRPr="00A01D20">
        <w:rPr>
          <w:szCs w:val="24"/>
          <w:lang w:val="en-US"/>
        </w:rPr>
        <w:t>Pérez, I. (1992). Political Status, Industrial Structure and Migration: Assessing the Prospects of Changes in the Puerto Rican Economy, 1982-2000. (Tesis de maestría), Massachusetts Institute of Technology.</w:t>
      </w:r>
    </w:p>
    <w:p w:rsidR="00816D6E" w:rsidRPr="00A01D20" w:rsidRDefault="00816D6E" w:rsidP="00816D6E">
      <w:pPr>
        <w:spacing w:after="240" w:line="240" w:lineRule="auto"/>
        <w:ind w:left="720" w:right="61" w:hanging="630"/>
        <w:rPr>
          <w:szCs w:val="24"/>
          <w:lang w:val="en-US"/>
        </w:rPr>
      </w:pPr>
      <w:r w:rsidRPr="00A01D20">
        <w:rPr>
          <w:szCs w:val="24"/>
          <w:lang w:val="en-US"/>
        </w:rPr>
        <w:t>Price Waterhouse. (1991). Benefits and Costs of Section 936. Volume I. Washington, DC.</w:t>
      </w:r>
    </w:p>
    <w:p w:rsidR="00816D6E" w:rsidRPr="00A01D20" w:rsidRDefault="00816D6E" w:rsidP="00816D6E">
      <w:pPr>
        <w:spacing w:after="240" w:line="240" w:lineRule="auto"/>
        <w:ind w:left="720" w:hanging="630"/>
        <w:rPr>
          <w:i/>
          <w:szCs w:val="24"/>
          <w:lang w:val="en-US"/>
        </w:rPr>
      </w:pPr>
      <w:r w:rsidRPr="00A01D20">
        <w:rPr>
          <w:szCs w:val="24"/>
          <w:lang w:val="en-US"/>
        </w:rPr>
        <w:t xml:space="preserve">Puerto Rican Migration and Occupational Selectivity. (1994). </w:t>
      </w:r>
      <w:r w:rsidRPr="00A01D20">
        <w:rPr>
          <w:i/>
          <w:szCs w:val="24"/>
          <w:lang w:val="en-US"/>
        </w:rPr>
        <w:t>International Migration Review, 28.</w:t>
      </w:r>
    </w:p>
    <w:p w:rsidR="00816D6E" w:rsidRPr="00A01D20" w:rsidRDefault="00816D6E" w:rsidP="00816D6E">
      <w:pPr>
        <w:spacing w:after="240" w:line="240" w:lineRule="auto"/>
        <w:ind w:left="720" w:right="61" w:hanging="630"/>
        <w:rPr>
          <w:szCs w:val="24"/>
          <w:lang w:val="en-US"/>
        </w:rPr>
      </w:pPr>
      <w:r w:rsidRPr="00A01D20">
        <w:rPr>
          <w:szCs w:val="24"/>
          <w:lang w:val="en-US"/>
        </w:rPr>
        <w:t xml:space="preserve">Ross, D. (1976). Political Status and Economic Development: Will the Dependent Variable Please Stand Up? </w:t>
      </w:r>
      <w:r w:rsidRPr="00A01D20">
        <w:rPr>
          <w:i/>
          <w:szCs w:val="24"/>
          <w:lang w:val="en-US"/>
        </w:rPr>
        <w:t>Review Interamericana</w:t>
      </w:r>
      <w:r w:rsidRPr="00A01D20">
        <w:rPr>
          <w:szCs w:val="24"/>
          <w:lang w:val="en-US"/>
        </w:rPr>
        <w:t>, 6, 1.</w:t>
      </w:r>
    </w:p>
    <w:p w:rsidR="00043CCA" w:rsidRDefault="00043CCA" w:rsidP="00816D6E">
      <w:pPr>
        <w:spacing w:after="240" w:line="240" w:lineRule="auto"/>
        <w:ind w:left="720" w:right="61" w:hanging="630"/>
        <w:rPr>
          <w:szCs w:val="24"/>
          <w:lang w:val="es-ES_tradnl"/>
        </w:rPr>
      </w:pPr>
      <w:r>
        <w:rPr>
          <w:szCs w:val="24"/>
          <w:lang w:val="es-ES_tradnl"/>
        </w:rPr>
        <w:t xml:space="preserve">Ruiz, Angel L. </w:t>
      </w:r>
      <w:r w:rsidRPr="00A01D20">
        <w:rPr>
          <w:szCs w:val="24"/>
        </w:rPr>
        <w:t>(2013)</w:t>
      </w:r>
      <w:r>
        <w:rPr>
          <w:szCs w:val="24"/>
          <w:lang w:val="es-ES_tradnl"/>
        </w:rPr>
        <w:t xml:space="preserve"> </w:t>
      </w:r>
      <w:r w:rsidRPr="00A01D20">
        <w:rPr>
          <w:szCs w:val="24"/>
          <w:lang w:val="es-ES_tradnl"/>
        </w:rPr>
        <w:t xml:space="preserve">Impacto Económico de la Actividad Turística y la Industria de Hoteles en la Economía de Puerto Rico: Un Análisis Usando el Modelo de Insumo-Producto. </w:t>
      </w:r>
      <w:r w:rsidRPr="00A01D20">
        <w:rPr>
          <w:i/>
          <w:szCs w:val="24"/>
          <w:lang w:val="es-ES_tradnl"/>
        </w:rPr>
        <w:t xml:space="preserve">Gran Tour: Revista de Investigaciones Turísticas, </w:t>
      </w:r>
      <w:r w:rsidRPr="00A01D20">
        <w:rPr>
          <w:szCs w:val="24"/>
          <w:lang w:val="es-ES_tradnl"/>
        </w:rPr>
        <w:t>Escuela Universitaria de Turismo, Universidad de Murcia, España.</w:t>
      </w:r>
    </w:p>
    <w:p w:rsidR="00043CCA" w:rsidRDefault="00043CCA" w:rsidP="00043CCA">
      <w:pPr>
        <w:spacing w:after="240" w:line="240" w:lineRule="auto"/>
        <w:ind w:left="720" w:right="61" w:hanging="630"/>
        <w:rPr>
          <w:szCs w:val="24"/>
          <w:lang w:val="en-US"/>
        </w:rPr>
      </w:pPr>
      <w:r>
        <w:rPr>
          <w:szCs w:val="24"/>
          <w:lang w:val="en-US"/>
        </w:rPr>
        <w:t>_______</w:t>
      </w:r>
      <w:r w:rsidRPr="00A01D20">
        <w:rPr>
          <w:szCs w:val="24"/>
          <w:lang w:val="en-US"/>
        </w:rPr>
        <w:t xml:space="preserve"> (2013). Direct and Indirect Impact of Federal Transfer to Individuals and to the Government of Puerto Rico. </w:t>
      </w:r>
      <w:r w:rsidRPr="00A01D20">
        <w:rPr>
          <w:i/>
          <w:szCs w:val="24"/>
        </w:rPr>
        <w:t>Revista Finanzas y Política Económica,</w:t>
      </w:r>
      <w:r w:rsidRPr="00A01D20">
        <w:rPr>
          <w:szCs w:val="24"/>
        </w:rPr>
        <w:t xml:space="preserve"> Universidad Católica de Colombia</w:t>
      </w:r>
    </w:p>
    <w:p w:rsidR="00043CCA" w:rsidRPr="00A01D20" w:rsidRDefault="00043CCA" w:rsidP="00043CCA">
      <w:pPr>
        <w:widowControl w:val="0"/>
        <w:autoSpaceDE w:val="0"/>
        <w:autoSpaceDN w:val="0"/>
        <w:adjustRightInd w:val="0"/>
        <w:spacing w:after="240" w:line="240" w:lineRule="auto"/>
        <w:ind w:left="720" w:right="61" w:hanging="630"/>
        <w:rPr>
          <w:color w:val="000000"/>
          <w:szCs w:val="24"/>
          <w:lang w:val="es-ES_tradnl"/>
        </w:rPr>
      </w:pPr>
      <w:r w:rsidRPr="00A01D20">
        <w:rPr>
          <w:color w:val="000000"/>
          <w:szCs w:val="24"/>
        </w:rPr>
        <w:t>______</w:t>
      </w:r>
      <w:r w:rsidRPr="00A01D20">
        <w:rPr>
          <w:color w:val="000000"/>
          <w:szCs w:val="24"/>
          <w:lang w:val="es-ES_tradnl"/>
        </w:rPr>
        <w:t xml:space="preserve">___ y </w:t>
      </w:r>
      <w:r w:rsidRPr="00A01D20">
        <w:rPr>
          <w:color w:val="262626"/>
          <w:szCs w:val="24"/>
          <w:lang w:val="es-ES_tradnl"/>
        </w:rPr>
        <w:t xml:space="preserve">Pérez, G. (2012) Aportación de la inversión en capital humano y el empleo diestro al desarrollo económico de Puerto Rico: una contribución a la nueva economía  </w:t>
      </w:r>
      <w:r w:rsidRPr="00A01D20">
        <w:rPr>
          <w:i/>
          <w:color w:val="000000"/>
          <w:szCs w:val="24"/>
          <w:lang w:val="es-ES_tradnl"/>
        </w:rPr>
        <w:t>Boletín Informativo de la Asociación de Economistas de Puerto Rico</w:t>
      </w:r>
      <w:r w:rsidRPr="00A01D20">
        <w:rPr>
          <w:color w:val="000000"/>
          <w:szCs w:val="24"/>
          <w:lang w:val="es-ES_tradnl"/>
        </w:rPr>
        <w:t>,</w:t>
      </w:r>
      <w:r w:rsidRPr="00A01D20">
        <w:rPr>
          <w:color w:val="262626"/>
          <w:szCs w:val="24"/>
          <w:lang w:val="es-ES_tradnl"/>
        </w:rPr>
        <w:t xml:space="preserve"> </w:t>
      </w:r>
      <w:r w:rsidRPr="00A01D20">
        <w:rPr>
          <w:color w:val="000000"/>
          <w:szCs w:val="24"/>
          <w:lang w:val="es-ES_tradnl"/>
        </w:rPr>
        <w:t>mayo 2012.</w:t>
      </w:r>
    </w:p>
    <w:p w:rsidR="00D1783E" w:rsidRDefault="00043CCA" w:rsidP="00816D6E">
      <w:pPr>
        <w:spacing w:after="240" w:line="240" w:lineRule="auto"/>
        <w:ind w:left="720" w:right="61" w:hanging="630"/>
        <w:rPr>
          <w:szCs w:val="24"/>
        </w:rPr>
      </w:pPr>
      <w:r w:rsidRPr="00A01D20">
        <w:rPr>
          <w:color w:val="000000"/>
          <w:szCs w:val="24"/>
          <w:lang w:val="en-US"/>
        </w:rPr>
        <w:t xml:space="preserve">__________ y Pellet, P. (2009). </w:t>
      </w:r>
      <w:r w:rsidRPr="00A01D20">
        <w:rPr>
          <w:szCs w:val="24"/>
          <w:lang w:val="en-US"/>
        </w:rPr>
        <w:t xml:space="preserve">United States Transfer of Funds to Puerto Rico. </w:t>
      </w:r>
      <w:r w:rsidRPr="00A01D20">
        <w:rPr>
          <w:i/>
          <w:szCs w:val="24"/>
        </w:rPr>
        <w:t>RU International Journal</w:t>
      </w:r>
      <w:r w:rsidRPr="00A01D20">
        <w:rPr>
          <w:szCs w:val="24"/>
        </w:rPr>
        <w:t>, Vol. 3 No. 1 January-June 2009. Bangkok, Thailand</w:t>
      </w:r>
    </w:p>
    <w:p w:rsidR="00D1783E" w:rsidRPr="00A01D20" w:rsidRDefault="00D1783E" w:rsidP="00D178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720" w:right="61" w:hanging="630"/>
        <w:rPr>
          <w:szCs w:val="24"/>
          <w:lang w:val="en-US"/>
        </w:rPr>
      </w:pPr>
      <w:r>
        <w:rPr>
          <w:bCs/>
          <w:szCs w:val="24"/>
        </w:rPr>
        <w:t xml:space="preserve">___________(2009) </w:t>
      </w:r>
      <w:r w:rsidRPr="00A01D20">
        <w:rPr>
          <w:bCs/>
          <w:szCs w:val="24"/>
        </w:rPr>
        <w:t>Una reorientación de la Estrategia de Desarrollo</w:t>
      </w:r>
      <w:r w:rsidRPr="00A01D20">
        <w:rPr>
          <w:szCs w:val="24"/>
        </w:rPr>
        <w:t xml:space="preserve"> (2009). </w:t>
      </w:r>
      <w:r w:rsidRPr="00A01D20">
        <w:rPr>
          <w:i/>
          <w:szCs w:val="24"/>
        </w:rPr>
        <w:t>Revista Perspectivas</w:t>
      </w:r>
      <w:r w:rsidRPr="00A01D20">
        <w:rPr>
          <w:szCs w:val="24"/>
        </w:rPr>
        <w:t xml:space="preserve">, Año XVI, Núm. </w:t>
      </w:r>
      <w:r w:rsidRPr="00A01D20">
        <w:rPr>
          <w:szCs w:val="24"/>
          <w:lang w:val="en-US"/>
        </w:rPr>
        <w:t>IX, Estudios Técnicos, Inc.</w:t>
      </w:r>
    </w:p>
    <w:p w:rsidR="00043CCA" w:rsidRPr="00A01D20" w:rsidRDefault="00043CCA" w:rsidP="00043C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720" w:right="61" w:hanging="630"/>
        <w:rPr>
          <w:szCs w:val="24"/>
        </w:rPr>
      </w:pPr>
      <w:r w:rsidRPr="00A01D20">
        <w:rPr>
          <w:szCs w:val="24"/>
          <w:lang w:val="en-US"/>
        </w:rPr>
        <w:t xml:space="preserve">_________ y McEwan, A. (2008). Washington Dollars and the Puerto Rican Economy: Amounts, Impacts, and Alternatives.  </w:t>
      </w:r>
      <w:r w:rsidRPr="00A01D20">
        <w:rPr>
          <w:i/>
          <w:szCs w:val="24"/>
        </w:rPr>
        <w:t>Serie de Ensayos y Monografías</w:t>
      </w:r>
      <w:r w:rsidRPr="00A01D20">
        <w:rPr>
          <w:szCs w:val="24"/>
        </w:rPr>
        <w:t xml:space="preserve"> Núm. 135, Unidad de Investigaciones Económicas, Universidad de Puerto Rico, Rio Piedras.</w:t>
      </w:r>
    </w:p>
    <w:p w:rsidR="00043CCA" w:rsidRDefault="00043CCA" w:rsidP="00043C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720" w:right="61" w:hanging="630"/>
        <w:rPr>
          <w:szCs w:val="24"/>
          <w:lang w:val="es-ES_tradnl"/>
        </w:rPr>
      </w:pPr>
      <w:r w:rsidRPr="00A01D20">
        <w:rPr>
          <w:szCs w:val="24"/>
          <w:lang w:val="es-ES_tradnl"/>
        </w:rPr>
        <w:t xml:space="preserve">_________y Dávila, E. (2007). Una nota sobre los cambios en los niveles de productividad en el sector de los servicios. </w:t>
      </w:r>
      <w:r w:rsidRPr="00A01D20">
        <w:rPr>
          <w:i/>
          <w:szCs w:val="24"/>
          <w:lang w:val="es-ES_tradnl"/>
        </w:rPr>
        <w:t>Boletín de la Asociación de Economistas de Puerto Rico</w:t>
      </w:r>
      <w:r w:rsidRPr="00A01D20">
        <w:rPr>
          <w:szCs w:val="24"/>
          <w:lang w:val="es-ES_tradnl"/>
        </w:rPr>
        <w:t>, Volumen 2, Núm. 1.</w:t>
      </w:r>
    </w:p>
    <w:p w:rsidR="00043CCA" w:rsidRPr="00043CCA" w:rsidRDefault="00043CCA" w:rsidP="00043CCA">
      <w:pPr>
        <w:spacing w:after="240" w:line="240" w:lineRule="auto"/>
        <w:ind w:left="720" w:right="61" w:hanging="630"/>
        <w:rPr>
          <w:szCs w:val="24"/>
          <w:lang w:val="en-US"/>
        </w:rPr>
      </w:pPr>
      <w:r w:rsidRPr="00A01D20">
        <w:rPr>
          <w:szCs w:val="24"/>
          <w:lang w:val="es-ES_tradnl"/>
        </w:rPr>
        <w:t xml:space="preserve">___________ y Zalacaín, F. (1998) Economic Relation of the United States and Puerto Rico: An Interregional Input-Output Approach, en E. Meléndez y A. Ruiz (Eds.) </w:t>
      </w:r>
      <w:r w:rsidRPr="00A01D20">
        <w:rPr>
          <w:i/>
          <w:szCs w:val="24"/>
          <w:lang w:val="en-US"/>
        </w:rPr>
        <w:t>Economic Effects of the Political Options for Puerto Rico</w:t>
      </w:r>
      <w:r w:rsidRPr="00A01D20">
        <w:rPr>
          <w:szCs w:val="24"/>
          <w:lang w:val="en-US"/>
        </w:rPr>
        <w:t>, Interamerican University Press, Río Piedras, PR.</w:t>
      </w:r>
    </w:p>
    <w:p w:rsidR="00816D6E" w:rsidRPr="00A01D20" w:rsidRDefault="00043CCA" w:rsidP="00816D6E">
      <w:pPr>
        <w:spacing w:after="240" w:line="240" w:lineRule="auto"/>
        <w:ind w:left="720" w:right="61" w:hanging="630"/>
        <w:rPr>
          <w:szCs w:val="24"/>
          <w:lang w:val="en-US"/>
        </w:rPr>
      </w:pPr>
      <w:r>
        <w:rPr>
          <w:szCs w:val="24"/>
          <w:lang w:val="en-US"/>
        </w:rPr>
        <w:t>_______</w:t>
      </w:r>
      <w:r w:rsidR="00816D6E" w:rsidRPr="00A01D20">
        <w:rPr>
          <w:szCs w:val="24"/>
          <w:lang w:val="en-US"/>
        </w:rPr>
        <w:t xml:space="preserve"> (1998) The Economic Impact of Repealing Section 936 on Puerto Rico’s Economy”, en E. Meléndez y A. Ruiz (Eds.) </w:t>
      </w:r>
      <w:r w:rsidR="00816D6E" w:rsidRPr="00A01D20">
        <w:rPr>
          <w:i/>
          <w:szCs w:val="24"/>
          <w:lang w:val="en-US"/>
        </w:rPr>
        <w:t>Economic Effects of the Political Options for Puerto Rico</w:t>
      </w:r>
      <w:r w:rsidR="00816D6E" w:rsidRPr="00A01D20">
        <w:rPr>
          <w:szCs w:val="24"/>
          <w:lang w:val="en-US"/>
        </w:rPr>
        <w:t>, Interamerican University Press, ”, Río Piedras, PR, 1998.</w:t>
      </w:r>
    </w:p>
    <w:p w:rsidR="00043CCA" w:rsidRDefault="00043CCA" w:rsidP="00043CCA">
      <w:pPr>
        <w:spacing w:after="240" w:line="240" w:lineRule="auto"/>
        <w:ind w:left="720" w:right="61" w:hanging="630"/>
        <w:rPr>
          <w:szCs w:val="24"/>
          <w:lang w:val="en-US"/>
        </w:rPr>
      </w:pPr>
      <w:r>
        <w:rPr>
          <w:szCs w:val="24"/>
          <w:lang w:val="en-US"/>
        </w:rPr>
        <w:t xml:space="preserve">_______(1998) </w:t>
      </w:r>
      <w:r w:rsidRPr="00A01D20">
        <w:rPr>
          <w:szCs w:val="24"/>
          <w:lang w:val="en-US"/>
        </w:rPr>
        <w:t xml:space="preserve">The Economic Impact of Firms Operating Under Section 936: Some controversial Issues (1998) </w:t>
      </w:r>
      <w:r w:rsidRPr="00A01D20">
        <w:rPr>
          <w:i/>
          <w:szCs w:val="24"/>
          <w:lang w:val="en-US"/>
        </w:rPr>
        <w:t>Ceteris Paribus</w:t>
      </w:r>
      <w:r w:rsidRPr="00A01D20">
        <w:rPr>
          <w:szCs w:val="24"/>
          <w:lang w:val="en-US"/>
        </w:rPr>
        <w:t>, Vol. 5, Núm. 2</w:t>
      </w:r>
    </w:p>
    <w:p w:rsidR="00043CCA" w:rsidRDefault="00043CCA" w:rsidP="00043CCA">
      <w:pPr>
        <w:spacing w:after="240" w:line="240" w:lineRule="auto"/>
        <w:ind w:left="720" w:right="61" w:hanging="630"/>
        <w:rPr>
          <w:szCs w:val="24"/>
          <w:lang w:val="en-US"/>
        </w:rPr>
      </w:pPr>
      <w:r w:rsidRPr="00A01D20">
        <w:rPr>
          <w:szCs w:val="24"/>
          <w:lang w:val="en-US"/>
        </w:rPr>
        <w:t xml:space="preserve">__________  y Wolff , E. (1996) Productivity Growth, Import Substitution, and Employment Growth in Puerto Rico, 1967-87.  </w:t>
      </w:r>
      <w:r w:rsidRPr="00A01D20">
        <w:rPr>
          <w:i/>
          <w:szCs w:val="24"/>
          <w:lang w:val="en-US"/>
        </w:rPr>
        <w:t>Economic Systems Research</w:t>
      </w:r>
      <w:r w:rsidRPr="00A01D20">
        <w:rPr>
          <w:szCs w:val="24"/>
          <w:lang w:val="en-US"/>
        </w:rPr>
        <w:t>, the Journal of the International Input-Output Association, Vol. 8, No. 4, Oxford England.</w:t>
      </w:r>
    </w:p>
    <w:p w:rsidR="00043CCA" w:rsidRPr="00A01D20" w:rsidRDefault="00043CCA" w:rsidP="00043CCA">
      <w:pPr>
        <w:spacing w:after="240" w:line="240" w:lineRule="auto"/>
        <w:ind w:left="720" w:right="61" w:hanging="630"/>
        <w:rPr>
          <w:szCs w:val="24"/>
          <w:lang w:val="en-US"/>
        </w:rPr>
      </w:pPr>
      <w:r>
        <w:rPr>
          <w:szCs w:val="24"/>
        </w:rPr>
        <w:t>_______(1992)</w:t>
      </w:r>
      <w:r w:rsidRPr="00043CCA">
        <w:rPr>
          <w:szCs w:val="24"/>
          <w:lang w:val="es-ES_tradnl"/>
        </w:rPr>
        <w:t xml:space="preserve"> </w:t>
      </w:r>
      <w:r w:rsidRPr="00A01D20">
        <w:rPr>
          <w:szCs w:val="24"/>
          <w:lang w:val="es-ES_tradnl"/>
        </w:rPr>
        <w:t xml:space="preserve">Tendencias en la  Productividad a Nivel de Agregado y por Sector Industrial en Puerto Rico (1982).  </w:t>
      </w:r>
      <w:r w:rsidRPr="00A01D20">
        <w:rPr>
          <w:i/>
          <w:szCs w:val="24"/>
          <w:lang w:val="en-US"/>
        </w:rPr>
        <w:t>Revista de Administración Pública</w:t>
      </w:r>
      <w:r w:rsidRPr="00A01D20">
        <w:rPr>
          <w:szCs w:val="24"/>
          <w:lang w:val="en-US"/>
        </w:rPr>
        <w:t>, Vol. XV, Núm. 1.</w:t>
      </w:r>
    </w:p>
    <w:p w:rsidR="00043CCA" w:rsidRPr="00A01D20" w:rsidRDefault="00043CCA" w:rsidP="00043CCA">
      <w:pPr>
        <w:spacing w:after="240" w:line="240" w:lineRule="auto"/>
        <w:ind w:left="720" w:right="61" w:hanging="630"/>
        <w:rPr>
          <w:szCs w:val="24"/>
        </w:rPr>
      </w:pPr>
      <w:r w:rsidRPr="00A01D20">
        <w:rPr>
          <w:szCs w:val="24"/>
          <w:lang w:val="en-US"/>
        </w:rPr>
        <w:t xml:space="preserve">________ y Castañer, J. (1990) The Caribbean External Trade and Economic Linkages: Economic Impacts of  Puerto Rican  Exports Locally and in the Caribbean. </w:t>
      </w:r>
      <w:r w:rsidRPr="00A01D20">
        <w:rPr>
          <w:i/>
          <w:szCs w:val="24"/>
        </w:rPr>
        <w:t>Integration and Participatory Developm</w:t>
      </w:r>
      <w:r w:rsidRPr="00A01D20">
        <w:rPr>
          <w:szCs w:val="24"/>
        </w:rPr>
        <w:t>ent).</w:t>
      </w:r>
    </w:p>
    <w:p w:rsidR="00D1783E" w:rsidRDefault="00043CCA" w:rsidP="00043CCA">
      <w:pPr>
        <w:spacing w:after="240" w:line="240" w:lineRule="auto"/>
        <w:ind w:left="720" w:right="61" w:hanging="630"/>
        <w:rPr>
          <w:szCs w:val="24"/>
          <w:lang w:val="en-US"/>
        </w:rPr>
      </w:pPr>
      <w:r w:rsidRPr="00A01D20">
        <w:rPr>
          <w:szCs w:val="24"/>
          <w:lang w:val="en-US"/>
        </w:rPr>
        <w:t xml:space="preserve">_________ y Castañer, J. (1987) Trade Links Between Puerto Rico and The Rest of The Caribbean. </w:t>
      </w:r>
      <w:r w:rsidRPr="00A01D20">
        <w:rPr>
          <w:i/>
          <w:szCs w:val="24"/>
          <w:lang w:val="en-US"/>
        </w:rPr>
        <w:t>Caribbean Studies,</w:t>
      </w:r>
      <w:r w:rsidRPr="00A01D20">
        <w:rPr>
          <w:szCs w:val="24"/>
          <w:lang w:val="en-US"/>
        </w:rPr>
        <w:t xml:space="preserve"> Volumen 21.</w:t>
      </w:r>
    </w:p>
    <w:p w:rsidR="00D1783E" w:rsidRPr="00A01D20" w:rsidRDefault="00D1783E" w:rsidP="00D1783E">
      <w:pPr>
        <w:spacing w:after="240" w:line="240" w:lineRule="auto"/>
        <w:ind w:right="61" w:firstLine="0"/>
        <w:rPr>
          <w:szCs w:val="24"/>
        </w:rPr>
      </w:pPr>
      <w:r>
        <w:rPr>
          <w:szCs w:val="24"/>
          <w:lang w:val="en-US"/>
        </w:rPr>
        <w:t>_________(1985)</w:t>
      </w:r>
      <w:r w:rsidRPr="00A01D20">
        <w:rPr>
          <w:szCs w:val="24"/>
          <w:lang w:val="en-US"/>
        </w:rPr>
        <w:t xml:space="preserve">Tourism and The Economy of Puerto Rico: An Input-Output Approach. </w:t>
      </w:r>
      <w:r>
        <w:rPr>
          <w:szCs w:val="24"/>
          <w:lang w:val="en-US"/>
        </w:rPr>
        <w:tab/>
      </w:r>
      <w:r>
        <w:rPr>
          <w:szCs w:val="24"/>
          <w:lang w:val="en-US"/>
        </w:rPr>
        <w:tab/>
      </w:r>
      <w:r w:rsidRPr="00A01D20">
        <w:rPr>
          <w:i/>
          <w:szCs w:val="24"/>
        </w:rPr>
        <w:t>Tourism Management</w:t>
      </w:r>
      <w:r>
        <w:rPr>
          <w:i/>
          <w:szCs w:val="24"/>
        </w:rPr>
        <w:t xml:space="preserve">, </w:t>
      </w:r>
      <w:r w:rsidRPr="00A01D20">
        <w:rPr>
          <w:szCs w:val="24"/>
        </w:rPr>
        <w:t>Butterworth &amp; Co., England.</w:t>
      </w:r>
    </w:p>
    <w:p w:rsidR="00043CCA" w:rsidRPr="00043CCA" w:rsidRDefault="00043CCA" w:rsidP="00043CCA">
      <w:pPr>
        <w:widowControl w:val="0"/>
        <w:autoSpaceDE w:val="0"/>
        <w:autoSpaceDN w:val="0"/>
        <w:adjustRightInd w:val="0"/>
        <w:spacing w:after="240" w:line="240" w:lineRule="auto"/>
        <w:ind w:left="720" w:right="61" w:hanging="630"/>
        <w:rPr>
          <w:szCs w:val="24"/>
        </w:rPr>
      </w:pPr>
      <w:r w:rsidRPr="00A01D20">
        <w:rPr>
          <w:szCs w:val="24"/>
          <w:lang w:val="es-ES_tradnl"/>
        </w:rPr>
        <w:t xml:space="preserve">________ y Zalacaín, F. (1979). La Medición de la Productividad Total en  Puerto Rico. </w:t>
      </w:r>
      <w:r w:rsidRPr="00A01D20">
        <w:rPr>
          <w:i/>
          <w:szCs w:val="24"/>
          <w:lang w:val="es-ES_tradnl"/>
        </w:rPr>
        <w:t xml:space="preserve">Revista de Ciencias Sociales, </w:t>
      </w:r>
      <w:r w:rsidRPr="00A01D20">
        <w:rPr>
          <w:szCs w:val="24"/>
          <w:lang w:val="es-ES_tradnl"/>
        </w:rPr>
        <w:t>Vol. XXI, Núm. 1-2.</w:t>
      </w:r>
    </w:p>
    <w:p w:rsidR="00043CCA" w:rsidRPr="00A01D20" w:rsidRDefault="00043CCA" w:rsidP="00043CCA">
      <w:pPr>
        <w:spacing w:after="240" w:line="240" w:lineRule="auto"/>
        <w:ind w:left="720" w:right="61" w:hanging="630"/>
        <w:rPr>
          <w:szCs w:val="24"/>
        </w:rPr>
      </w:pPr>
      <w:r w:rsidRPr="00A01D20">
        <w:rPr>
          <w:szCs w:val="24"/>
        </w:rPr>
        <w:t xml:space="preserve">Santiago, C. (1993). </w:t>
      </w:r>
      <w:r w:rsidRPr="00A01D20">
        <w:rPr>
          <w:szCs w:val="24"/>
          <w:lang w:val="en-US"/>
        </w:rPr>
        <w:t xml:space="preserve">Political Status, the Labor Market and Puerto Rican Migration, en E. Meléndez y Á. Ruiz (Eds.) </w:t>
      </w:r>
      <w:r w:rsidRPr="00A01D20">
        <w:rPr>
          <w:szCs w:val="24"/>
        </w:rPr>
        <w:t>Interamerican University Press Río Piedras, PR: Centro de Economía Aplicada.</w:t>
      </w:r>
    </w:p>
    <w:p w:rsidR="00043CCA" w:rsidRPr="00A01D20" w:rsidRDefault="00043CCA" w:rsidP="00043CCA">
      <w:pPr>
        <w:spacing w:after="240" w:line="240" w:lineRule="auto"/>
        <w:ind w:left="720" w:right="61" w:hanging="630"/>
        <w:rPr>
          <w:szCs w:val="24"/>
        </w:rPr>
      </w:pPr>
      <w:r w:rsidRPr="00A01D20">
        <w:rPr>
          <w:szCs w:val="24"/>
          <w:lang w:val="en-US"/>
        </w:rPr>
        <w:t xml:space="preserve">Senate Committee on Energy and Natural Resources. (1990). Report of the Puerto Rican Status Referendums, en C. Gautier (Ed.) </w:t>
      </w:r>
      <w:r w:rsidRPr="00A01D20">
        <w:rPr>
          <w:i/>
          <w:szCs w:val="24"/>
        </w:rPr>
        <w:t>Poder y Plebiscito: Puerto Rico en 1991</w:t>
      </w:r>
      <w:r w:rsidRPr="00A01D20">
        <w:rPr>
          <w:szCs w:val="24"/>
        </w:rPr>
        <w:t>. Río Piedras, PR: Centro de Investigaciones Sociales, Universidad de Puerto Rico.</w:t>
      </w:r>
    </w:p>
    <w:p w:rsidR="00043CCA" w:rsidRPr="00A01D20" w:rsidRDefault="00043CCA" w:rsidP="00043CCA">
      <w:pPr>
        <w:spacing w:after="240" w:line="240" w:lineRule="auto"/>
        <w:ind w:left="720" w:hanging="630"/>
        <w:rPr>
          <w:szCs w:val="24"/>
          <w:lang w:val="en-US"/>
        </w:rPr>
      </w:pPr>
      <w:r w:rsidRPr="00A01D20">
        <w:rPr>
          <w:szCs w:val="24"/>
          <w:lang w:val="en-US"/>
        </w:rPr>
        <w:t>Sofier, D. (2010) Statehood for Puerto Rico and the Potential Impact of Official Bilingualism for United States, Lexington Institute.</w:t>
      </w:r>
    </w:p>
    <w:p w:rsidR="00043CCA" w:rsidRPr="00A01D20" w:rsidRDefault="00043CCA" w:rsidP="00043CCA">
      <w:pPr>
        <w:spacing w:after="240" w:line="240" w:lineRule="auto"/>
        <w:ind w:left="720" w:hanging="630"/>
        <w:rPr>
          <w:szCs w:val="24"/>
          <w:lang w:val="en-US"/>
        </w:rPr>
      </w:pPr>
      <w:r w:rsidRPr="00A01D20">
        <w:rPr>
          <w:szCs w:val="24"/>
          <w:lang w:val="en-US"/>
        </w:rPr>
        <w:t>Tax Policy: Puerto Rico and The Section 936 Tax Credit. (1993) Washington, DC: U.S. Government Printing Office.</w:t>
      </w:r>
    </w:p>
    <w:p w:rsidR="00043CCA" w:rsidRPr="00A01D20" w:rsidRDefault="00043CCA" w:rsidP="00043CCA">
      <w:pPr>
        <w:spacing w:after="240" w:line="240" w:lineRule="auto"/>
        <w:ind w:left="720" w:hanging="630"/>
        <w:rPr>
          <w:szCs w:val="24"/>
          <w:lang w:val="en-US"/>
        </w:rPr>
      </w:pPr>
      <w:r w:rsidRPr="00A01D20">
        <w:rPr>
          <w:szCs w:val="24"/>
          <w:lang w:val="en-US"/>
        </w:rPr>
        <w:t>The Impact of Section 936 on Puerto Rico’s Economy and Construction Sector. (1993) Hato Rey, PR.</w:t>
      </w:r>
    </w:p>
    <w:p w:rsidR="00043CCA" w:rsidRPr="00A01D20" w:rsidRDefault="00043CCA" w:rsidP="00043CCA">
      <w:pPr>
        <w:spacing w:after="240" w:line="240" w:lineRule="auto"/>
        <w:ind w:left="720" w:hanging="630"/>
        <w:rPr>
          <w:szCs w:val="24"/>
          <w:lang w:val="en-US"/>
        </w:rPr>
      </w:pPr>
      <w:r w:rsidRPr="00A01D20">
        <w:rPr>
          <w:szCs w:val="24"/>
          <w:lang w:val="en-US"/>
        </w:rPr>
        <w:t>The Operation and Effect of the Possessions Corporation System of Taxation, Second Annual Report. (1979) Washington, DC: US Government Printing Office.</w:t>
      </w:r>
    </w:p>
    <w:p w:rsidR="00043CCA" w:rsidRPr="00A01D20" w:rsidRDefault="00043CCA" w:rsidP="00043CCA">
      <w:pPr>
        <w:spacing w:after="240" w:line="240" w:lineRule="auto"/>
        <w:ind w:left="720" w:hanging="630"/>
        <w:rPr>
          <w:szCs w:val="24"/>
          <w:lang w:val="en-US"/>
        </w:rPr>
      </w:pPr>
      <w:r w:rsidRPr="00A01D20">
        <w:rPr>
          <w:szCs w:val="24"/>
          <w:lang w:val="en-US"/>
        </w:rPr>
        <w:t>The Operation and Effect of the Possessions Corporation System of Taxation, Third Annual Report. (1980) Washington, DC: US Government Printing Office.</w:t>
      </w:r>
    </w:p>
    <w:p w:rsidR="00043CCA" w:rsidRPr="00A01D20" w:rsidRDefault="00043CCA" w:rsidP="00043CCA">
      <w:pPr>
        <w:spacing w:after="240" w:line="240" w:lineRule="auto"/>
        <w:ind w:left="720" w:hanging="630"/>
        <w:rPr>
          <w:szCs w:val="24"/>
          <w:lang w:val="en-US"/>
        </w:rPr>
      </w:pPr>
      <w:r w:rsidRPr="00A01D20">
        <w:rPr>
          <w:szCs w:val="24"/>
          <w:lang w:val="en-US"/>
        </w:rPr>
        <w:t>The Operation and Effect of the Possessions Corporation System of Taxation, Fourth Annual Report. (1983) Washington, DC: US Government Printing Office.</w:t>
      </w:r>
    </w:p>
    <w:p w:rsidR="00043CCA" w:rsidRPr="00A01D20" w:rsidRDefault="00043CCA" w:rsidP="00043CCA">
      <w:pPr>
        <w:spacing w:after="240" w:line="240" w:lineRule="auto"/>
        <w:ind w:left="720" w:hanging="630"/>
        <w:rPr>
          <w:szCs w:val="24"/>
          <w:lang w:val="en-US"/>
        </w:rPr>
      </w:pPr>
      <w:r w:rsidRPr="00A01D20">
        <w:rPr>
          <w:szCs w:val="24"/>
          <w:lang w:val="en-US"/>
        </w:rPr>
        <w:t>The Operation and Effect of the Possessions Corporation System of Taxation, Fifth Annual Report. (1985) Washington, DC: US Government Printing Office.</w:t>
      </w:r>
    </w:p>
    <w:p w:rsidR="00043CCA" w:rsidRPr="00A01D20" w:rsidRDefault="00043CCA" w:rsidP="00043CCA">
      <w:pPr>
        <w:spacing w:after="240" w:line="240" w:lineRule="auto"/>
        <w:ind w:left="720" w:hanging="630"/>
        <w:rPr>
          <w:szCs w:val="24"/>
          <w:lang w:val="en-US"/>
        </w:rPr>
      </w:pPr>
      <w:r w:rsidRPr="00A01D20">
        <w:rPr>
          <w:szCs w:val="24"/>
          <w:lang w:val="en-US"/>
        </w:rPr>
        <w:t>The Operation and Effect of the Possessions Corporation System of Taxation, Sixth Annual Report. (1989) Washington, DC: US Government Printing Office.</w:t>
      </w:r>
    </w:p>
    <w:p w:rsidR="00043CCA" w:rsidRPr="00A01D20" w:rsidRDefault="00043CCA" w:rsidP="00043CCA">
      <w:pPr>
        <w:spacing w:after="240" w:line="240" w:lineRule="auto"/>
        <w:ind w:left="720" w:hanging="630"/>
        <w:rPr>
          <w:szCs w:val="24"/>
          <w:lang w:val="en-US"/>
        </w:rPr>
      </w:pPr>
      <w:r w:rsidRPr="00A01D20">
        <w:rPr>
          <w:szCs w:val="24"/>
          <w:lang w:val="en-US"/>
        </w:rPr>
        <w:t xml:space="preserve">The Puerto Rican Paradox: Colonialism Revisited (2005) </w:t>
      </w:r>
      <w:r w:rsidRPr="00A01D20">
        <w:rPr>
          <w:i/>
          <w:szCs w:val="24"/>
          <w:lang w:val="en-US"/>
        </w:rPr>
        <w:t>Latin American Research Review</w:t>
      </w:r>
      <w:r w:rsidRPr="00A01D20">
        <w:rPr>
          <w:szCs w:val="24"/>
          <w:lang w:val="en-US"/>
        </w:rPr>
        <w:t>, Vol. 40, No. 3.</w:t>
      </w:r>
    </w:p>
    <w:p w:rsidR="00043CCA" w:rsidRPr="00A01D20" w:rsidRDefault="00043CCA" w:rsidP="00043CCA">
      <w:pPr>
        <w:spacing w:after="240" w:line="240" w:lineRule="auto"/>
        <w:ind w:left="720" w:hanging="630"/>
        <w:rPr>
          <w:szCs w:val="24"/>
          <w:lang w:val="en-US"/>
        </w:rPr>
      </w:pPr>
      <w:r w:rsidRPr="00A01D20">
        <w:rPr>
          <w:szCs w:val="24"/>
          <w:lang w:val="en-US"/>
        </w:rPr>
        <w:t>U.S. Department of Treasury. (1978). The Operation and Effect of the Possessions Corporation System of Taxation, First Annual Report. Washington, DC: US Government Printing Office.</w:t>
      </w:r>
    </w:p>
    <w:p w:rsidR="00043CCA" w:rsidRPr="00A01D20" w:rsidRDefault="00043CCA" w:rsidP="00043CCA">
      <w:pPr>
        <w:spacing w:after="240" w:line="240" w:lineRule="auto"/>
        <w:ind w:left="720" w:hanging="630"/>
        <w:rPr>
          <w:szCs w:val="24"/>
          <w:lang w:val="en-US"/>
        </w:rPr>
      </w:pPr>
      <w:r w:rsidRPr="00A01D20">
        <w:rPr>
          <w:szCs w:val="24"/>
          <w:lang w:val="en-US"/>
        </w:rPr>
        <w:t>U.S. General Accounting Office. (1992). Pharmaceutical Industry: Tax Benefits of Operating in Puerto Rico. Washington, DC: U.S. Government Printing Office</w:t>
      </w:r>
    </w:p>
    <w:p w:rsidR="00043CCA" w:rsidRPr="00A01D20" w:rsidRDefault="00043CCA" w:rsidP="00043CCA">
      <w:pPr>
        <w:spacing w:after="240" w:line="240" w:lineRule="auto"/>
        <w:ind w:left="720" w:hanging="630"/>
        <w:rPr>
          <w:szCs w:val="24"/>
          <w:lang w:val="en-US"/>
        </w:rPr>
      </w:pPr>
      <w:r w:rsidRPr="00A01D20">
        <w:rPr>
          <w:szCs w:val="24"/>
          <w:lang w:val="en-US"/>
        </w:rPr>
        <w:t>Welfare and Taxes to Puerto Rico, Virgin Islands, Guam, and American Samoa. (1987) Washington, DC: U.S. Government Printing Office.</w:t>
      </w:r>
    </w:p>
    <w:p w:rsidR="00816D6E" w:rsidRPr="00873F5E" w:rsidRDefault="00816D6E" w:rsidP="00816D6E">
      <w:pPr>
        <w:pStyle w:val="Heading1"/>
        <w:rPr>
          <w:lang w:val="en-US"/>
        </w:rPr>
        <w:sectPr w:rsidR="00816D6E" w:rsidRPr="00873F5E">
          <w:headerReference w:type="default" r:id="rId85"/>
          <w:pgSz w:w="12240" w:h="15840"/>
          <w:pgMar w:top="1440" w:right="1440" w:bottom="1440" w:left="1418" w:gutter="0"/>
          <w:titlePg/>
          <w:docGrid w:linePitch="360" w:charSpace="-2049"/>
        </w:sectPr>
      </w:pPr>
    </w:p>
    <w:p w:rsidR="005A5E7D" w:rsidRPr="00DE4852" w:rsidRDefault="005A5E7D" w:rsidP="00816D6E">
      <w:pPr>
        <w:pStyle w:val="Heading1"/>
      </w:pPr>
      <w:bookmarkStart w:id="50" w:name="_Toc384769745"/>
      <w:r w:rsidRPr="00DE4852">
        <w:t xml:space="preserve">Capítulo 3: Impactos de la </w:t>
      </w:r>
      <w:r>
        <w:t>e</w:t>
      </w:r>
      <w:r w:rsidRPr="00DE4852">
        <w:t xml:space="preserve">stadidad en el </w:t>
      </w:r>
      <w:r>
        <w:t>r</w:t>
      </w:r>
      <w:r w:rsidRPr="00DE4852">
        <w:t xml:space="preserve">égimen </w:t>
      </w:r>
      <w:r>
        <w:t>f</w:t>
      </w:r>
      <w:r w:rsidRPr="00DE4852">
        <w:t>iscal de Puerto Rico</w:t>
      </w:r>
      <w:bookmarkEnd w:id="50"/>
      <w:r w:rsidRPr="00DE4852">
        <w:t xml:space="preserve"> </w:t>
      </w:r>
    </w:p>
    <w:p w:rsidR="005A5E7D" w:rsidRPr="00CA6BA5" w:rsidRDefault="005A5E7D" w:rsidP="005A5E7D">
      <w:pPr>
        <w:spacing w:line="240" w:lineRule="auto"/>
        <w:rPr>
          <w:sz w:val="16"/>
          <w:lang w:eastAsia="ar-SA"/>
        </w:rPr>
      </w:pPr>
    </w:p>
    <w:p w:rsidR="005A5E7D" w:rsidRPr="00997984" w:rsidRDefault="005A5E7D" w:rsidP="005A5E7D">
      <w:pPr>
        <w:suppressAutoHyphens/>
        <w:spacing w:line="240" w:lineRule="auto"/>
        <w:ind w:firstLine="706"/>
        <w:jc w:val="right"/>
        <w:rPr>
          <w:rFonts w:eastAsia="+mn-ea"/>
          <w:b/>
          <w:i/>
          <w:color w:val="000000"/>
          <w:kern w:val="1"/>
          <w:lang w:eastAsia="ar-SA"/>
        </w:rPr>
      </w:pPr>
      <w:r w:rsidRPr="00997984">
        <w:rPr>
          <w:rFonts w:eastAsia="+mn-ea"/>
          <w:b/>
          <w:i/>
          <w:color w:val="000000"/>
          <w:kern w:val="1"/>
          <w:lang w:eastAsia="ar-SA"/>
        </w:rPr>
        <w:t>Eileen Segarra Alméstica</w:t>
      </w:r>
    </w:p>
    <w:p w:rsidR="005A5E7D" w:rsidRPr="00997984" w:rsidRDefault="005A5E7D" w:rsidP="005A5E7D">
      <w:pPr>
        <w:suppressAutoHyphens/>
        <w:spacing w:line="240" w:lineRule="auto"/>
        <w:ind w:firstLine="706"/>
        <w:jc w:val="right"/>
        <w:rPr>
          <w:rFonts w:eastAsia="+mn-ea"/>
          <w:b/>
          <w:i/>
          <w:color w:val="000000"/>
          <w:kern w:val="1"/>
          <w:lang w:eastAsia="ar-SA"/>
        </w:rPr>
      </w:pPr>
      <w:r w:rsidRPr="00997984">
        <w:rPr>
          <w:rFonts w:eastAsia="+mn-ea"/>
          <w:b/>
          <w:i/>
          <w:color w:val="000000"/>
          <w:kern w:val="1"/>
          <w:lang w:eastAsia="ar-SA"/>
        </w:rPr>
        <w:t>Alicia Rodríguez Castro</w:t>
      </w:r>
    </w:p>
    <w:p w:rsidR="005A5E7D" w:rsidRPr="003A21B9" w:rsidRDefault="005A5E7D" w:rsidP="005A5E7D">
      <w:pPr>
        <w:suppressAutoHyphens/>
        <w:spacing w:line="240" w:lineRule="auto"/>
        <w:ind w:left="706" w:firstLine="706"/>
        <w:jc w:val="right"/>
        <w:rPr>
          <w:rFonts w:eastAsia="+mn-ea"/>
          <w:i/>
          <w:color w:val="000000"/>
          <w:kern w:val="1"/>
          <w:lang w:eastAsia="ar-SA"/>
        </w:rPr>
      </w:pPr>
      <w:r w:rsidRPr="003A21B9">
        <w:rPr>
          <w:rFonts w:eastAsia="+mn-ea"/>
          <w:i/>
          <w:color w:val="000000"/>
          <w:kern w:val="1"/>
          <w:lang w:eastAsia="ar-SA"/>
        </w:rPr>
        <w:t xml:space="preserve">Departamento de Economía, </w:t>
      </w:r>
    </w:p>
    <w:p w:rsidR="005A5E7D" w:rsidRPr="003A21B9" w:rsidRDefault="005A5E7D" w:rsidP="005A5E7D">
      <w:pPr>
        <w:suppressAutoHyphens/>
        <w:spacing w:line="240" w:lineRule="auto"/>
        <w:ind w:left="706" w:firstLine="706"/>
        <w:jc w:val="right"/>
        <w:rPr>
          <w:rFonts w:eastAsia="+mn-ea"/>
          <w:i/>
          <w:color w:val="000000"/>
          <w:kern w:val="1"/>
          <w:lang w:eastAsia="ar-SA"/>
        </w:rPr>
      </w:pPr>
      <w:r w:rsidRPr="003A21B9">
        <w:rPr>
          <w:rFonts w:eastAsia="+mn-ea"/>
          <w:i/>
          <w:color w:val="000000"/>
          <w:kern w:val="1"/>
          <w:lang w:eastAsia="ar-SA"/>
        </w:rPr>
        <w:t xml:space="preserve">Universidad de Puerto Rico </w:t>
      </w:r>
    </w:p>
    <w:p w:rsidR="005A5E7D" w:rsidRPr="003A21B9" w:rsidRDefault="005A5E7D" w:rsidP="005A5E7D">
      <w:pPr>
        <w:suppressAutoHyphens/>
        <w:spacing w:line="240" w:lineRule="auto"/>
        <w:ind w:left="706" w:firstLine="706"/>
        <w:jc w:val="right"/>
        <w:rPr>
          <w:rFonts w:eastAsia="+mn-ea"/>
          <w:i/>
          <w:color w:val="000000"/>
          <w:kern w:val="1"/>
          <w:szCs w:val="24"/>
          <w:lang w:eastAsia="ar-SA"/>
        </w:rPr>
      </w:pPr>
      <w:r w:rsidRPr="003A21B9">
        <w:rPr>
          <w:rFonts w:eastAsia="+mn-ea"/>
          <w:i/>
          <w:color w:val="000000"/>
          <w:kern w:val="1"/>
          <w:lang w:eastAsia="ar-SA"/>
        </w:rPr>
        <w:t>Recinto de Río Piedras</w:t>
      </w:r>
    </w:p>
    <w:p w:rsidR="005A5E7D" w:rsidRPr="00403FB9" w:rsidRDefault="005A5E7D" w:rsidP="005A5E7D">
      <w:pPr>
        <w:pStyle w:val="Heading2"/>
        <w:numPr>
          <w:ilvl w:val="0"/>
          <w:numId w:val="10"/>
        </w:numPr>
        <w:rPr>
          <w:lang w:eastAsia="ar-SA"/>
        </w:rPr>
      </w:pPr>
      <w:bookmarkStart w:id="51" w:name="_Toc384769746"/>
      <w:r w:rsidRPr="00403FB9">
        <w:rPr>
          <w:lang w:eastAsia="ar-SA"/>
        </w:rPr>
        <w:t>Introducción</w:t>
      </w:r>
      <w:bookmarkEnd w:id="51"/>
    </w:p>
    <w:p w:rsidR="005A5E7D" w:rsidRDefault="005A5E7D" w:rsidP="005A5E7D">
      <w:pPr>
        <w:spacing w:line="240" w:lineRule="auto"/>
        <w:rPr>
          <w:lang w:eastAsia="ar-SA"/>
        </w:rPr>
      </w:pPr>
      <w:r w:rsidRPr="003A21B9">
        <w:rPr>
          <w:lang w:eastAsia="ar-SA"/>
        </w:rPr>
        <w:t xml:space="preserve"> </w:t>
      </w:r>
    </w:p>
    <w:p w:rsidR="005A5E7D" w:rsidRPr="003A21B9" w:rsidRDefault="005A5E7D" w:rsidP="005A5E7D">
      <w:pPr>
        <w:rPr>
          <w:color w:val="C32D2E"/>
          <w:lang w:eastAsia="ar-SA"/>
        </w:rPr>
      </w:pPr>
      <w:r w:rsidRPr="003A21B9">
        <w:rPr>
          <w:lang w:eastAsia="ar-SA"/>
        </w:rPr>
        <w:t>La</w:t>
      </w:r>
      <w:r>
        <w:rPr>
          <w:lang w:eastAsia="ar-SA"/>
        </w:rPr>
        <w:t xml:space="preserve"> </w:t>
      </w:r>
      <w:r w:rsidRPr="003A21B9">
        <w:rPr>
          <w:lang w:eastAsia="ar-SA"/>
        </w:rPr>
        <w:t>discusión en torno</w:t>
      </w:r>
      <w:r>
        <w:rPr>
          <w:lang w:eastAsia="ar-SA"/>
        </w:rPr>
        <w:t xml:space="preserve"> </w:t>
      </w:r>
      <w:r w:rsidRPr="003A21B9">
        <w:rPr>
          <w:lang w:eastAsia="ar-SA"/>
        </w:rPr>
        <w:t>a los efectos fiscales de la estadidad para Puerto Rico se ha centrado en la estimación</w:t>
      </w:r>
      <w:r>
        <w:rPr>
          <w:lang w:eastAsia="ar-SA"/>
        </w:rPr>
        <w:t xml:space="preserve"> </w:t>
      </w:r>
      <w:r w:rsidRPr="003A21B9">
        <w:rPr>
          <w:lang w:eastAsia="ar-SA"/>
        </w:rPr>
        <w:t xml:space="preserve">de los pagos de impuestos federales que recaerían sobre los residentes en la Isla y en los aumentos en </w:t>
      </w:r>
      <w:r>
        <w:rPr>
          <w:lang w:eastAsia="ar-SA"/>
        </w:rPr>
        <w:t xml:space="preserve">las </w:t>
      </w:r>
      <w:r w:rsidRPr="003A21B9">
        <w:rPr>
          <w:lang w:eastAsia="ar-SA"/>
        </w:rPr>
        <w:t xml:space="preserve">transferencias </w:t>
      </w:r>
      <w:r>
        <w:rPr>
          <w:lang w:eastAsia="ar-SA"/>
        </w:rPr>
        <w:t>que se</w:t>
      </w:r>
      <w:r w:rsidRPr="003A21B9">
        <w:rPr>
          <w:lang w:eastAsia="ar-SA"/>
        </w:rPr>
        <w:t xml:space="preserve"> recibi</w:t>
      </w:r>
      <w:r>
        <w:rPr>
          <w:lang w:eastAsia="ar-SA"/>
        </w:rPr>
        <w:t>rían</w:t>
      </w:r>
      <w:r w:rsidRPr="003A21B9">
        <w:rPr>
          <w:lang w:eastAsia="ar-SA"/>
        </w:rPr>
        <w:t xml:space="preserve"> por </w:t>
      </w:r>
      <w:r>
        <w:rPr>
          <w:lang w:eastAsia="ar-SA"/>
        </w:rPr>
        <w:t>los individu</w:t>
      </w:r>
      <w:r w:rsidRPr="003A21B9">
        <w:rPr>
          <w:lang w:eastAsia="ar-SA"/>
        </w:rPr>
        <w:t xml:space="preserve">os y el </w:t>
      </w:r>
      <w:r>
        <w:rPr>
          <w:lang w:eastAsia="ar-SA"/>
        </w:rPr>
        <w:t>Gobierno</w:t>
      </w:r>
      <w:r w:rsidRPr="003A21B9">
        <w:rPr>
          <w:lang w:eastAsia="ar-SA"/>
        </w:rPr>
        <w:t>.</w:t>
      </w:r>
      <w:r>
        <w:rPr>
          <w:lang w:eastAsia="ar-SA"/>
        </w:rPr>
        <w:t xml:space="preserve"> </w:t>
      </w:r>
      <w:r w:rsidRPr="003A21B9">
        <w:rPr>
          <w:lang w:eastAsia="ar-SA"/>
        </w:rPr>
        <w:t>Aunque sin duda estos son elementos importantes, la discusión obvia el hecho de que el sistema fiscal de Puerto Rico</w:t>
      </w:r>
      <w:r>
        <w:rPr>
          <w:lang w:eastAsia="ar-SA"/>
        </w:rPr>
        <w:t xml:space="preserve"> </w:t>
      </w:r>
      <w:r w:rsidRPr="003A21B9">
        <w:rPr>
          <w:lang w:eastAsia="ar-SA"/>
        </w:rPr>
        <w:t>es intrínsecamente distinto a los sistemas estatales en Estados Unidos.</w:t>
      </w:r>
      <w:r>
        <w:rPr>
          <w:lang w:eastAsia="ar-SA"/>
        </w:rPr>
        <w:t xml:space="preserve"> </w:t>
      </w:r>
      <w:r w:rsidRPr="003A21B9">
        <w:rPr>
          <w:lang w:eastAsia="ar-SA"/>
        </w:rPr>
        <w:t>Por tal razón, para la integración de Puerto Rico al sistema fiscal federal se requieren cambios fundamentales y graduales en nuestra</w:t>
      </w:r>
      <w:r>
        <w:rPr>
          <w:lang w:eastAsia="ar-SA"/>
        </w:rPr>
        <w:t xml:space="preserve"> </w:t>
      </w:r>
      <w:r w:rsidRPr="003A21B9">
        <w:rPr>
          <w:lang w:eastAsia="ar-SA"/>
        </w:rPr>
        <w:t xml:space="preserve">estructura fiscal. </w:t>
      </w:r>
    </w:p>
    <w:p w:rsidR="005A5E7D" w:rsidRDefault="005A5E7D" w:rsidP="005A5E7D">
      <w:pPr>
        <w:rPr>
          <w:lang w:eastAsia="ar-SA"/>
        </w:rPr>
      </w:pPr>
      <w:r w:rsidRPr="003A21B9">
        <w:rPr>
          <w:lang w:eastAsia="ar-SA"/>
        </w:rPr>
        <w:t>Este trabajo está dirigido a i</w:t>
      </w:r>
      <w:r>
        <w:rPr>
          <w:lang w:eastAsia="ar-SA"/>
        </w:rPr>
        <w:t xml:space="preserve">dentificar y estimar probables </w:t>
      </w:r>
      <w:r w:rsidRPr="003A21B9">
        <w:rPr>
          <w:lang w:eastAsia="ar-SA"/>
        </w:rPr>
        <w:t>cambios fiscales,</w:t>
      </w:r>
      <w:r>
        <w:rPr>
          <w:lang w:eastAsia="ar-SA"/>
        </w:rPr>
        <w:t xml:space="preserve"> en caso de que la Isla se convirtie</w:t>
      </w:r>
      <w:r w:rsidRPr="003A21B9">
        <w:rPr>
          <w:lang w:eastAsia="ar-SA"/>
        </w:rPr>
        <w:t>se en un estado.</w:t>
      </w:r>
      <w:r>
        <w:rPr>
          <w:lang w:eastAsia="ar-SA"/>
        </w:rPr>
        <w:t xml:space="preserve"> </w:t>
      </w:r>
      <w:r w:rsidRPr="003A21B9">
        <w:rPr>
          <w:lang w:eastAsia="ar-SA"/>
        </w:rPr>
        <w:t>Nuestr</w:t>
      </w:r>
      <w:r>
        <w:rPr>
          <w:lang w:eastAsia="ar-SA"/>
        </w:rPr>
        <w:t xml:space="preserve">o análisis se fundamenta en la </w:t>
      </w:r>
      <w:r w:rsidRPr="003A21B9">
        <w:rPr>
          <w:lang w:eastAsia="ar-SA"/>
        </w:rPr>
        <w:t xml:space="preserve">comparación de la estructura fiscal de Puerto Rico </w:t>
      </w:r>
      <w:r>
        <w:rPr>
          <w:lang w:eastAsia="ar-SA"/>
        </w:rPr>
        <w:t xml:space="preserve">con la de los estados de Estados Unidos, </w:t>
      </w:r>
      <w:r w:rsidRPr="003A21B9">
        <w:rPr>
          <w:lang w:eastAsia="ar-SA"/>
        </w:rPr>
        <w:t>tomando en consideración la tendencia</w:t>
      </w:r>
      <w:r>
        <w:rPr>
          <w:lang w:eastAsia="ar-SA"/>
        </w:rPr>
        <w:t xml:space="preserve"> </w:t>
      </w:r>
      <w:r w:rsidRPr="003A21B9">
        <w:rPr>
          <w:lang w:eastAsia="ar-SA"/>
        </w:rPr>
        <w:t>de los pasados 20 años.</w:t>
      </w:r>
      <w:r>
        <w:rPr>
          <w:rStyle w:val="FootnoteReference"/>
          <w:lang w:eastAsia="ar-SA"/>
        </w:rPr>
        <w:footnoteReference w:id="18"/>
      </w:r>
    </w:p>
    <w:p w:rsidR="005A5E7D" w:rsidRPr="003A21B9" w:rsidRDefault="005A5E7D" w:rsidP="005A5E7D">
      <w:pPr>
        <w:spacing w:line="240" w:lineRule="auto"/>
        <w:rPr>
          <w:lang w:eastAsia="ar-SA"/>
        </w:rPr>
      </w:pPr>
    </w:p>
    <w:p w:rsidR="005A5E7D" w:rsidRPr="003A21B9" w:rsidRDefault="005A5E7D" w:rsidP="00CB3560">
      <w:pPr>
        <w:pStyle w:val="Heading2"/>
        <w:numPr>
          <w:ilvl w:val="0"/>
          <w:numId w:val="23"/>
        </w:numPr>
        <w:rPr>
          <w:lang w:eastAsia="ar-SA"/>
        </w:rPr>
      </w:pPr>
      <w:bookmarkStart w:id="52" w:name="_Toc384769747"/>
      <w:r w:rsidRPr="003A21B9">
        <w:rPr>
          <w:lang w:eastAsia="ar-SA"/>
        </w:rPr>
        <w:t>Comparación de las</w:t>
      </w:r>
      <w:r>
        <w:rPr>
          <w:lang w:eastAsia="ar-SA"/>
        </w:rPr>
        <w:t xml:space="preserve"> fuentes de ingresos f</w:t>
      </w:r>
      <w:r w:rsidRPr="003A21B9">
        <w:rPr>
          <w:lang w:eastAsia="ar-SA"/>
        </w:rPr>
        <w:t>iscales</w:t>
      </w:r>
      <w:bookmarkEnd w:id="52"/>
    </w:p>
    <w:p w:rsidR="005A5E7D" w:rsidRDefault="005A5E7D" w:rsidP="005A5E7D">
      <w:pPr>
        <w:spacing w:line="360" w:lineRule="auto"/>
        <w:rPr>
          <w:lang w:eastAsia="ar-SA"/>
        </w:rPr>
      </w:pPr>
    </w:p>
    <w:p w:rsidR="005A5E7D" w:rsidRPr="003A21B9" w:rsidRDefault="005A5E7D" w:rsidP="005A5E7D">
      <w:pPr>
        <w:rPr>
          <w:rFonts w:eastAsia="+mn-ea"/>
          <w:lang w:eastAsia="ar-SA"/>
        </w:rPr>
      </w:pPr>
      <w:r w:rsidRPr="003A21B9">
        <w:rPr>
          <w:lang w:eastAsia="ar-SA"/>
        </w:rPr>
        <w:t>Tomando como base la estructura fiscal federalista, se realiz</w:t>
      </w:r>
      <w:r>
        <w:rPr>
          <w:lang w:eastAsia="ar-SA"/>
        </w:rPr>
        <w:t>ó</w:t>
      </w:r>
      <w:r w:rsidRPr="003A21B9">
        <w:rPr>
          <w:lang w:eastAsia="ar-SA"/>
        </w:rPr>
        <w:t xml:space="preserve"> una comparación entre las fuentes de ingreso y la estructura de gasto de los gobiernos estatales con relación a los ingresos y gastos correspondientes al </w:t>
      </w:r>
      <w:r>
        <w:rPr>
          <w:lang w:eastAsia="ar-SA"/>
        </w:rPr>
        <w:t>Gobierno</w:t>
      </w:r>
      <w:r w:rsidRPr="003A21B9">
        <w:rPr>
          <w:lang w:eastAsia="ar-SA"/>
        </w:rPr>
        <w:t xml:space="preserve"> de Puerto Rico.</w:t>
      </w:r>
      <w:r>
        <w:rPr>
          <w:lang w:eastAsia="ar-SA"/>
        </w:rPr>
        <w:t xml:space="preserve"> </w:t>
      </w:r>
      <w:r w:rsidRPr="003A21B9">
        <w:rPr>
          <w:lang w:eastAsia="ar-SA"/>
        </w:rPr>
        <w:t>Entre los aspectos evalua</w:t>
      </w:r>
      <w:r>
        <w:rPr>
          <w:lang w:eastAsia="ar-SA"/>
        </w:rPr>
        <w:t>dos</w:t>
      </w:r>
      <w:r w:rsidRPr="003A21B9">
        <w:rPr>
          <w:lang w:eastAsia="ar-SA"/>
        </w:rPr>
        <w:t xml:space="preserve"> están: la importancia relativa de las diversas fuentes de ingresos fiscales y</w:t>
      </w:r>
      <w:r>
        <w:rPr>
          <w:lang w:eastAsia="ar-SA"/>
        </w:rPr>
        <w:t xml:space="preserve"> </w:t>
      </w:r>
      <w:r w:rsidRPr="003A21B9">
        <w:rPr>
          <w:lang w:eastAsia="ar-SA"/>
        </w:rPr>
        <w:t xml:space="preserve">la importancia relativa de la generación de ingresos a través de fuentes propias versus las aportaciones federales al </w:t>
      </w:r>
      <w:r>
        <w:rPr>
          <w:lang w:eastAsia="ar-SA"/>
        </w:rPr>
        <w:t>Gobierno</w:t>
      </w:r>
      <w:r w:rsidRPr="003A21B9">
        <w:rPr>
          <w:lang w:eastAsia="ar-SA"/>
        </w:rPr>
        <w:t>.</w:t>
      </w:r>
      <w:r>
        <w:rPr>
          <w:lang w:eastAsia="ar-SA"/>
        </w:rPr>
        <w:t xml:space="preserve"> </w:t>
      </w:r>
      <w:r w:rsidRPr="003A21B9">
        <w:rPr>
          <w:lang w:eastAsia="ar-SA"/>
        </w:rPr>
        <w:t xml:space="preserve">Los datos de ingresos y gastos </w:t>
      </w:r>
      <w:r>
        <w:rPr>
          <w:lang w:eastAsia="ar-SA"/>
        </w:rPr>
        <w:t>de</w:t>
      </w:r>
      <w:r w:rsidRPr="003A21B9">
        <w:rPr>
          <w:lang w:eastAsia="ar-SA"/>
        </w:rPr>
        <w:t xml:space="preserve"> Puerto Rico se compara</w:t>
      </w:r>
      <w:r>
        <w:rPr>
          <w:lang w:eastAsia="ar-SA"/>
        </w:rPr>
        <w:t>ron con los valores promedio</w:t>
      </w:r>
      <w:r w:rsidRPr="003A21B9">
        <w:rPr>
          <w:lang w:eastAsia="ar-SA"/>
        </w:rPr>
        <w:t xml:space="preserve"> </w:t>
      </w:r>
      <w:r>
        <w:rPr>
          <w:lang w:eastAsia="ar-SA"/>
        </w:rPr>
        <w:t>de</w:t>
      </w:r>
      <w:r w:rsidRPr="003A21B9">
        <w:rPr>
          <w:lang w:eastAsia="ar-SA"/>
        </w:rPr>
        <w:t xml:space="preserve"> todos los estados y datos individuales para </w:t>
      </w:r>
      <w:r>
        <w:rPr>
          <w:lang w:eastAsia="ar-SA"/>
        </w:rPr>
        <w:t xml:space="preserve">ciertos </w:t>
      </w:r>
      <w:r w:rsidRPr="003A21B9">
        <w:rPr>
          <w:lang w:eastAsia="ar-SA"/>
        </w:rPr>
        <w:t>estados seleccionados.</w:t>
      </w:r>
      <w:r>
        <w:rPr>
          <w:lang w:eastAsia="ar-SA"/>
        </w:rPr>
        <w:t xml:space="preserve"> </w:t>
      </w:r>
    </w:p>
    <w:p w:rsidR="005A5E7D" w:rsidRPr="003A21B9" w:rsidRDefault="005A5E7D" w:rsidP="005A5E7D">
      <w:pPr>
        <w:rPr>
          <w:lang w:eastAsia="ar-SA"/>
        </w:rPr>
      </w:pPr>
      <w:r w:rsidRPr="003A21B9">
        <w:rPr>
          <w:lang w:eastAsia="ar-SA"/>
        </w:rPr>
        <w:t>Como punto de partida</w:t>
      </w:r>
      <w:r>
        <w:rPr>
          <w:lang w:eastAsia="ar-SA"/>
        </w:rPr>
        <w:t>,</w:t>
      </w:r>
      <w:r w:rsidRPr="003A21B9">
        <w:rPr>
          <w:lang w:eastAsia="ar-SA"/>
        </w:rPr>
        <w:t xml:space="preserve"> comparamos</w:t>
      </w:r>
      <w:r>
        <w:rPr>
          <w:lang w:eastAsia="ar-SA"/>
        </w:rPr>
        <w:t xml:space="preserve"> </w:t>
      </w:r>
      <w:r w:rsidRPr="003A21B9">
        <w:rPr>
          <w:lang w:eastAsia="ar-SA"/>
        </w:rPr>
        <w:t>las fuentes de recaudos</w:t>
      </w:r>
      <w:r>
        <w:rPr>
          <w:lang w:eastAsia="ar-SA"/>
        </w:rPr>
        <w:t xml:space="preserve"> </w:t>
      </w:r>
      <w:r w:rsidRPr="003A21B9">
        <w:rPr>
          <w:lang w:eastAsia="ar-SA"/>
        </w:rPr>
        <w:t>para los gobiernos estatales en E</w:t>
      </w:r>
      <w:r>
        <w:rPr>
          <w:lang w:eastAsia="ar-SA"/>
        </w:rPr>
        <w:t>stados Unidos</w:t>
      </w:r>
      <w:r w:rsidRPr="003A21B9">
        <w:rPr>
          <w:lang w:eastAsia="ar-SA"/>
        </w:rPr>
        <w:t xml:space="preserve"> con las fuentes de recaudos para el </w:t>
      </w:r>
      <w:r>
        <w:rPr>
          <w:lang w:eastAsia="ar-SA"/>
        </w:rPr>
        <w:t>Gobierno</w:t>
      </w:r>
      <w:r w:rsidRPr="003A21B9">
        <w:rPr>
          <w:lang w:eastAsia="ar-SA"/>
        </w:rPr>
        <w:t xml:space="preserve"> de Puerto Rico.</w:t>
      </w:r>
      <w:r>
        <w:rPr>
          <w:lang w:eastAsia="ar-SA"/>
        </w:rPr>
        <w:t xml:space="preserve"> </w:t>
      </w:r>
      <w:r w:rsidRPr="003A21B9">
        <w:rPr>
          <w:lang w:eastAsia="ar-SA"/>
        </w:rPr>
        <w:t>Los datos de Puerto Rico provienen</w:t>
      </w:r>
      <w:r>
        <w:rPr>
          <w:lang w:eastAsia="ar-SA"/>
        </w:rPr>
        <w:t xml:space="preserve"> </w:t>
      </w:r>
      <w:r w:rsidRPr="003A21B9">
        <w:rPr>
          <w:lang w:eastAsia="ar-SA"/>
        </w:rPr>
        <w:t xml:space="preserve">de la </w:t>
      </w:r>
      <w:r>
        <w:rPr>
          <w:lang w:eastAsia="ar-SA"/>
        </w:rPr>
        <w:t>“</w:t>
      </w:r>
      <w:r w:rsidRPr="00F26A1E">
        <w:rPr>
          <w:lang w:eastAsia="ar-SA"/>
        </w:rPr>
        <w:t>Tabla 22: Aportaciones Federales al Gobierno del ELA</w:t>
      </w:r>
      <w:r>
        <w:rPr>
          <w:lang w:eastAsia="ar-SA"/>
        </w:rPr>
        <w:t>”</w:t>
      </w:r>
      <w:r w:rsidRPr="00F26A1E">
        <w:rPr>
          <w:lang w:eastAsia="ar-SA"/>
        </w:rPr>
        <w:t xml:space="preserve"> y la </w:t>
      </w:r>
      <w:r>
        <w:rPr>
          <w:lang w:eastAsia="ar-SA"/>
        </w:rPr>
        <w:t>“</w:t>
      </w:r>
      <w:r w:rsidRPr="00F26A1E">
        <w:rPr>
          <w:lang w:eastAsia="ar-SA"/>
        </w:rPr>
        <w:t>Tabla 27: Rentas Periódicas Netas del E.L.A.</w:t>
      </w:r>
      <w:r>
        <w:rPr>
          <w:lang w:eastAsia="ar-SA"/>
        </w:rPr>
        <w:t>”</w:t>
      </w:r>
      <w:r w:rsidRPr="003A21B9">
        <w:rPr>
          <w:lang w:eastAsia="ar-SA"/>
        </w:rPr>
        <w:t xml:space="preserve"> del </w:t>
      </w:r>
      <w:r w:rsidRPr="00F26A1E">
        <w:rPr>
          <w:i/>
          <w:lang w:eastAsia="ar-SA"/>
        </w:rPr>
        <w:t>Apéndice Estadístico</w:t>
      </w:r>
      <w:r w:rsidRPr="003A21B9">
        <w:rPr>
          <w:lang w:eastAsia="ar-SA"/>
        </w:rPr>
        <w:t xml:space="preserve"> del </w:t>
      </w:r>
      <w:r w:rsidRPr="00F26A1E">
        <w:rPr>
          <w:i/>
          <w:lang w:eastAsia="ar-SA"/>
        </w:rPr>
        <w:t>Informe Económico al Gobernador</w:t>
      </w:r>
      <w:r w:rsidRPr="003A21B9">
        <w:rPr>
          <w:lang w:eastAsia="ar-SA"/>
        </w:rPr>
        <w:t xml:space="preserve"> para varios años</w:t>
      </w:r>
      <w:r w:rsidRPr="003A21B9">
        <w:rPr>
          <w:noProof/>
          <w:lang w:eastAsia="ar-SA"/>
        </w:rPr>
        <w:t xml:space="preserve"> (Junta de Planificación de Puerto Rico, 2013)</w:t>
      </w:r>
      <w:r w:rsidRPr="003A21B9">
        <w:rPr>
          <w:lang w:eastAsia="ar-SA"/>
        </w:rPr>
        <w:t>.</w:t>
      </w:r>
      <w:r>
        <w:rPr>
          <w:lang w:eastAsia="ar-SA"/>
        </w:rPr>
        <w:t xml:space="preserve"> </w:t>
      </w:r>
      <w:r w:rsidRPr="003A21B9">
        <w:rPr>
          <w:lang w:eastAsia="ar-SA"/>
        </w:rPr>
        <w:t>Los datos correspondientes a las fuentes de ingresos y gastos estatales s</w:t>
      </w:r>
      <w:r>
        <w:rPr>
          <w:lang w:eastAsia="ar-SA"/>
        </w:rPr>
        <w:t>e</w:t>
      </w:r>
      <w:r w:rsidRPr="003A21B9">
        <w:rPr>
          <w:lang w:eastAsia="ar-SA"/>
        </w:rPr>
        <w:t xml:space="preserve"> publica</w:t>
      </w:r>
      <w:r>
        <w:rPr>
          <w:lang w:eastAsia="ar-SA"/>
        </w:rPr>
        <w:t>n</w:t>
      </w:r>
      <w:r w:rsidRPr="003A21B9">
        <w:rPr>
          <w:lang w:eastAsia="ar-SA"/>
        </w:rPr>
        <w:t xml:space="preserve"> por el Negociado del Censo de Estados Unidos </w:t>
      </w:r>
      <w:r w:rsidRPr="003A21B9">
        <w:rPr>
          <w:noProof/>
          <w:lang w:eastAsia="ar-SA"/>
        </w:rPr>
        <w:t>(US Census Bureau, US Department of Commerce, 2013)</w:t>
      </w:r>
      <w:r w:rsidRPr="003A21B9">
        <w:rPr>
          <w:lang w:eastAsia="ar-SA"/>
        </w:rPr>
        <w:t>.</w:t>
      </w:r>
    </w:p>
    <w:p w:rsidR="005A5E7D" w:rsidRPr="003A21B9" w:rsidRDefault="005A5E7D" w:rsidP="005A5E7D">
      <w:pPr>
        <w:rPr>
          <w:lang w:eastAsia="ar-SA"/>
        </w:rPr>
      </w:pPr>
      <w:r w:rsidRPr="003A21B9">
        <w:rPr>
          <w:lang w:eastAsia="ar-SA"/>
        </w:rPr>
        <w:t xml:space="preserve">El análisis de esta sección se concentra en tres preguntas importantes: </w:t>
      </w:r>
      <w:r w:rsidRPr="003A21B9">
        <w:rPr>
          <w:rFonts w:cs="Arial"/>
          <w:lang w:eastAsia="ar-SA"/>
        </w:rPr>
        <w:t>¿</w:t>
      </w:r>
      <w:r w:rsidRPr="003A21B9">
        <w:rPr>
          <w:lang w:eastAsia="ar-SA"/>
        </w:rPr>
        <w:t xml:space="preserve">Cómo compara la proporción de los ingresos estatales que provienen de aportaciones federales con la proporción correspondiente en el </w:t>
      </w:r>
      <w:r>
        <w:rPr>
          <w:lang w:eastAsia="ar-SA"/>
        </w:rPr>
        <w:t>Gobierno</w:t>
      </w:r>
      <w:r w:rsidRPr="003A21B9">
        <w:rPr>
          <w:lang w:eastAsia="ar-SA"/>
        </w:rPr>
        <w:t xml:space="preserve"> de Puerto Rico?</w:t>
      </w:r>
      <w:r>
        <w:rPr>
          <w:lang w:eastAsia="ar-SA"/>
        </w:rPr>
        <w:t xml:space="preserve">, </w:t>
      </w:r>
      <w:r w:rsidRPr="003A21B9">
        <w:rPr>
          <w:rFonts w:cs="Arial"/>
          <w:lang w:eastAsia="ar-SA"/>
        </w:rPr>
        <w:t>¿</w:t>
      </w:r>
      <w:r w:rsidRPr="003A21B9">
        <w:rPr>
          <w:lang w:eastAsia="ar-SA"/>
        </w:rPr>
        <w:t xml:space="preserve">Cómo difieren las fuentes de fondos propios en los estados y en Puerto Rico? y, </w:t>
      </w:r>
      <w:r w:rsidRPr="003A21B9">
        <w:rPr>
          <w:rFonts w:cs="Arial"/>
          <w:lang w:eastAsia="ar-SA"/>
        </w:rPr>
        <w:t>¿</w:t>
      </w:r>
      <w:r w:rsidRPr="003A21B9">
        <w:rPr>
          <w:lang w:eastAsia="ar-SA"/>
        </w:rPr>
        <w:t xml:space="preserve">Cómo compara la carga tributaria que impone el </w:t>
      </w:r>
      <w:r>
        <w:rPr>
          <w:lang w:eastAsia="ar-SA"/>
        </w:rPr>
        <w:t>Gobierno</w:t>
      </w:r>
      <w:r w:rsidRPr="003A21B9">
        <w:rPr>
          <w:lang w:eastAsia="ar-SA"/>
        </w:rPr>
        <w:t xml:space="preserve"> de Puerto Rico a sus residentes</w:t>
      </w:r>
      <w:r>
        <w:rPr>
          <w:lang w:eastAsia="ar-SA"/>
        </w:rPr>
        <w:t>,</w:t>
      </w:r>
      <w:r w:rsidRPr="003A21B9">
        <w:rPr>
          <w:lang w:eastAsia="ar-SA"/>
        </w:rPr>
        <w:t xml:space="preserve"> con la carga tributaria a nivel estatal</w:t>
      </w:r>
      <w:r>
        <w:rPr>
          <w:lang w:eastAsia="ar-SA"/>
        </w:rPr>
        <w:t xml:space="preserve"> en </w:t>
      </w:r>
      <w:r w:rsidRPr="003A21B9">
        <w:rPr>
          <w:lang w:eastAsia="ar-SA"/>
        </w:rPr>
        <w:t>Estados Unidos?</w:t>
      </w:r>
    </w:p>
    <w:p w:rsidR="005A5E7D" w:rsidRPr="003A21B9" w:rsidRDefault="005A5E7D" w:rsidP="005A5E7D">
      <w:pPr>
        <w:rPr>
          <w:lang w:eastAsia="ar-SA"/>
        </w:rPr>
      </w:pPr>
      <w:r w:rsidRPr="003A21B9">
        <w:rPr>
          <w:lang w:eastAsia="ar-SA"/>
        </w:rPr>
        <w:t xml:space="preserve">Para comparar el ingreso fiscal del </w:t>
      </w:r>
      <w:r>
        <w:rPr>
          <w:lang w:eastAsia="ar-SA"/>
        </w:rPr>
        <w:t>Gobierno</w:t>
      </w:r>
      <w:r w:rsidRPr="003A21B9">
        <w:rPr>
          <w:lang w:eastAsia="ar-SA"/>
        </w:rPr>
        <w:t xml:space="preserve"> de Puerto Rico con los ingresos fiscales de los 50 estados, es necesario contar con una definición de ingreso que sea similar y que tome en consideración s</w:t>
      </w:r>
      <w:r>
        <w:rPr>
          <w:lang w:eastAsia="ar-SA"/>
        </w:rPr>
        <w:t>o</w:t>
      </w:r>
      <w:r w:rsidRPr="003A21B9">
        <w:rPr>
          <w:lang w:eastAsia="ar-SA"/>
        </w:rPr>
        <w:t xml:space="preserve">lo las aportaciones federales que van al </w:t>
      </w:r>
      <w:r>
        <w:rPr>
          <w:lang w:eastAsia="ar-SA"/>
        </w:rPr>
        <w:t>Gobierno,</w:t>
      </w:r>
      <w:r w:rsidRPr="003A21B9">
        <w:rPr>
          <w:lang w:eastAsia="ar-SA"/>
        </w:rPr>
        <w:t xml:space="preserve"> excluyendo las aportaciones</w:t>
      </w:r>
      <w:r>
        <w:rPr>
          <w:lang w:eastAsia="ar-SA"/>
        </w:rPr>
        <w:t xml:space="preserve"> </w:t>
      </w:r>
      <w:r w:rsidRPr="003A21B9">
        <w:rPr>
          <w:lang w:eastAsia="ar-SA"/>
        </w:rPr>
        <w:t>federales a los individuos y a los municipios.</w:t>
      </w:r>
      <w:r w:rsidRPr="003A21B9">
        <w:rPr>
          <w:vertAlign w:val="superscript"/>
          <w:lang w:eastAsia="ar-SA"/>
        </w:rPr>
        <w:footnoteReference w:id="19"/>
      </w:r>
      <w:r>
        <w:rPr>
          <w:lang w:eastAsia="ar-SA"/>
        </w:rPr>
        <w:t xml:space="preserve"> </w:t>
      </w:r>
      <w:r w:rsidRPr="003A21B9">
        <w:rPr>
          <w:lang w:eastAsia="ar-SA"/>
        </w:rPr>
        <w:t xml:space="preserve">Para lograrlo, en el total de las rentas periódicas netas del </w:t>
      </w:r>
      <w:r>
        <w:rPr>
          <w:lang w:eastAsia="ar-SA"/>
        </w:rPr>
        <w:t>Estado Libre Asociado</w:t>
      </w:r>
      <w:r w:rsidRPr="003A21B9">
        <w:rPr>
          <w:lang w:eastAsia="ar-SA"/>
        </w:rPr>
        <w:t xml:space="preserve"> (</w:t>
      </w:r>
      <w:r w:rsidRPr="00F26A1E">
        <w:rPr>
          <w:lang w:eastAsia="ar-SA"/>
        </w:rPr>
        <w:t>Tabla 27</w:t>
      </w:r>
      <w:r w:rsidRPr="003A21B9">
        <w:rPr>
          <w:i/>
          <w:lang w:eastAsia="ar-SA"/>
        </w:rPr>
        <w:t xml:space="preserve"> del </w:t>
      </w:r>
      <w:r w:rsidRPr="00F26A1E">
        <w:rPr>
          <w:i/>
          <w:lang w:eastAsia="ar-SA"/>
        </w:rPr>
        <w:t>Apéndice Estadístico</w:t>
      </w:r>
      <w:r>
        <w:rPr>
          <w:lang w:eastAsia="ar-SA"/>
        </w:rPr>
        <w:t xml:space="preserve"> de</w:t>
      </w:r>
      <w:r w:rsidRPr="003A21B9">
        <w:rPr>
          <w:lang w:eastAsia="ar-SA"/>
        </w:rPr>
        <w:t xml:space="preserve">l </w:t>
      </w:r>
      <w:r w:rsidRPr="00F26A1E">
        <w:rPr>
          <w:i/>
          <w:lang w:eastAsia="ar-SA"/>
        </w:rPr>
        <w:t>Informe Económico al Gobernador 2012</w:t>
      </w:r>
      <w:r w:rsidRPr="003A21B9">
        <w:rPr>
          <w:lang w:eastAsia="ar-SA"/>
        </w:rPr>
        <w:t xml:space="preserve">, </w:t>
      </w:r>
      <w:r w:rsidRPr="003A21B9">
        <w:rPr>
          <w:noProof/>
          <w:lang w:eastAsia="ar-SA"/>
        </w:rPr>
        <w:t>Junta de Pla</w:t>
      </w:r>
      <w:r>
        <w:rPr>
          <w:noProof/>
          <w:lang w:eastAsia="ar-SA"/>
        </w:rPr>
        <w:t>nificación de Puerto Rico, 2013</w:t>
      </w:r>
      <w:r>
        <w:rPr>
          <w:lang w:eastAsia="ar-SA"/>
        </w:rPr>
        <w:t>),</w:t>
      </w:r>
      <w:r w:rsidRPr="003A21B9">
        <w:rPr>
          <w:lang w:eastAsia="ar-SA"/>
        </w:rPr>
        <w:t xml:space="preserve"> se sustituyeron las aportaciones federales por las aportaciones federales que van al </w:t>
      </w:r>
      <w:r>
        <w:rPr>
          <w:lang w:eastAsia="ar-SA"/>
        </w:rPr>
        <w:t>Gobierno del EL</w:t>
      </w:r>
      <w:r w:rsidRPr="003A21B9">
        <w:rPr>
          <w:lang w:eastAsia="ar-SA"/>
        </w:rPr>
        <w:t>A (</w:t>
      </w:r>
      <w:r w:rsidRPr="00F26A1E">
        <w:rPr>
          <w:lang w:eastAsia="ar-SA"/>
        </w:rPr>
        <w:t>Tabla 22</w:t>
      </w:r>
      <w:r w:rsidRPr="003A21B9">
        <w:rPr>
          <w:lang w:eastAsia="ar-SA"/>
        </w:rPr>
        <w:t>) y se excluyeron las aportaciones federales que van directamente a los municipios (</w:t>
      </w:r>
      <w:r w:rsidRPr="00F26A1E">
        <w:rPr>
          <w:lang w:eastAsia="ar-SA"/>
        </w:rPr>
        <w:t>Tabla 22</w:t>
      </w:r>
      <w:r w:rsidRPr="003A21B9">
        <w:rPr>
          <w:lang w:eastAsia="ar-SA"/>
        </w:rPr>
        <w:t>).</w:t>
      </w:r>
      <w:r w:rsidRPr="003A21B9">
        <w:rPr>
          <w:vertAlign w:val="superscript"/>
          <w:lang w:eastAsia="ar-SA"/>
        </w:rPr>
        <w:footnoteReference w:id="20"/>
      </w:r>
      <w:r>
        <w:rPr>
          <w:lang w:eastAsia="ar-SA"/>
        </w:rPr>
        <w:t xml:space="preserve"> </w:t>
      </w:r>
      <w:r w:rsidRPr="003A21B9">
        <w:rPr>
          <w:lang w:eastAsia="ar-SA"/>
        </w:rPr>
        <w:t>Por su parte, los ingresos fiscales de los estados corresponden al renglón de ingresos generales (</w:t>
      </w:r>
      <w:r w:rsidRPr="003A21B9">
        <w:rPr>
          <w:i/>
          <w:lang w:eastAsia="ar-SA"/>
        </w:rPr>
        <w:t>General Revenue)</w:t>
      </w:r>
      <w:r w:rsidRPr="003A21B9">
        <w:rPr>
          <w:lang w:eastAsia="ar-SA"/>
        </w:rPr>
        <w:t xml:space="preserve"> de la </w:t>
      </w:r>
      <w:r>
        <w:rPr>
          <w:lang w:eastAsia="ar-SA"/>
        </w:rPr>
        <w:t>“</w:t>
      </w:r>
      <w:r w:rsidRPr="00F26A1E">
        <w:rPr>
          <w:lang w:eastAsia="ar-SA"/>
        </w:rPr>
        <w:t>Tabla de Resumen Anual de las Finanzas de Gobiernos Estatales</w:t>
      </w:r>
      <w:r>
        <w:rPr>
          <w:lang w:eastAsia="ar-SA"/>
        </w:rPr>
        <w:t>”</w:t>
      </w:r>
      <w:r w:rsidRPr="003A21B9">
        <w:rPr>
          <w:i/>
          <w:lang w:eastAsia="ar-SA"/>
        </w:rPr>
        <w:t xml:space="preserve"> </w:t>
      </w:r>
      <w:r w:rsidRPr="00F26A1E">
        <w:rPr>
          <w:lang w:eastAsia="ar-SA"/>
        </w:rPr>
        <w:t>del Negociado del Censo Federal</w:t>
      </w:r>
      <w:r w:rsidRPr="003A21B9">
        <w:rPr>
          <w:lang w:eastAsia="ar-SA"/>
        </w:rPr>
        <w:t xml:space="preserve"> </w:t>
      </w:r>
      <w:r w:rsidRPr="003A21B9">
        <w:rPr>
          <w:noProof/>
          <w:lang w:eastAsia="ar-SA"/>
        </w:rPr>
        <w:t>(US Census Bureau, US Department of Commerce, 2013)</w:t>
      </w:r>
      <w:r w:rsidRPr="003A21B9">
        <w:rPr>
          <w:lang w:eastAsia="ar-SA"/>
        </w:rPr>
        <w:t>.</w:t>
      </w:r>
      <w:r>
        <w:rPr>
          <w:lang w:eastAsia="ar-SA"/>
        </w:rPr>
        <w:t xml:space="preserve"> </w:t>
      </w:r>
      <w:r w:rsidRPr="003A21B9">
        <w:rPr>
          <w:lang w:eastAsia="ar-SA"/>
        </w:rPr>
        <w:t xml:space="preserve">Para simplificar la lectura y en lo que resta de este </w:t>
      </w:r>
      <w:r>
        <w:rPr>
          <w:lang w:eastAsia="ar-SA"/>
        </w:rPr>
        <w:t>capítul</w:t>
      </w:r>
      <w:r w:rsidRPr="003A21B9">
        <w:rPr>
          <w:lang w:eastAsia="ar-SA"/>
        </w:rPr>
        <w:t xml:space="preserve">o, nos referiremos al ingreso fiscal para el </w:t>
      </w:r>
      <w:r>
        <w:rPr>
          <w:lang w:eastAsia="ar-SA"/>
        </w:rPr>
        <w:t>Gobierno</w:t>
      </w:r>
      <w:r w:rsidRPr="003A21B9">
        <w:rPr>
          <w:lang w:eastAsia="ar-SA"/>
        </w:rPr>
        <w:t xml:space="preserve"> de Puerto Rico y/o al de</w:t>
      </w:r>
      <w:r>
        <w:rPr>
          <w:lang w:eastAsia="ar-SA"/>
        </w:rPr>
        <w:t xml:space="preserve"> </w:t>
      </w:r>
      <w:r w:rsidRPr="003A21B9">
        <w:rPr>
          <w:lang w:eastAsia="ar-SA"/>
        </w:rPr>
        <w:t>los estados.</w:t>
      </w:r>
      <w:r w:rsidRPr="003A21B9">
        <w:rPr>
          <w:vertAlign w:val="superscript"/>
          <w:lang w:eastAsia="ar-SA"/>
        </w:rPr>
        <w:footnoteReference w:id="21"/>
      </w:r>
    </w:p>
    <w:p w:rsidR="005A5E7D" w:rsidRDefault="005A5E7D" w:rsidP="005A5E7D">
      <w:pPr>
        <w:rPr>
          <w:lang w:eastAsia="ar-SA"/>
        </w:rPr>
      </w:pPr>
      <w:r w:rsidRPr="003A21B9">
        <w:rPr>
          <w:lang w:eastAsia="ar-SA"/>
        </w:rPr>
        <w:t xml:space="preserve">Las </w:t>
      </w:r>
      <w:r w:rsidRPr="003A21B9">
        <w:rPr>
          <w:b/>
          <w:lang w:eastAsia="ar-SA"/>
        </w:rPr>
        <w:t xml:space="preserve">Gráficas 1 </w:t>
      </w:r>
      <w:r w:rsidRPr="00F26A1E">
        <w:rPr>
          <w:lang w:eastAsia="ar-SA"/>
        </w:rPr>
        <w:t>y</w:t>
      </w:r>
      <w:r w:rsidRPr="003A21B9">
        <w:rPr>
          <w:b/>
          <w:lang w:eastAsia="ar-SA"/>
        </w:rPr>
        <w:t xml:space="preserve"> 2</w:t>
      </w:r>
      <w:r>
        <w:rPr>
          <w:b/>
          <w:lang w:eastAsia="ar-SA"/>
        </w:rPr>
        <w:t xml:space="preserve"> </w:t>
      </w:r>
      <w:r w:rsidRPr="003A21B9">
        <w:rPr>
          <w:lang w:eastAsia="ar-SA"/>
        </w:rPr>
        <w:t xml:space="preserve">muestran la distribución de los ingresos fiscales para el </w:t>
      </w:r>
      <w:r>
        <w:rPr>
          <w:lang w:eastAsia="ar-SA"/>
        </w:rPr>
        <w:t>Gobierno</w:t>
      </w:r>
      <w:r w:rsidRPr="003A21B9">
        <w:rPr>
          <w:lang w:eastAsia="ar-SA"/>
        </w:rPr>
        <w:t xml:space="preserve"> de Puerto Rico y para el total de ingresos de los gobiernos estatales de Estados Unidos, para el 2011.</w:t>
      </w:r>
      <w:r w:rsidRPr="003A21B9">
        <w:rPr>
          <w:vertAlign w:val="superscript"/>
          <w:lang w:eastAsia="ar-SA"/>
        </w:rPr>
        <w:footnoteReference w:id="22"/>
      </w:r>
      <w:r w:rsidRPr="003A21B9">
        <w:rPr>
          <w:lang w:eastAsia="ar-SA"/>
        </w:rPr>
        <w:tab/>
      </w:r>
    </w:p>
    <w:p w:rsidR="00A9525B" w:rsidRDefault="00A9525B" w:rsidP="00A9525B">
      <w:pPr>
        <w:rPr>
          <w:lang w:eastAsia="ar-SA"/>
        </w:rPr>
      </w:pPr>
      <w:r w:rsidRPr="003A21B9">
        <w:rPr>
          <w:lang w:eastAsia="ar-SA"/>
        </w:rPr>
        <w:t xml:space="preserve">Una de las diferencias significativas que resalta de las </w:t>
      </w:r>
      <w:r>
        <w:rPr>
          <w:lang w:eastAsia="ar-SA"/>
        </w:rPr>
        <w:t xml:space="preserve">dos </w:t>
      </w:r>
      <w:r w:rsidRPr="003A21B9">
        <w:rPr>
          <w:lang w:eastAsia="ar-SA"/>
        </w:rPr>
        <w:t xml:space="preserve">gráficas es la importancia relativa del renglón de </w:t>
      </w:r>
      <w:r>
        <w:rPr>
          <w:lang w:eastAsia="ar-SA"/>
        </w:rPr>
        <w:t>o</w:t>
      </w:r>
      <w:r w:rsidRPr="003A21B9">
        <w:rPr>
          <w:lang w:eastAsia="ar-SA"/>
        </w:rPr>
        <w:t>tros ingresos para los g</w:t>
      </w:r>
      <w:r>
        <w:rPr>
          <w:lang w:eastAsia="ar-SA"/>
        </w:rPr>
        <w:t>obiernos estatales, equivalente</w:t>
      </w:r>
      <w:r w:rsidRPr="003A21B9">
        <w:rPr>
          <w:lang w:eastAsia="ar-SA"/>
        </w:rPr>
        <w:t xml:space="preserve"> al 18% de sus ingresos fiscales en comparación con s</w:t>
      </w:r>
      <w:r>
        <w:rPr>
          <w:lang w:eastAsia="ar-SA"/>
        </w:rPr>
        <w:t>o</w:t>
      </w:r>
      <w:r w:rsidRPr="003A21B9">
        <w:rPr>
          <w:lang w:eastAsia="ar-SA"/>
        </w:rPr>
        <w:t>lo el 6% en Puerto Rico.</w:t>
      </w:r>
      <w:r>
        <w:rPr>
          <w:lang w:eastAsia="ar-SA"/>
        </w:rPr>
        <w:t xml:space="preserve"> </w:t>
      </w:r>
      <w:r w:rsidRPr="003A21B9">
        <w:rPr>
          <w:lang w:eastAsia="ar-SA"/>
        </w:rPr>
        <w:t>En el caso de los estados, esta partida</w:t>
      </w:r>
      <w:r>
        <w:rPr>
          <w:lang w:eastAsia="ar-SA"/>
        </w:rPr>
        <w:t xml:space="preserve"> </w:t>
      </w:r>
      <w:r w:rsidRPr="003A21B9">
        <w:rPr>
          <w:lang w:eastAsia="ar-SA"/>
        </w:rPr>
        <w:t>incluye ingresos misceláneos y cargos por servicio</w:t>
      </w:r>
      <w:r>
        <w:rPr>
          <w:lang w:eastAsia="ar-SA"/>
        </w:rPr>
        <w:t>s</w:t>
      </w:r>
      <w:r w:rsidRPr="003A21B9">
        <w:rPr>
          <w:lang w:eastAsia="ar-SA"/>
        </w:rPr>
        <w:t>, mientras que en Puerto Rico se incluyen loterías, derechos, multas y penalidades, ingresos misceláneos y ventas de propiedades.</w:t>
      </w:r>
      <w:r>
        <w:rPr>
          <w:lang w:eastAsia="ar-SA"/>
        </w:rPr>
        <w:t xml:space="preserve"> </w:t>
      </w:r>
      <w:r w:rsidRPr="003A21B9">
        <w:rPr>
          <w:lang w:eastAsia="ar-SA"/>
        </w:rPr>
        <w:t>Otra diferencia evidente, exp</w:t>
      </w:r>
      <w:r>
        <w:rPr>
          <w:lang w:eastAsia="ar-SA"/>
        </w:rPr>
        <w:t>licada</w:t>
      </w:r>
      <w:r w:rsidRPr="003A21B9">
        <w:rPr>
          <w:lang w:eastAsia="ar-SA"/>
        </w:rPr>
        <w:t xml:space="preserve"> más adelante, es la baja participación de los impuestos sobre el ingreso de corporaciones en los ingresos estatales (3%), </w:t>
      </w:r>
      <w:r>
        <w:rPr>
          <w:lang w:eastAsia="ar-SA"/>
        </w:rPr>
        <w:t>en comparación con</w:t>
      </w:r>
      <w:r w:rsidRPr="003A21B9">
        <w:rPr>
          <w:lang w:eastAsia="ar-SA"/>
        </w:rPr>
        <w:t xml:space="preserve"> su participación en los ingresos fiscales del </w:t>
      </w:r>
      <w:r>
        <w:rPr>
          <w:lang w:eastAsia="ar-SA"/>
        </w:rPr>
        <w:t>Gobierno</w:t>
      </w:r>
      <w:r w:rsidRPr="003A21B9">
        <w:rPr>
          <w:lang w:eastAsia="ar-SA"/>
        </w:rPr>
        <w:t xml:space="preserve"> de Puerto Rico (13%).</w:t>
      </w:r>
    </w:p>
    <w:p w:rsidR="00A9525B" w:rsidRPr="003A21B9" w:rsidRDefault="00A9525B" w:rsidP="005A5E7D">
      <w:pPr>
        <w:rPr>
          <w:lang w:eastAsia="ar-SA"/>
        </w:rPr>
      </w:pPr>
    </w:p>
    <w:p w:rsidR="005A5E7D" w:rsidRPr="003A21B9" w:rsidRDefault="0095547C" w:rsidP="005A5E7D">
      <w:pPr>
        <w:suppressAutoHyphens/>
        <w:ind w:firstLine="706"/>
        <w:jc w:val="center"/>
        <w:rPr>
          <w:rFonts w:eastAsia="SimSun" w:cs="Calibri"/>
          <w:kern w:val="1"/>
          <w:lang w:eastAsia="ar-SA"/>
        </w:rPr>
      </w:pPr>
      <w:r>
        <w:rPr>
          <w:rFonts w:eastAsia="SimSun" w:cs="Calibri"/>
          <w:noProof/>
          <w:kern w:val="1"/>
          <w:lang w:val="en-US"/>
        </w:rPr>
        <w:drawing>
          <wp:inline distT="0" distB="0" distL="0" distR="0">
            <wp:extent cx="4359910" cy="2470785"/>
            <wp:effectExtent l="0" t="0" r="21590" b="24765"/>
            <wp:docPr id="1"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A5E7D" w:rsidRDefault="0095547C" w:rsidP="005A5E7D">
      <w:pPr>
        <w:suppressAutoHyphens/>
        <w:spacing w:after="120"/>
        <w:ind w:firstLine="706"/>
        <w:jc w:val="center"/>
        <w:rPr>
          <w:rFonts w:eastAsia="SimSun" w:cs="Calibri"/>
          <w:kern w:val="1"/>
          <w:lang w:eastAsia="ar-SA"/>
        </w:rPr>
      </w:pPr>
      <w:r>
        <w:rPr>
          <w:rFonts w:eastAsia="SimSun" w:cs="Calibri"/>
          <w:noProof/>
          <w:kern w:val="1"/>
          <w:lang w:val="en-US"/>
        </w:rPr>
        <w:drawing>
          <wp:inline distT="0" distB="0" distL="0" distR="0">
            <wp:extent cx="4339590" cy="2585085"/>
            <wp:effectExtent l="0" t="0" r="22860" b="24765"/>
            <wp:docPr id="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A5E7D" w:rsidRPr="003A21B9" w:rsidRDefault="005A5E7D" w:rsidP="005A5E7D">
      <w:pPr>
        <w:rPr>
          <w:rFonts w:eastAsia="+mn-ea"/>
          <w:color w:val="000000"/>
          <w:szCs w:val="24"/>
          <w:lang w:eastAsia="ar-SA"/>
        </w:rPr>
      </w:pPr>
      <w:r w:rsidRPr="003A21B9">
        <w:rPr>
          <w:rFonts w:eastAsia="+mn-ea"/>
          <w:color w:val="000000"/>
          <w:szCs w:val="24"/>
          <w:lang w:eastAsia="ar-SA"/>
        </w:rPr>
        <w:t xml:space="preserve">Para el 2011, los estados generaban el 3% de sus ingresos del pago de licencias y 18% de </w:t>
      </w:r>
      <w:r>
        <w:rPr>
          <w:rFonts w:eastAsia="+mn-ea"/>
          <w:color w:val="000000"/>
          <w:szCs w:val="24"/>
          <w:lang w:eastAsia="ar-SA"/>
        </w:rPr>
        <w:t>otros ingresos (</w:t>
      </w:r>
      <w:r w:rsidRPr="003A21B9">
        <w:rPr>
          <w:rFonts w:eastAsia="+mn-ea"/>
          <w:color w:val="000000"/>
          <w:szCs w:val="24"/>
          <w:lang w:eastAsia="ar-SA"/>
        </w:rPr>
        <w:t>cobros por servicios y otras fuentes no tributarias</w:t>
      </w:r>
      <w:r>
        <w:rPr>
          <w:rFonts w:eastAsia="+mn-ea"/>
          <w:color w:val="000000"/>
          <w:szCs w:val="24"/>
          <w:lang w:eastAsia="ar-SA"/>
        </w:rPr>
        <w:t>)</w:t>
      </w:r>
      <w:r w:rsidRPr="003A21B9">
        <w:rPr>
          <w:rFonts w:eastAsia="+mn-ea"/>
          <w:color w:val="000000"/>
          <w:szCs w:val="24"/>
          <w:lang w:eastAsia="ar-SA"/>
        </w:rPr>
        <w:t>.</w:t>
      </w:r>
      <w:r>
        <w:rPr>
          <w:rFonts w:eastAsia="+mn-ea"/>
          <w:color w:val="000000"/>
          <w:szCs w:val="24"/>
          <w:lang w:eastAsia="ar-SA"/>
        </w:rPr>
        <w:t xml:space="preserve"> </w:t>
      </w:r>
      <w:r w:rsidRPr="003A21B9">
        <w:rPr>
          <w:rFonts w:eastAsia="+mn-ea"/>
          <w:color w:val="000000"/>
          <w:szCs w:val="24"/>
          <w:lang w:eastAsia="ar-SA"/>
        </w:rPr>
        <w:t xml:space="preserve">Para el mismo año, Puerto Rico sólo generó el 7% de sus ingresos </w:t>
      </w:r>
      <w:r>
        <w:rPr>
          <w:rFonts w:eastAsia="+mn-ea"/>
          <w:color w:val="000000"/>
          <w:szCs w:val="24"/>
          <w:lang w:eastAsia="ar-SA"/>
        </w:rPr>
        <w:t>por concepto de</w:t>
      </w:r>
      <w:r w:rsidRPr="003A21B9">
        <w:rPr>
          <w:rFonts w:eastAsia="+mn-ea"/>
          <w:color w:val="000000"/>
          <w:szCs w:val="24"/>
          <w:lang w:eastAsia="ar-SA"/>
        </w:rPr>
        <w:t xml:space="preserve"> licencias </w:t>
      </w:r>
      <w:r>
        <w:rPr>
          <w:rFonts w:eastAsia="+mn-ea"/>
          <w:color w:val="000000"/>
          <w:szCs w:val="24"/>
          <w:lang w:eastAsia="ar-SA"/>
        </w:rPr>
        <w:t xml:space="preserve">(1%) </w:t>
      </w:r>
      <w:r w:rsidRPr="003A21B9">
        <w:rPr>
          <w:rFonts w:eastAsia="+mn-ea"/>
          <w:color w:val="000000"/>
          <w:szCs w:val="24"/>
          <w:lang w:eastAsia="ar-SA"/>
        </w:rPr>
        <w:t>y otr</w:t>
      </w:r>
      <w:r>
        <w:rPr>
          <w:rFonts w:eastAsia="+mn-ea"/>
          <w:color w:val="000000"/>
          <w:szCs w:val="24"/>
          <w:lang w:eastAsia="ar-SA"/>
        </w:rPr>
        <w:t>os ingresos (6%)</w:t>
      </w:r>
      <w:r w:rsidRPr="003A21B9">
        <w:rPr>
          <w:rFonts w:eastAsia="+mn-ea"/>
          <w:color w:val="000000"/>
          <w:szCs w:val="24"/>
          <w:lang w:eastAsia="ar-SA"/>
        </w:rPr>
        <w:t>.</w:t>
      </w:r>
      <w:r>
        <w:rPr>
          <w:rFonts w:eastAsia="+mn-ea"/>
          <w:color w:val="000000"/>
          <w:szCs w:val="24"/>
          <w:lang w:eastAsia="ar-SA"/>
        </w:rPr>
        <w:t xml:space="preserve"> </w:t>
      </w:r>
      <w:r w:rsidRPr="003A21B9">
        <w:rPr>
          <w:rFonts w:eastAsia="+mn-ea"/>
          <w:color w:val="000000"/>
          <w:szCs w:val="24"/>
          <w:lang w:eastAsia="ar-SA"/>
        </w:rPr>
        <w:t>Existe una discrepancia notable con respecto a las otras contribuciones</w:t>
      </w:r>
      <w:r>
        <w:rPr>
          <w:rFonts w:eastAsia="+mn-ea"/>
          <w:color w:val="000000"/>
          <w:szCs w:val="24"/>
          <w:lang w:eastAsia="ar-SA"/>
        </w:rPr>
        <w:t>,</w:t>
      </w:r>
      <w:r w:rsidRPr="003A21B9">
        <w:rPr>
          <w:rFonts w:eastAsia="+mn-ea"/>
          <w:color w:val="000000"/>
          <w:szCs w:val="24"/>
          <w:lang w:eastAsia="ar-SA"/>
        </w:rPr>
        <w:t xml:space="preserve"> ya que en Puerto Rico representan el 10% de los ingreso</w:t>
      </w:r>
      <w:r>
        <w:rPr>
          <w:rFonts w:eastAsia="+mn-ea"/>
          <w:color w:val="000000"/>
          <w:szCs w:val="24"/>
          <w:lang w:eastAsia="ar-SA"/>
        </w:rPr>
        <w:t>s fiscales en comparación con so</w:t>
      </w:r>
      <w:r w:rsidRPr="003A21B9">
        <w:rPr>
          <w:rFonts w:eastAsia="+mn-ea"/>
          <w:color w:val="000000"/>
          <w:szCs w:val="24"/>
          <w:lang w:eastAsia="ar-SA"/>
        </w:rPr>
        <w:t>lo el 2% para los estados.</w:t>
      </w:r>
      <w:r>
        <w:rPr>
          <w:rFonts w:eastAsia="+mn-ea"/>
          <w:color w:val="000000"/>
          <w:szCs w:val="24"/>
          <w:lang w:eastAsia="ar-SA"/>
        </w:rPr>
        <w:t xml:space="preserve"> Los</w:t>
      </w:r>
      <w:r w:rsidRPr="003A21B9">
        <w:rPr>
          <w:rFonts w:eastAsia="+mn-ea"/>
          <w:color w:val="000000"/>
          <w:szCs w:val="24"/>
          <w:lang w:eastAsia="ar-SA"/>
        </w:rPr>
        <w:t xml:space="preserve"> impuesto</w:t>
      </w:r>
      <w:r>
        <w:rPr>
          <w:rFonts w:eastAsia="+mn-ea"/>
          <w:color w:val="000000"/>
          <w:szCs w:val="24"/>
          <w:lang w:eastAsia="ar-SA"/>
        </w:rPr>
        <w:t>s sobre e</w:t>
      </w:r>
      <w:r w:rsidRPr="003A21B9">
        <w:rPr>
          <w:rFonts w:eastAsia="+mn-ea"/>
          <w:color w:val="000000"/>
          <w:szCs w:val="24"/>
          <w:lang w:eastAsia="ar-SA"/>
        </w:rPr>
        <w:t>l consumo representa</w:t>
      </w:r>
      <w:r>
        <w:rPr>
          <w:rFonts w:eastAsia="+mn-ea"/>
          <w:color w:val="000000"/>
          <w:szCs w:val="24"/>
          <w:lang w:eastAsia="ar-SA"/>
        </w:rPr>
        <w:t>n</w:t>
      </w:r>
      <w:r w:rsidRPr="003A21B9">
        <w:rPr>
          <w:rFonts w:eastAsia="+mn-ea"/>
          <w:color w:val="000000"/>
          <w:szCs w:val="24"/>
          <w:lang w:eastAsia="ar-SA"/>
        </w:rPr>
        <w:t xml:space="preserve"> un </w:t>
      </w:r>
      <w:r>
        <w:rPr>
          <w:rFonts w:eastAsia="+mn-ea"/>
          <w:color w:val="000000"/>
          <w:szCs w:val="24"/>
          <w:lang w:eastAsia="ar-SA"/>
        </w:rPr>
        <w:t>porcentaje</w:t>
      </w:r>
      <w:r w:rsidRPr="003A21B9">
        <w:rPr>
          <w:rFonts w:eastAsia="+mn-ea"/>
          <w:color w:val="000000"/>
          <w:szCs w:val="24"/>
          <w:lang w:eastAsia="ar-SA"/>
        </w:rPr>
        <w:t xml:space="preserve"> mayor de los ingresos fiscales en </w:t>
      </w:r>
      <w:r>
        <w:rPr>
          <w:rFonts w:eastAsia="+mn-ea"/>
          <w:color w:val="000000"/>
          <w:szCs w:val="24"/>
          <w:lang w:eastAsia="ar-SA"/>
        </w:rPr>
        <w:t>los estados de Estados Unidos</w:t>
      </w:r>
      <w:r w:rsidRPr="003A21B9">
        <w:rPr>
          <w:rFonts w:eastAsia="+mn-ea"/>
          <w:color w:val="000000"/>
          <w:szCs w:val="24"/>
          <w:lang w:eastAsia="ar-SA"/>
        </w:rPr>
        <w:t xml:space="preserve"> (22%) </w:t>
      </w:r>
      <w:r>
        <w:rPr>
          <w:rFonts w:eastAsia="+mn-ea"/>
          <w:color w:val="000000"/>
          <w:szCs w:val="24"/>
          <w:lang w:eastAsia="ar-SA"/>
        </w:rPr>
        <w:t xml:space="preserve">que </w:t>
      </w:r>
      <w:r w:rsidRPr="003A21B9">
        <w:rPr>
          <w:rFonts w:eastAsia="+mn-ea"/>
          <w:color w:val="000000"/>
          <w:szCs w:val="24"/>
          <w:lang w:eastAsia="ar-SA"/>
        </w:rPr>
        <w:t>en Puerto Rico</w:t>
      </w:r>
      <w:r>
        <w:rPr>
          <w:rFonts w:eastAsia="+mn-ea"/>
          <w:color w:val="000000"/>
          <w:szCs w:val="24"/>
          <w:lang w:eastAsia="ar-SA"/>
        </w:rPr>
        <w:t xml:space="preserve"> (</w:t>
      </w:r>
      <w:r w:rsidRPr="003A21B9">
        <w:rPr>
          <w:rFonts w:eastAsia="+mn-ea"/>
          <w:color w:val="000000"/>
          <w:szCs w:val="24"/>
          <w:lang w:eastAsia="ar-SA"/>
        </w:rPr>
        <w:t>17%</w:t>
      </w:r>
      <w:r>
        <w:rPr>
          <w:rFonts w:eastAsia="+mn-ea"/>
          <w:color w:val="000000"/>
          <w:szCs w:val="24"/>
          <w:lang w:eastAsia="ar-SA"/>
        </w:rPr>
        <w:t>)</w:t>
      </w:r>
      <w:r w:rsidRPr="003A21B9">
        <w:rPr>
          <w:rFonts w:eastAsia="+mn-ea"/>
          <w:color w:val="000000"/>
          <w:szCs w:val="24"/>
          <w:lang w:eastAsia="ar-SA"/>
        </w:rPr>
        <w:t>.</w:t>
      </w:r>
    </w:p>
    <w:p w:rsidR="005A5E7D" w:rsidRPr="003B4030" w:rsidRDefault="005A5E7D" w:rsidP="005A5E7D">
      <w:pPr>
        <w:suppressAutoHyphens/>
        <w:ind w:firstLine="706"/>
        <w:rPr>
          <w:rFonts w:eastAsia="SimSun" w:cs="Calibri"/>
          <w:kern w:val="1"/>
          <w:lang w:eastAsia="ar-SA"/>
        </w:rPr>
      </w:pPr>
      <w:r w:rsidRPr="003A21B9">
        <w:rPr>
          <w:lang w:eastAsia="ar-SA"/>
        </w:rPr>
        <w:tab/>
        <w:t>Llama</w:t>
      </w:r>
      <w:r>
        <w:rPr>
          <w:lang w:eastAsia="ar-SA"/>
        </w:rPr>
        <w:t>n</w:t>
      </w:r>
      <w:r w:rsidRPr="003A21B9">
        <w:rPr>
          <w:lang w:eastAsia="ar-SA"/>
        </w:rPr>
        <w:t xml:space="preserve"> la atención dos aspectos significativos sobre la estructura fiscal de Puerto Rico en comparación con la de los estados.</w:t>
      </w:r>
      <w:r>
        <w:rPr>
          <w:lang w:eastAsia="ar-SA"/>
        </w:rPr>
        <w:t xml:space="preserve"> </w:t>
      </w:r>
      <w:r w:rsidRPr="003A21B9">
        <w:rPr>
          <w:lang w:eastAsia="ar-SA"/>
        </w:rPr>
        <w:t>S</w:t>
      </w:r>
      <w:r w:rsidRPr="003A21B9">
        <w:rPr>
          <w:rFonts w:eastAsia="SimSun" w:cs="Calibri"/>
          <w:lang w:eastAsia="ar-SA"/>
        </w:rPr>
        <w:t xml:space="preserve">egún </w:t>
      </w:r>
      <w:r>
        <w:rPr>
          <w:rFonts w:eastAsia="SimSun" w:cs="Calibri"/>
          <w:lang w:eastAsia="ar-SA"/>
        </w:rPr>
        <w:t>la</w:t>
      </w:r>
      <w:r w:rsidRPr="003A21B9">
        <w:rPr>
          <w:rFonts w:eastAsia="SimSun" w:cs="Calibri"/>
          <w:lang w:eastAsia="ar-SA"/>
        </w:rPr>
        <w:t xml:space="preserve"> </w:t>
      </w:r>
      <w:r w:rsidRPr="00242E58">
        <w:rPr>
          <w:rFonts w:eastAsia="SimSun" w:cs="Calibri"/>
          <w:i/>
          <w:noProof/>
          <w:lang w:eastAsia="ar-SA"/>
        </w:rPr>
        <w:t>Government Accountability Office</w:t>
      </w:r>
      <w:r w:rsidRPr="003A21B9">
        <w:rPr>
          <w:rFonts w:eastAsia="SimSun" w:cs="Calibri"/>
          <w:noProof/>
          <w:lang w:eastAsia="ar-SA"/>
        </w:rPr>
        <w:t xml:space="preserve"> (</w:t>
      </w:r>
      <w:r>
        <w:rPr>
          <w:rFonts w:eastAsia="SimSun" w:cs="Calibri"/>
          <w:noProof/>
          <w:lang w:eastAsia="ar-SA"/>
        </w:rPr>
        <w:t xml:space="preserve">GAO, </w:t>
      </w:r>
      <w:r w:rsidRPr="003A21B9">
        <w:rPr>
          <w:rFonts w:eastAsia="SimSun" w:cs="Calibri"/>
          <w:noProof/>
          <w:lang w:eastAsia="ar-SA"/>
        </w:rPr>
        <w:t xml:space="preserve">2006), </w:t>
      </w:r>
      <w:r w:rsidRPr="003A21B9">
        <w:rPr>
          <w:rFonts w:eastAsia="SimSun" w:cs="Calibri"/>
          <w:lang w:eastAsia="ar-SA"/>
        </w:rPr>
        <w:t xml:space="preserve">la diferencia mayor entre Puerto Rico y los estados, en términos de transferencias per cápita, se da a nivel de las transferencias a individuos y no con respecto a las transferencias al </w:t>
      </w:r>
      <w:r>
        <w:rPr>
          <w:rFonts w:eastAsia="SimSun" w:cs="Calibri"/>
          <w:lang w:eastAsia="ar-SA"/>
        </w:rPr>
        <w:t>Gobierno</w:t>
      </w:r>
      <w:r w:rsidRPr="003A21B9">
        <w:rPr>
          <w:rFonts w:eastAsia="SimSun" w:cs="Calibri"/>
          <w:lang w:eastAsia="ar-SA"/>
        </w:rPr>
        <w:t>.</w:t>
      </w:r>
      <w:r>
        <w:rPr>
          <w:rFonts w:eastAsia="SimSun" w:cs="Calibri"/>
          <w:lang w:eastAsia="ar-SA"/>
        </w:rPr>
        <w:t xml:space="preserve"> Acorde con el análisis de la</w:t>
      </w:r>
      <w:r w:rsidRPr="003A21B9">
        <w:rPr>
          <w:rFonts w:eastAsia="SimSun" w:cs="Calibri"/>
          <w:lang w:eastAsia="ar-SA"/>
        </w:rPr>
        <w:t xml:space="preserve"> GAO, </w:t>
      </w:r>
      <w:r w:rsidRPr="003A21B9">
        <w:rPr>
          <w:lang w:eastAsia="ar-SA"/>
        </w:rPr>
        <w:t>la</w:t>
      </w:r>
      <w:r>
        <w:rPr>
          <w:lang w:eastAsia="ar-SA"/>
        </w:rPr>
        <w:t>s</w:t>
      </w:r>
      <w:r w:rsidRPr="003A21B9">
        <w:rPr>
          <w:lang w:eastAsia="ar-SA"/>
        </w:rPr>
        <w:t xml:space="preserve"> </w:t>
      </w:r>
      <w:r w:rsidRPr="003A21B9">
        <w:rPr>
          <w:b/>
          <w:lang w:eastAsia="ar-SA"/>
        </w:rPr>
        <w:t>Gráfica</w:t>
      </w:r>
      <w:r>
        <w:rPr>
          <w:b/>
          <w:lang w:eastAsia="ar-SA"/>
        </w:rPr>
        <w:t>s 1</w:t>
      </w:r>
      <w:r w:rsidRPr="00D675C2">
        <w:rPr>
          <w:lang w:eastAsia="ar-SA"/>
        </w:rPr>
        <w:t xml:space="preserve"> y</w:t>
      </w:r>
      <w:r w:rsidRPr="003A21B9">
        <w:rPr>
          <w:b/>
          <w:lang w:eastAsia="ar-SA"/>
        </w:rPr>
        <w:t xml:space="preserve"> 2</w:t>
      </w:r>
      <w:r w:rsidRPr="003A21B9">
        <w:rPr>
          <w:lang w:eastAsia="ar-SA"/>
        </w:rPr>
        <w:t xml:space="preserve"> </w:t>
      </w:r>
      <w:r>
        <w:rPr>
          <w:lang w:eastAsia="ar-SA"/>
        </w:rPr>
        <w:t xml:space="preserve">reflejan </w:t>
      </w:r>
      <w:r w:rsidRPr="003A21B9">
        <w:rPr>
          <w:lang w:eastAsia="ar-SA"/>
        </w:rPr>
        <w:t xml:space="preserve">que las aportaciones federales al </w:t>
      </w:r>
      <w:r>
        <w:rPr>
          <w:lang w:eastAsia="ar-SA"/>
        </w:rPr>
        <w:t>Gobierno</w:t>
      </w:r>
      <w:r w:rsidRPr="003A21B9">
        <w:rPr>
          <w:lang w:eastAsia="ar-SA"/>
        </w:rPr>
        <w:t xml:space="preserve"> de Puerto Rico r</w:t>
      </w:r>
      <w:r>
        <w:rPr>
          <w:lang w:eastAsia="ar-SA"/>
        </w:rPr>
        <w:t>epresentan exactamente la misma proporción</w:t>
      </w:r>
      <w:r w:rsidRPr="003A21B9">
        <w:rPr>
          <w:lang w:eastAsia="ar-SA"/>
        </w:rPr>
        <w:t xml:space="preserve"> que </w:t>
      </w:r>
      <w:r>
        <w:rPr>
          <w:lang w:eastAsia="ar-SA"/>
        </w:rPr>
        <w:t>a</w:t>
      </w:r>
      <w:r w:rsidRPr="003A21B9">
        <w:rPr>
          <w:lang w:eastAsia="ar-SA"/>
        </w:rPr>
        <w:t xml:space="preserve"> los estados</w:t>
      </w:r>
      <w:r>
        <w:rPr>
          <w:lang w:eastAsia="ar-SA"/>
        </w:rPr>
        <w:t xml:space="preserve">, un </w:t>
      </w:r>
      <w:r w:rsidRPr="003A21B9">
        <w:rPr>
          <w:lang w:eastAsia="ar-SA"/>
        </w:rPr>
        <w:t>36%.</w:t>
      </w:r>
      <w:r>
        <w:rPr>
          <w:lang w:eastAsia="ar-SA"/>
        </w:rPr>
        <w:t xml:space="preserve"> Los fondos federales son, por mucho, la categoría de ingresos con la mayor proporción. </w:t>
      </w:r>
      <w:r w:rsidRPr="003A21B9">
        <w:rPr>
          <w:lang w:eastAsia="ar-SA"/>
        </w:rPr>
        <w:t xml:space="preserve">A su vez, la participación relativa de la contribución sobre el ingreso de los individuos también es similar, con </w:t>
      </w:r>
      <w:r>
        <w:rPr>
          <w:lang w:eastAsia="ar-SA"/>
        </w:rPr>
        <w:t xml:space="preserve">un </w:t>
      </w:r>
      <w:r w:rsidRPr="003A21B9">
        <w:rPr>
          <w:lang w:eastAsia="ar-SA"/>
        </w:rPr>
        <w:t xml:space="preserve">16% en los estados </w:t>
      </w:r>
      <w:r>
        <w:rPr>
          <w:lang w:eastAsia="ar-SA"/>
        </w:rPr>
        <w:t xml:space="preserve">y un </w:t>
      </w:r>
      <w:r w:rsidRPr="003A21B9">
        <w:rPr>
          <w:lang w:eastAsia="ar-SA"/>
        </w:rPr>
        <w:t>17% en Puerto Rico.</w:t>
      </w:r>
    </w:p>
    <w:p w:rsidR="005A5E7D" w:rsidRPr="00D32F91" w:rsidRDefault="005A5E7D" w:rsidP="00D32F91">
      <w:pPr>
        <w:pStyle w:val="Heading3"/>
      </w:pPr>
      <w:bookmarkStart w:id="53" w:name="_Toc384769748"/>
      <w:r w:rsidRPr="00D32F91">
        <w:t>B.1</w:t>
      </w:r>
      <w:r w:rsidRPr="00D32F91">
        <w:tab/>
        <w:t>Aportaciones federales</w:t>
      </w:r>
      <w:bookmarkEnd w:id="53"/>
    </w:p>
    <w:p w:rsidR="005A5E7D" w:rsidRDefault="005A5E7D" w:rsidP="005A5E7D">
      <w:pPr>
        <w:spacing w:line="240" w:lineRule="auto"/>
        <w:rPr>
          <w:lang w:eastAsia="ar-SA"/>
        </w:rPr>
      </w:pPr>
    </w:p>
    <w:p w:rsidR="005A5E7D" w:rsidRPr="003A21B9" w:rsidRDefault="005A5E7D" w:rsidP="005A5E7D">
      <w:pPr>
        <w:rPr>
          <w:lang w:eastAsia="ar-SA"/>
        </w:rPr>
      </w:pPr>
      <w:r w:rsidRPr="003A21B9">
        <w:rPr>
          <w:lang w:eastAsia="ar-SA"/>
        </w:rPr>
        <w:t xml:space="preserve">Los diez programas de subvenciones federales más importantes para los gobiernos estatales, en orden descendente, son los siguientes </w:t>
      </w:r>
      <w:r w:rsidRPr="003A21B9">
        <w:rPr>
          <w:noProof/>
          <w:lang w:eastAsia="ar-SA"/>
        </w:rPr>
        <w:t>(AFT Public Employees, 2009)</w:t>
      </w:r>
      <w:r w:rsidRPr="003A21B9">
        <w:rPr>
          <w:lang w:eastAsia="ar-SA"/>
        </w:rPr>
        <w:t>:</w:t>
      </w:r>
      <w:r w:rsidRPr="003A21B9">
        <w:rPr>
          <w:vertAlign w:val="superscript"/>
          <w:lang w:eastAsia="ar-SA"/>
        </w:rPr>
        <w:footnoteReference w:id="23"/>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sidRPr="003A21B9">
        <w:rPr>
          <w:rFonts w:eastAsia="SimSun" w:cs="Calibri"/>
          <w:kern w:val="1"/>
          <w:lang w:eastAsia="ar-SA"/>
        </w:rPr>
        <w:t>Pago a Proveedores de Medicaid</w:t>
      </w:r>
      <w:r>
        <w:rPr>
          <w:rFonts w:eastAsia="SimSun" w:cs="Calibri"/>
          <w:kern w:val="1"/>
          <w:lang w:eastAsia="ar-SA"/>
        </w:rPr>
        <w:t>,</w:t>
      </w:r>
    </w:p>
    <w:p w:rsidR="005A5E7D" w:rsidRPr="003A21B9" w:rsidRDefault="005A5E7D" w:rsidP="005A5E7D">
      <w:pPr>
        <w:numPr>
          <w:ilvl w:val="0"/>
          <w:numId w:val="7"/>
        </w:numPr>
        <w:suppressAutoHyphens/>
        <w:spacing w:line="240" w:lineRule="auto"/>
        <w:ind w:left="993" w:hanging="284"/>
        <w:rPr>
          <w:rFonts w:eastAsia="SimSun" w:cs="Calibri"/>
          <w:i/>
          <w:kern w:val="1"/>
          <w:lang w:eastAsia="ar-SA"/>
        </w:rPr>
      </w:pPr>
      <w:r w:rsidRPr="003A21B9">
        <w:rPr>
          <w:rFonts w:eastAsia="SimSun" w:cs="Calibri"/>
          <w:kern w:val="1"/>
          <w:lang w:eastAsia="ar-SA"/>
        </w:rPr>
        <w:t xml:space="preserve">Obligaciones para Carreteras </w:t>
      </w:r>
      <w:r w:rsidRPr="003E3715">
        <w:rPr>
          <w:rFonts w:eastAsia="SimSun" w:cs="Calibri"/>
          <w:kern w:val="1"/>
          <w:lang w:eastAsia="ar-SA"/>
        </w:rPr>
        <w:t>(</w:t>
      </w:r>
      <w:r>
        <w:rPr>
          <w:rFonts w:eastAsia="SimSun" w:cs="Calibri"/>
          <w:i/>
          <w:kern w:val="1"/>
          <w:lang w:eastAsia="ar-SA"/>
        </w:rPr>
        <w:t>Federal Aid Highway Program</w:t>
      </w:r>
      <w:r w:rsidRPr="003E3715">
        <w:rPr>
          <w:rFonts w:eastAsia="SimSun" w:cs="Calibri"/>
          <w:kern w:val="1"/>
          <w:lang w:eastAsia="ar-SA"/>
        </w:rPr>
        <w:t>)</w:t>
      </w:r>
      <w:r>
        <w:rPr>
          <w:rFonts w:eastAsia="SimSun" w:cs="Calibri"/>
          <w:kern w:val="1"/>
          <w:lang w:eastAsia="ar-SA"/>
        </w:rPr>
        <w:t>,</w:t>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sidRPr="003A21B9">
        <w:rPr>
          <w:rFonts w:eastAsia="SimSun" w:cs="Calibri"/>
          <w:kern w:val="1"/>
          <w:lang w:eastAsia="ar-SA"/>
        </w:rPr>
        <w:t>TANF (Asistencia Temporera a Familias Necesitadas)</w:t>
      </w:r>
      <w:r>
        <w:rPr>
          <w:rFonts w:eastAsia="SimSun" w:cs="Calibri"/>
          <w:kern w:val="1"/>
          <w:lang w:eastAsia="ar-SA"/>
        </w:rPr>
        <w:t>,</w:t>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sidRPr="003A21B9">
        <w:rPr>
          <w:rFonts w:eastAsia="SimSun" w:cs="Calibri"/>
          <w:kern w:val="1"/>
          <w:lang w:eastAsia="ar-SA"/>
        </w:rPr>
        <w:t>Vivienda</w:t>
      </w:r>
      <w:r>
        <w:rPr>
          <w:rFonts w:eastAsia="SimSun" w:cs="Calibri"/>
          <w:kern w:val="1"/>
          <w:lang w:eastAsia="ar-SA"/>
        </w:rPr>
        <w:t>,</w:t>
      </w:r>
      <w:r w:rsidRPr="003A21B9">
        <w:rPr>
          <w:rFonts w:eastAsia="SimSun" w:cs="Calibri"/>
          <w:kern w:val="1"/>
          <w:lang w:eastAsia="ar-SA"/>
        </w:rPr>
        <w:t xml:space="preserve"> Sección 8</w:t>
      </w:r>
      <w:r>
        <w:rPr>
          <w:rFonts w:eastAsia="SimSun" w:cs="Calibri"/>
          <w:kern w:val="1"/>
          <w:lang w:eastAsia="ar-SA"/>
        </w:rPr>
        <w:t>,</w:t>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Pr>
          <w:rFonts w:eastAsia="SimSun" w:cs="Calibri"/>
          <w:kern w:val="1"/>
          <w:lang w:eastAsia="ar-SA"/>
        </w:rPr>
        <w:t>Becas Pell,</w:t>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Pr>
          <w:rFonts w:eastAsia="SimSun" w:cs="Calibri"/>
          <w:kern w:val="1"/>
          <w:lang w:eastAsia="ar-SA"/>
        </w:rPr>
        <w:t>Nutrición Infantil,</w:t>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Pr>
          <w:rFonts w:eastAsia="SimSun" w:cs="Calibri"/>
          <w:kern w:val="1"/>
          <w:lang w:eastAsia="ar-SA"/>
        </w:rPr>
        <w:t>Educación,</w:t>
      </w:r>
      <w:r w:rsidRPr="003A21B9">
        <w:rPr>
          <w:rFonts w:eastAsia="SimSun" w:cs="Calibri"/>
          <w:kern w:val="1"/>
          <w:lang w:eastAsia="ar-SA"/>
        </w:rPr>
        <w:t xml:space="preserve"> Título I</w:t>
      </w:r>
      <w:r>
        <w:rPr>
          <w:rFonts w:eastAsia="SimSun" w:cs="Calibri"/>
          <w:kern w:val="1"/>
          <w:lang w:eastAsia="ar-SA"/>
        </w:rPr>
        <w:t>,</w:t>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sidRPr="003A21B9">
        <w:rPr>
          <w:rFonts w:eastAsia="SimSun" w:cs="Calibri"/>
          <w:kern w:val="1"/>
          <w:lang w:eastAsia="ar-SA"/>
        </w:rPr>
        <w:t>Educación Especial</w:t>
      </w:r>
      <w:r>
        <w:rPr>
          <w:rFonts w:eastAsia="SimSun" w:cs="Calibri"/>
          <w:kern w:val="1"/>
          <w:lang w:eastAsia="ar-SA"/>
        </w:rPr>
        <w:t>,</w:t>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sidRPr="003A21B9">
        <w:rPr>
          <w:rFonts w:eastAsia="SimSun" w:cs="Calibri"/>
          <w:kern w:val="1"/>
          <w:lang w:eastAsia="ar-SA"/>
        </w:rPr>
        <w:t>Administración de Medicaid</w:t>
      </w:r>
      <w:r>
        <w:rPr>
          <w:rFonts w:eastAsia="SimSun" w:cs="Calibri"/>
          <w:kern w:val="1"/>
          <w:lang w:eastAsia="ar-SA"/>
        </w:rPr>
        <w:t xml:space="preserve"> y</w:t>
      </w:r>
    </w:p>
    <w:p w:rsidR="005A5E7D" w:rsidRPr="003A21B9" w:rsidRDefault="005A5E7D" w:rsidP="005A5E7D">
      <w:pPr>
        <w:numPr>
          <w:ilvl w:val="0"/>
          <w:numId w:val="7"/>
        </w:numPr>
        <w:suppressAutoHyphens/>
        <w:spacing w:line="240" w:lineRule="auto"/>
        <w:ind w:left="993" w:hanging="284"/>
        <w:rPr>
          <w:rFonts w:eastAsia="SimSun" w:cs="Calibri"/>
          <w:kern w:val="1"/>
          <w:lang w:eastAsia="ar-SA"/>
        </w:rPr>
      </w:pPr>
      <w:r w:rsidRPr="003A21B9">
        <w:rPr>
          <w:rFonts w:eastAsia="SimSun" w:cs="Calibri"/>
          <w:kern w:val="1"/>
          <w:lang w:eastAsia="ar-SA"/>
        </w:rPr>
        <w:t>Fondos para Transporte Masivo</w:t>
      </w:r>
      <w:r>
        <w:rPr>
          <w:rFonts w:eastAsia="SimSun" w:cs="Calibri"/>
          <w:kern w:val="1"/>
          <w:lang w:eastAsia="ar-SA"/>
        </w:rPr>
        <w:t>.</w:t>
      </w:r>
    </w:p>
    <w:p w:rsidR="005A5E7D" w:rsidRPr="003A21B9" w:rsidRDefault="005A5E7D" w:rsidP="005A5E7D">
      <w:pPr>
        <w:suppressAutoHyphens/>
        <w:spacing w:line="240" w:lineRule="auto"/>
        <w:ind w:left="706" w:firstLine="0"/>
        <w:rPr>
          <w:rFonts w:eastAsia="SimSun" w:cs="Calibri"/>
          <w:kern w:val="1"/>
          <w:lang w:eastAsia="ar-SA"/>
        </w:rPr>
      </w:pPr>
    </w:p>
    <w:p w:rsidR="005A5E7D" w:rsidRPr="003A21B9" w:rsidRDefault="005A5E7D" w:rsidP="005A5E7D">
      <w:pPr>
        <w:ind w:firstLine="0"/>
        <w:rPr>
          <w:lang w:eastAsia="ar-SA"/>
        </w:rPr>
      </w:pPr>
      <w:r w:rsidRPr="003A21B9">
        <w:rPr>
          <w:lang w:eastAsia="ar-SA"/>
        </w:rPr>
        <w:t xml:space="preserve">Estos diez programas </w:t>
      </w:r>
      <w:r>
        <w:rPr>
          <w:lang w:eastAsia="ar-SA"/>
        </w:rPr>
        <w:t>representaro</w:t>
      </w:r>
      <w:r w:rsidRPr="003A21B9">
        <w:rPr>
          <w:lang w:eastAsia="ar-SA"/>
        </w:rPr>
        <w:t>n el 76.3% de las aportaciones federales recibidas por los estados en el 2008.</w:t>
      </w:r>
      <w:r>
        <w:rPr>
          <w:lang w:eastAsia="ar-SA"/>
        </w:rPr>
        <w:t xml:space="preserve"> </w:t>
      </w:r>
      <w:r w:rsidRPr="003A21B9">
        <w:rPr>
          <w:lang w:eastAsia="ar-SA"/>
        </w:rPr>
        <w:t xml:space="preserve">Puerto Rico recibe un trato similar a los estados en </w:t>
      </w:r>
      <w:r>
        <w:rPr>
          <w:lang w:eastAsia="ar-SA"/>
        </w:rPr>
        <w:t>siete</w:t>
      </w:r>
      <w:r w:rsidRPr="003A21B9">
        <w:rPr>
          <w:lang w:eastAsia="ar-SA"/>
        </w:rPr>
        <w:t xml:space="preserve"> de dichos programas.</w:t>
      </w:r>
      <w:r>
        <w:rPr>
          <w:lang w:eastAsia="ar-SA"/>
        </w:rPr>
        <w:t xml:space="preserve"> </w:t>
      </w:r>
      <w:r w:rsidRPr="003A21B9">
        <w:rPr>
          <w:lang w:eastAsia="ar-SA"/>
        </w:rPr>
        <w:t>Las excepciones son las</w:t>
      </w:r>
      <w:r>
        <w:rPr>
          <w:lang w:eastAsia="ar-SA"/>
        </w:rPr>
        <w:t xml:space="preserve"> </w:t>
      </w:r>
      <w:r w:rsidRPr="003A21B9">
        <w:rPr>
          <w:lang w:eastAsia="ar-SA"/>
        </w:rPr>
        <w:t>aportaciones relacionadas a la administración y al pago de proveedores de Medicaid</w:t>
      </w:r>
      <w:r>
        <w:rPr>
          <w:lang w:eastAsia="ar-SA"/>
        </w:rPr>
        <w:t>,</w:t>
      </w:r>
      <w:r w:rsidRPr="003A21B9">
        <w:rPr>
          <w:lang w:eastAsia="ar-SA"/>
        </w:rPr>
        <w:t xml:space="preserve"> así como las aportaciones del </w:t>
      </w:r>
      <w:r w:rsidRPr="008C11B7">
        <w:rPr>
          <w:i/>
          <w:lang w:eastAsia="ar-SA"/>
        </w:rPr>
        <w:t>Federal Aid Highway Program</w:t>
      </w:r>
      <w:r w:rsidRPr="003A21B9">
        <w:rPr>
          <w:lang w:eastAsia="ar-SA"/>
        </w:rPr>
        <w:t>.</w:t>
      </w:r>
    </w:p>
    <w:p w:rsidR="005A5E7D" w:rsidRPr="003A21B9" w:rsidRDefault="005A5E7D" w:rsidP="005A5E7D">
      <w:pPr>
        <w:rPr>
          <w:szCs w:val="24"/>
          <w:lang w:eastAsia="ar-SA"/>
        </w:rPr>
      </w:pPr>
      <w:r w:rsidRPr="003A21B9">
        <w:rPr>
          <w:lang w:eastAsia="ar-SA"/>
        </w:rPr>
        <w:t xml:space="preserve">La </w:t>
      </w:r>
      <w:r w:rsidRPr="003A21B9">
        <w:rPr>
          <w:b/>
          <w:lang w:eastAsia="ar-SA"/>
        </w:rPr>
        <w:t>Gráfica 3</w:t>
      </w:r>
      <w:r>
        <w:rPr>
          <w:lang w:eastAsia="ar-SA"/>
        </w:rPr>
        <w:t xml:space="preserve"> </w:t>
      </w:r>
      <w:r w:rsidRPr="003A21B9">
        <w:rPr>
          <w:lang w:eastAsia="ar-SA"/>
        </w:rPr>
        <w:t xml:space="preserve">contrasta el </w:t>
      </w:r>
      <w:r>
        <w:rPr>
          <w:lang w:eastAsia="ar-SA"/>
        </w:rPr>
        <w:t>porcentaje</w:t>
      </w:r>
      <w:r w:rsidRPr="003A21B9">
        <w:rPr>
          <w:lang w:eastAsia="ar-SA"/>
        </w:rPr>
        <w:t xml:space="preserve"> de los ingresos fiscales estatales que provienen de tran</w:t>
      </w:r>
      <w:r>
        <w:rPr>
          <w:lang w:eastAsia="ar-SA"/>
        </w:rPr>
        <w:t>sferencias intergubernamentales</w:t>
      </w:r>
      <w:r w:rsidRPr="003A21B9">
        <w:rPr>
          <w:vertAlign w:val="superscript"/>
          <w:lang w:eastAsia="ar-SA"/>
        </w:rPr>
        <w:footnoteReference w:id="24"/>
      </w:r>
      <w:r>
        <w:rPr>
          <w:lang w:eastAsia="ar-SA"/>
        </w:rPr>
        <w:t>, utiliz</w:t>
      </w:r>
      <w:r w:rsidRPr="003A21B9">
        <w:rPr>
          <w:lang w:eastAsia="ar-SA"/>
        </w:rPr>
        <w:t xml:space="preserve">ando el promedio para los 50 estados, con el </w:t>
      </w:r>
      <w:r>
        <w:rPr>
          <w:lang w:eastAsia="ar-SA"/>
        </w:rPr>
        <w:t>porcentaje</w:t>
      </w:r>
      <w:r w:rsidRPr="003A21B9">
        <w:rPr>
          <w:lang w:eastAsia="ar-SA"/>
        </w:rPr>
        <w:t xml:space="preserve"> de los ingresos fiscales del </w:t>
      </w:r>
      <w:r>
        <w:rPr>
          <w:szCs w:val="24"/>
          <w:lang w:eastAsia="ar-SA"/>
        </w:rPr>
        <w:t>Gobierno</w:t>
      </w:r>
      <w:r w:rsidRPr="003A21B9">
        <w:rPr>
          <w:szCs w:val="24"/>
          <w:lang w:eastAsia="ar-SA"/>
        </w:rPr>
        <w:t xml:space="preserve"> de Puerto Rico, procedente de </w:t>
      </w:r>
      <w:r>
        <w:rPr>
          <w:szCs w:val="24"/>
          <w:lang w:eastAsia="ar-SA"/>
        </w:rPr>
        <w:t xml:space="preserve">las </w:t>
      </w:r>
      <w:r w:rsidRPr="003A21B9">
        <w:rPr>
          <w:szCs w:val="24"/>
          <w:lang w:eastAsia="ar-SA"/>
        </w:rPr>
        <w:t>aportaciones federales</w:t>
      </w:r>
      <w:r>
        <w:rPr>
          <w:szCs w:val="24"/>
          <w:lang w:eastAsia="ar-SA"/>
        </w:rPr>
        <w:t xml:space="preserve"> </w:t>
      </w:r>
      <w:r w:rsidRPr="003A21B9">
        <w:rPr>
          <w:szCs w:val="24"/>
          <w:lang w:eastAsia="ar-SA"/>
        </w:rPr>
        <w:t>para el período del 1992 a 2011.</w:t>
      </w:r>
      <w:r>
        <w:rPr>
          <w:szCs w:val="24"/>
          <w:lang w:eastAsia="ar-SA"/>
        </w:rPr>
        <w:t xml:space="preserve"> </w:t>
      </w:r>
    </w:p>
    <w:p w:rsidR="00A9525B" w:rsidRDefault="00A9525B" w:rsidP="00A9525B">
      <w:pPr>
        <w:rPr>
          <w:lang w:eastAsia="ar-SA"/>
        </w:rPr>
      </w:pPr>
      <w:r w:rsidRPr="003A21B9">
        <w:rPr>
          <w:lang w:eastAsia="ar-SA"/>
        </w:rPr>
        <w:t xml:space="preserve">En promedio, el </w:t>
      </w:r>
      <w:r>
        <w:rPr>
          <w:lang w:eastAsia="ar-SA"/>
        </w:rPr>
        <w:t>porcentaje</w:t>
      </w:r>
      <w:r w:rsidRPr="003A21B9">
        <w:rPr>
          <w:lang w:eastAsia="ar-SA"/>
        </w:rPr>
        <w:t xml:space="preserve"> de ingresos de los estados que provienen de transferencias federales </w:t>
      </w:r>
      <w:r>
        <w:rPr>
          <w:lang w:eastAsia="ar-SA"/>
        </w:rPr>
        <w:t xml:space="preserve">se </w:t>
      </w:r>
      <w:r w:rsidRPr="003A21B9">
        <w:rPr>
          <w:lang w:eastAsia="ar-SA"/>
        </w:rPr>
        <w:t>increment</w:t>
      </w:r>
      <w:r>
        <w:rPr>
          <w:lang w:eastAsia="ar-SA"/>
        </w:rPr>
        <w:t>ó</w:t>
      </w:r>
      <w:r w:rsidRPr="003A21B9">
        <w:rPr>
          <w:lang w:eastAsia="ar-SA"/>
        </w:rPr>
        <w:t xml:space="preserve"> de 27.7%</w:t>
      </w:r>
      <w:r>
        <w:rPr>
          <w:lang w:eastAsia="ar-SA"/>
        </w:rPr>
        <w:t xml:space="preserve"> en el 1992 a 35.9% en el 2011, </w:t>
      </w:r>
      <w:r w:rsidRPr="003A21B9">
        <w:rPr>
          <w:lang w:eastAsia="ar-SA"/>
        </w:rPr>
        <w:t xml:space="preserve">equivalente a un 30% de aumento </w:t>
      </w:r>
      <w:r>
        <w:rPr>
          <w:lang w:eastAsia="ar-SA"/>
        </w:rPr>
        <w:t>durante el período</w:t>
      </w:r>
      <w:r w:rsidRPr="003A21B9">
        <w:rPr>
          <w:lang w:eastAsia="ar-SA"/>
        </w:rPr>
        <w:t>.</w:t>
      </w:r>
      <w:r>
        <w:rPr>
          <w:lang w:eastAsia="ar-SA"/>
        </w:rPr>
        <w:t xml:space="preserve"> </w:t>
      </w:r>
      <w:r w:rsidRPr="003A21B9">
        <w:rPr>
          <w:lang w:eastAsia="ar-SA"/>
        </w:rPr>
        <w:t>Se distingue el aumento significativo en el 2009</w:t>
      </w:r>
      <w:r>
        <w:rPr>
          <w:lang w:eastAsia="ar-SA"/>
        </w:rPr>
        <w:t>,</w:t>
      </w:r>
      <w:r w:rsidRPr="003A21B9">
        <w:rPr>
          <w:lang w:eastAsia="ar-SA"/>
        </w:rPr>
        <w:t xml:space="preserve"> debido a</w:t>
      </w:r>
      <w:r>
        <w:rPr>
          <w:lang w:eastAsia="ar-SA"/>
        </w:rPr>
        <w:t xml:space="preserve"> los fondos de la Ley de Recuperación e Inversión Estadounidense</w:t>
      </w:r>
      <w:r w:rsidRPr="003A21B9">
        <w:rPr>
          <w:lang w:eastAsia="ar-SA"/>
        </w:rPr>
        <w:t xml:space="preserve"> </w:t>
      </w:r>
      <w:r w:rsidRPr="00E82F0B">
        <w:rPr>
          <w:lang w:eastAsia="ar-SA"/>
        </w:rPr>
        <w:t>(</w:t>
      </w:r>
      <w:r w:rsidRPr="003A21B9">
        <w:rPr>
          <w:i/>
          <w:lang w:eastAsia="ar-SA"/>
        </w:rPr>
        <w:t>America</w:t>
      </w:r>
      <w:r>
        <w:rPr>
          <w:i/>
          <w:lang w:eastAsia="ar-SA"/>
        </w:rPr>
        <w:t>n Recovery and Reinvestment Act</w:t>
      </w:r>
      <w:r w:rsidRPr="00E82F0B">
        <w:rPr>
          <w:lang w:eastAsia="ar-SA"/>
        </w:rPr>
        <w:t>, ARRA)</w:t>
      </w:r>
      <w:r w:rsidRPr="003A21B9">
        <w:rPr>
          <w:lang w:eastAsia="ar-SA"/>
        </w:rPr>
        <w:t>.</w:t>
      </w:r>
      <w:r>
        <w:rPr>
          <w:lang w:eastAsia="ar-SA"/>
        </w:rPr>
        <w:t xml:space="preserve"> </w:t>
      </w:r>
      <w:r w:rsidRPr="003A21B9">
        <w:rPr>
          <w:lang w:eastAsia="ar-SA"/>
        </w:rPr>
        <w:t>Los fondos ARRA incluían una partida</w:t>
      </w:r>
      <w:r>
        <w:rPr>
          <w:lang w:eastAsia="ar-SA"/>
        </w:rPr>
        <w:t xml:space="preserve"> de $48,</w:t>
      </w:r>
      <w:r w:rsidRPr="003A21B9">
        <w:rPr>
          <w:lang w:eastAsia="ar-SA"/>
        </w:rPr>
        <w:t>6</w:t>
      </w:r>
      <w:r>
        <w:rPr>
          <w:lang w:eastAsia="ar-SA"/>
        </w:rPr>
        <w:t>00 m</w:t>
      </w:r>
      <w:r w:rsidRPr="003A21B9">
        <w:rPr>
          <w:lang w:eastAsia="ar-SA"/>
        </w:rPr>
        <w:t>illones para un Fondo de Estabilización Fiscal dirigido a evitar que los estados tuvieran que reducir sus presupuestos</w:t>
      </w:r>
      <w:r>
        <w:rPr>
          <w:lang w:eastAsia="ar-SA"/>
        </w:rPr>
        <w:t>,</w:t>
      </w:r>
      <w:r w:rsidRPr="003A21B9">
        <w:rPr>
          <w:lang w:eastAsia="ar-SA"/>
        </w:rPr>
        <w:t xml:space="preserve"> ante la disminución en recaudos evidenciada a principios del período recesionario en E</w:t>
      </w:r>
      <w:r>
        <w:rPr>
          <w:lang w:eastAsia="ar-SA"/>
        </w:rPr>
        <w:t>stados Unidos</w:t>
      </w:r>
      <w:r w:rsidRPr="003A21B9">
        <w:rPr>
          <w:lang w:eastAsia="ar-SA"/>
        </w:rPr>
        <w:t xml:space="preserve"> </w:t>
      </w:r>
      <w:r w:rsidRPr="003A21B9">
        <w:rPr>
          <w:noProof/>
          <w:lang w:eastAsia="ar-SA"/>
        </w:rPr>
        <w:t>(AFT Public Employees, 2009)</w:t>
      </w:r>
      <w:r w:rsidRPr="003A21B9">
        <w:rPr>
          <w:lang w:eastAsia="ar-SA"/>
        </w:rPr>
        <w:t>.</w:t>
      </w:r>
    </w:p>
    <w:p w:rsidR="005A5E7D" w:rsidRPr="003A21B9" w:rsidRDefault="005A5E7D" w:rsidP="005A5E7D">
      <w:pPr>
        <w:suppressAutoHyphens/>
        <w:ind w:firstLine="706"/>
        <w:rPr>
          <w:rFonts w:eastAsia="SimSun"/>
          <w:kern w:val="1"/>
          <w:szCs w:val="24"/>
          <w:lang w:eastAsia="ar-SA"/>
        </w:rPr>
      </w:pPr>
    </w:p>
    <w:p w:rsidR="005A5E7D" w:rsidRPr="003A21B9" w:rsidRDefault="0095547C" w:rsidP="005A5E7D">
      <w:pPr>
        <w:suppressAutoHyphens/>
        <w:ind w:firstLine="706"/>
        <w:jc w:val="center"/>
        <w:rPr>
          <w:rFonts w:eastAsia="SimSun"/>
          <w:kern w:val="1"/>
          <w:szCs w:val="24"/>
          <w:lang w:eastAsia="ar-SA"/>
        </w:rPr>
      </w:pPr>
      <w:r>
        <w:rPr>
          <w:rFonts w:eastAsia="SimSun" w:cs="Calibri"/>
          <w:noProof/>
          <w:kern w:val="1"/>
          <w:lang w:val="en-US"/>
        </w:rPr>
        <w:drawing>
          <wp:inline distT="0" distB="0" distL="0" distR="0">
            <wp:extent cx="4609465" cy="3749675"/>
            <wp:effectExtent l="0" t="0" r="19685" b="22225"/>
            <wp:docPr id="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A5E7D" w:rsidRDefault="005A5E7D" w:rsidP="005A5E7D">
      <w:pPr>
        <w:spacing w:line="240" w:lineRule="auto"/>
        <w:rPr>
          <w:lang w:eastAsia="ar-SA"/>
        </w:rPr>
      </w:pPr>
    </w:p>
    <w:p w:rsidR="005A5E7D" w:rsidRDefault="005A5E7D" w:rsidP="005A5E7D">
      <w:pPr>
        <w:rPr>
          <w:lang w:eastAsia="ar-SA"/>
        </w:rPr>
      </w:pPr>
      <w:r w:rsidRPr="003A21B9">
        <w:rPr>
          <w:lang w:eastAsia="ar-SA"/>
        </w:rPr>
        <w:t>El estado con mayor dependencia de apo</w:t>
      </w:r>
      <w:r>
        <w:rPr>
          <w:lang w:eastAsia="ar-SA"/>
        </w:rPr>
        <w:t xml:space="preserve">rtaciones federales en el 2011 </w:t>
      </w:r>
      <w:r w:rsidRPr="003A21B9">
        <w:rPr>
          <w:lang w:eastAsia="ar-SA"/>
        </w:rPr>
        <w:t xml:space="preserve">fue </w:t>
      </w:r>
      <w:r>
        <w:rPr>
          <w:lang w:eastAsia="ar-SA"/>
        </w:rPr>
        <w:t xml:space="preserve">Misisipi, con un </w:t>
      </w:r>
      <w:r w:rsidRPr="003A21B9">
        <w:rPr>
          <w:lang w:eastAsia="ar-SA"/>
        </w:rPr>
        <w:t>49.5%.</w:t>
      </w:r>
      <w:r>
        <w:rPr>
          <w:lang w:eastAsia="ar-SA"/>
        </w:rPr>
        <w:t xml:space="preserve"> </w:t>
      </w:r>
      <w:r w:rsidRPr="003A21B9">
        <w:rPr>
          <w:lang w:eastAsia="ar-SA"/>
        </w:rPr>
        <w:t xml:space="preserve">En Puerto Rico, el aumento sustancial en la participación de los fondos federales de los ingresos fiscales se evidenció en el 2010 y 2011, </w:t>
      </w:r>
      <w:r>
        <w:rPr>
          <w:lang w:eastAsia="ar-SA"/>
        </w:rPr>
        <w:t xml:space="preserve">cuando </w:t>
      </w:r>
      <w:r w:rsidRPr="003A21B9">
        <w:rPr>
          <w:lang w:eastAsia="ar-SA"/>
        </w:rPr>
        <w:t>alcanz</w:t>
      </w:r>
      <w:r>
        <w:rPr>
          <w:lang w:eastAsia="ar-SA"/>
        </w:rPr>
        <w:t>ó un</w:t>
      </w:r>
      <w:r w:rsidRPr="003A21B9">
        <w:rPr>
          <w:lang w:eastAsia="ar-SA"/>
        </w:rPr>
        <w:t xml:space="preserve"> 35.5%.</w:t>
      </w:r>
      <w:r>
        <w:rPr>
          <w:lang w:eastAsia="ar-SA"/>
        </w:rPr>
        <w:t xml:space="preserve"> </w:t>
      </w:r>
      <w:r w:rsidRPr="003A21B9">
        <w:rPr>
          <w:lang w:eastAsia="ar-SA"/>
        </w:rPr>
        <w:t xml:space="preserve">Resalta el hecho de que la dependencia del </w:t>
      </w:r>
      <w:r>
        <w:rPr>
          <w:lang w:eastAsia="ar-SA"/>
        </w:rPr>
        <w:t>Gobierno</w:t>
      </w:r>
      <w:r w:rsidRPr="003A21B9">
        <w:rPr>
          <w:lang w:eastAsia="ar-SA"/>
        </w:rPr>
        <w:t xml:space="preserve"> de Puerto Rico de ap</w:t>
      </w:r>
      <w:r>
        <w:rPr>
          <w:lang w:eastAsia="ar-SA"/>
        </w:rPr>
        <w:t>ortaciones federales en el 2011</w:t>
      </w:r>
      <w:r w:rsidRPr="003A21B9">
        <w:rPr>
          <w:lang w:eastAsia="ar-SA"/>
        </w:rPr>
        <w:t xml:space="preserve"> </w:t>
      </w:r>
      <w:r>
        <w:rPr>
          <w:lang w:eastAsia="ar-SA"/>
        </w:rPr>
        <w:t>fue</w:t>
      </w:r>
      <w:r w:rsidRPr="003A21B9">
        <w:rPr>
          <w:lang w:eastAsia="ar-SA"/>
        </w:rPr>
        <w:t xml:space="preserve"> muy similar a la de los estados</w:t>
      </w:r>
      <w:r>
        <w:rPr>
          <w:lang w:eastAsia="ar-SA"/>
        </w:rPr>
        <w:t xml:space="preserve"> (35.9%),</w:t>
      </w:r>
      <w:r w:rsidRPr="003A21B9">
        <w:rPr>
          <w:lang w:eastAsia="ar-SA"/>
        </w:rPr>
        <w:t xml:space="preserve"> pero más baja que la de </w:t>
      </w:r>
      <w:r>
        <w:rPr>
          <w:lang w:eastAsia="ar-SA"/>
        </w:rPr>
        <w:t>Misisipi (</w:t>
      </w:r>
      <w:r w:rsidRPr="003A21B9">
        <w:rPr>
          <w:lang w:eastAsia="ar-SA"/>
        </w:rPr>
        <w:t>49.5%</w:t>
      </w:r>
      <w:r>
        <w:rPr>
          <w:lang w:eastAsia="ar-SA"/>
        </w:rPr>
        <w:t>), el estado más pobre</w:t>
      </w:r>
      <w:r w:rsidRPr="003A21B9">
        <w:rPr>
          <w:lang w:eastAsia="ar-SA"/>
        </w:rPr>
        <w:t>.</w:t>
      </w:r>
    </w:p>
    <w:p w:rsidR="005A5E7D" w:rsidRPr="003A21B9" w:rsidRDefault="005A5E7D" w:rsidP="005A5E7D">
      <w:pPr>
        <w:rPr>
          <w:lang w:eastAsia="ar-SA"/>
        </w:rPr>
      </w:pPr>
      <w:r w:rsidRPr="003A21B9">
        <w:rPr>
          <w:lang w:eastAsia="ar-SA"/>
        </w:rPr>
        <w:t>Puerto Rico ocup</w:t>
      </w:r>
      <w:r>
        <w:rPr>
          <w:lang w:eastAsia="ar-SA"/>
        </w:rPr>
        <w:t>ó en 2011</w:t>
      </w:r>
      <w:r w:rsidRPr="003A21B9">
        <w:rPr>
          <w:lang w:eastAsia="ar-SA"/>
        </w:rPr>
        <w:t xml:space="preserve"> el lugar número 29 en términos de la dependencia de aportaciones federales.</w:t>
      </w:r>
      <w:r>
        <w:rPr>
          <w:lang w:eastAsia="ar-SA"/>
        </w:rPr>
        <w:t xml:space="preserve"> L</w:t>
      </w:r>
      <w:r w:rsidRPr="003A21B9">
        <w:rPr>
          <w:lang w:eastAsia="ar-SA"/>
        </w:rPr>
        <w:t xml:space="preserve">a participación relativa de las aportaciones federales en </w:t>
      </w:r>
      <w:r>
        <w:rPr>
          <w:lang w:eastAsia="ar-SA"/>
        </w:rPr>
        <w:t>la Isla</w:t>
      </w:r>
      <w:r w:rsidRPr="003A21B9">
        <w:rPr>
          <w:lang w:eastAsia="ar-SA"/>
        </w:rPr>
        <w:t xml:space="preserve"> </w:t>
      </w:r>
      <w:r>
        <w:rPr>
          <w:lang w:eastAsia="ar-SA"/>
        </w:rPr>
        <w:t>fue</w:t>
      </w:r>
      <w:r w:rsidRPr="003A21B9">
        <w:rPr>
          <w:lang w:eastAsia="ar-SA"/>
        </w:rPr>
        <w:t xml:space="preserve"> s</w:t>
      </w:r>
      <w:r>
        <w:rPr>
          <w:lang w:eastAsia="ar-SA"/>
        </w:rPr>
        <w:t>o</w:t>
      </w:r>
      <w:r w:rsidRPr="003A21B9">
        <w:rPr>
          <w:lang w:eastAsia="ar-SA"/>
        </w:rPr>
        <w:t xml:space="preserve">lo </w:t>
      </w:r>
      <w:r>
        <w:rPr>
          <w:lang w:eastAsia="ar-SA"/>
        </w:rPr>
        <w:t xml:space="preserve">un </w:t>
      </w:r>
      <w:r w:rsidRPr="003A21B9">
        <w:rPr>
          <w:lang w:eastAsia="ar-SA"/>
        </w:rPr>
        <w:t>24%</w:t>
      </w:r>
      <w:r>
        <w:rPr>
          <w:lang w:eastAsia="ar-SA"/>
        </w:rPr>
        <w:t xml:space="preserve"> en </w:t>
      </w:r>
      <w:r w:rsidRPr="003A21B9">
        <w:rPr>
          <w:lang w:eastAsia="ar-SA"/>
        </w:rPr>
        <w:t>1992</w:t>
      </w:r>
      <w:r>
        <w:rPr>
          <w:lang w:eastAsia="ar-SA"/>
        </w:rPr>
        <w:t xml:space="preserve"> y aumentó al </w:t>
      </w:r>
      <w:r w:rsidRPr="003A21B9">
        <w:rPr>
          <w:lang w:eastAsia="ar-SA"/>
        </w:rPr>
        <w:t>35.5%</w:t>
      </w:r>
      <w:r>
        <w:rPr>
          <w:lang w:eastAsia="ar-SA"/>
        </w:rPr>
        <w:t xml:space="preserve"> en 2011;</w:t>
      </w:r>
      <w:r w:rsidRPr="003A21B9">
        <w:rPr>
          <w:lang w:eastAsia="ar-SA"/>
        </w:rPr>
        <w:t xml:space="preserve"> creció </w:t>
      </w:r>
      <w:r>
        <w:rPr>
          <w:lang w:eastAsia="ar-SA"/>
        </w:rPr>
        <w:t>un 48% en un período de veinte años,</w:t>
      </w:r>
      <w:r w:rsidRPr="003A21B9">
        <w:rPr>
          <w:lang w:eastAsia="ar-SA"/>
        </w:rPr>
        <w:t xml:space="preserve"> un 60% más que para los estados.</w:t>
      </w:r>
    </w:p>
    <w:p w:rsidR="005A5E7D" w:rsidRPr="003A21B9" w:rsidRDefault="005A5E7D" w:rsidP="005A5E7D">
      <w:pPr>
        <w:rPr>
          <w:lang w:eastAsia="ar-SA"/>
        </w:rPr>
      </w:pPr>
      <w:r w:rsidRPr="003A21B9">
        <w:rPr>
          <w:rFonts w:cs="Calibri"/>
          <w:lang w:eastAsia="ar-SA"/>
        </w:rPr>
        <w:t xml:space="preserve">En el 2011, las aportaciones federales al </w:t>
      </w:r>
      <w:r>
        <w:rPr>
          <w:rFonts w:cs="Calibri"/>
          <w:lang w:eastAsia="ar-SA"/>
        </w:rPr>
        <w:t>Gobierno</w:t>
      </w:r>
      <w:r w:rsidRPr="003A21B9">
        <w:rPr>
          <w:rFonts w:cs="Calibri"/>
          <w:lang w:eastAsia="ar-SA"/>
        </w:rPr>
        <w:t xml:space="preserve"> de Puerto Rico en términos per cápita fueron </w:t>
      </w:r>
      <w:r>
        <w:rPr>
          <w:rFonts w:cs="Calibri"/>
          <w:lang w:eastAsia="ar-SA"/>
        </w:rPr>
        <w:t xml:space="preserve">$1,222, mientras </w:t>
      </w:r>
      <w:r w:rsidRPr="003A21B9">
        <w:rPr>
          <w:rFonts w:cs="Calibri"/>
          <w:lang w:eastAsia="ar-SA"/>
        </w:rPr>
        <w:t>para los 50 estados fue $2,098</w:t>
      </w:r>
      <w:r>
        <w:rPr>
          <w:rFonts w:cs="Calibri"/>
          <w:lang w:eastAsia="ar-SA"/>
        </w:rPr>
        <w:t>,</w:t>
      </w:r>
      <w:r w:rsidRPr="003A21B9">
        <w:rPr>
          <w:rFonts w:cs="Calibri"/>
          <w:lang w:eastAsia="ar-SA"/>
        </w:rPr>
        <w:t xml:space="preserve"> con una desviación estándar de $636, lo que sitúa a Puerto Rico 1.4 desviaciones estándar por debajo del promedio. El estado con la cantidad más alta de transferencias intergubernamentales per cápita </w:t>
      </w:r>
      <w:r>
        <w:rPr>
          <w:rFonts w:cs="Calibri"/>
          <w:lang w:eastAsia="ar-SA"/>
        </w:rPr>
        <w:t>fue</w:t>
      </w:r>
      <w:r w:rsidRPr="003A21B9">
        <w:rPr>
          <w:rFonts w:cs="Calibri"/>
          <w:lang w:eastAsia="ar-SA"/>
        </w:rPr>
        <w:t xml:space="preserve"> Wyoming con $4,231; siendo </w:t>
      </w:r>
      <w:r>
        <w:rPr>
          <w:rFonts w:cs="Calibri"/>
          <w:lang w:eastAsia="ar-SA"/>
        </w:rPr>
        <w:t>el</w:t>
      </w:r>
      <w:r w:rsidRPr="003A21B9">
        <w:rPr>
          <w:rFonts w:cs="Calibri"/>
          <w:lang w:eastAsia="ar-SA"/>
        </w:rPr>
        <w:t xml:space="preserve"> estado </w:t>
      </w:r>
      <w:r>
        <w:rPr>
          <w:rFonts w:cs="Calibri"/>
          <w:lang w:eastAsia="ar-SA"/>
        </w:rPr>
        <w:t>con</w:t>
      </w:r>
      <w:r w:rsidRPr="003A21B9">
        <w:rPr>
          <w:rFonts w:cs="Calibri"/>
          <w:lang w:eastAsia="ar-SA"/>
        </w:rPr>
        <w:t xml:space="preserve"> menor población y el segundo menor en densidad poblacional en </w:t>
      </w:r>
      <w:r>
        <w:rPr>
          <w:rFonts w:cs="Calibri"/>
          <w:lang w:eastAsia="ar-SA"/>
        </w:rPr>
        <w:t>ese país</w:t>
      </w:r>
      <w:r w:rsidRPr="003A21B9">
        <w:rPr>
          <w:rFonts w:cs="Calibri"/>
          <w:lang w:eastAsia="ar-SA"/>
        </w:rPr>
        <w:t>.</w:t>
      </w:r>
      <w:r>
        <w:rPr>
          <w:rFonts w:cs="Calibri"/>
          <w:lang w:eastAsia="ar-SA"/>
        </w:rPr>
        <w:t xml:space="preserve"> </w:t>
      </w:r>
      <w:r w:rsidRPr="003A21B9">
        <w:rPr>
          <w:rFonts w:cs="Calibri"/>
          <w:lang w:eastAsia="ar-SA"/>
        </w:rPr>
        <w:t xml:space="preserve">Mientras </w:t>
      </w:r>
      <w:r>
        <w:rPr>
          <w:rFonts w:cs="Calibri"/>
          <w:lang w:eastAsia="ar-SA"/>
        </w:rPr>
        <w:t>que Misisipi</w:t>
      </w:r>
      <w:r w:rsidRPr="003A21B9">
        <w:rPr>
          <w:rFonts w:cs="Calibri"/>
          <w:lang w:eastAsia="ar-SA"/>
        </w:rPr>
        <w:t>, el estado con el ingreso personal per cápita más bajo, recibió $2,931.</w:t>
      </w:r>
      <w:r>
        <w:rPr>
          <w:rFonts w:cs="Calibri"/>
          <w:lang w:eastAsia="ar-SA"/>
        </w:rPr>
        <w:t xml:space="preserve"> </w:t>
      </w:r>
    </w:p>
    <w:p w:rsidR="005A5E7D" w:rsidRPr="003A21B9" w:rsidRDefault="005A5E7D" w:rsidP="005A5E7D">
      <w:pPr>
        <w:rPr>
          <w:rFonts w:cs="Calibri"/>
          <w:lang w:eastAsia="ar-SA"/>
        </w:rPr>
      </w:pPr>
      <w:r w:rsidRPr="003A21B9">
        <w:rPr>
          <w:rFonts w:cs="Calibri"/>
          <w:lang w:eastAsia="ar-SA"/>
        </w:rPr>
        <w:t>A base de la experiencia actual de los estados</w:t>
      </w:r>
      <w:r>
        <w:rPr>
          <w:rFonts w:cs="Calibri"/>
          <w:lang w:eastAsia="ar-SA"/>
        </w:rPr>
        <w:t>,</w:t>
      </w:r>
      <w:r w:rsidRPr="003A21B9">
        <w:rPr>
          <w:rFonts w:cs="Calibri"/>
          <w:lang w:eastAsia="ar-SA"/>
        </w:rPr>
        <w:t xml:space="preserve"> es de </w:t>
      </w:r>
      <w:r>
        <w:rPr>
          <w:rFonts w:cs="Calibri"/>
          <w:lang w:eastAsia="ar-SA"/>
        </w:rPr>
        <w:t xml:space="preserve">esperarse que </w:t>
      </w:r>
      <w:r w:rsidRPr="003A21B9">
        <w:rPr>
          <w:rFonts w:cs="Calibri"/>
          <w:lang w:eastAsia="ar-SA"/>
        </w:rPr>
        <w:t xml:space="preserve">la cantidad de transferencias federales asignadas al </w:t>
      </w:r>
      <w:r>
        <w:rPr>
          <w:rFonts w:cs="Calibri"/>
          <w:lang w:eastAsia="ar-SA"/>
        </w:rPr>
        <w:t>Gobierno</w:t>
      </w:r>
      <w:r w:rsidRPr="003A21B9">
        <w:rPr>
          <w:rFonts w:cs="Calibri"/>
          <w:lang w:eastAsia="ar-SA"/>
        </w:rPr>
        <w:t xml:space="preserve"> de Puerto Rico aument</w:t>
      </w:r>
      <w:r>
        <w:rPr>
          <w:rFonts w:cs="Calibri"/>
          <w:lang w:eastAsia="ar-SA"/>
        </w:rPr>
        <w:t>e bajo la estadidad,</w:t>
      </w:r>
      <w:r w:rsidRPr="003A21B9">
        <w:rPr>
          <w:rFonts w:cs="Calibri"/>
          <w:lang w:eastAsia="ar-SA"/>
        </w:rPr>
        <w:t xml:space="preserve"> suponiendo un trato simila</w:t>
      </w:r>
      <w:r>
        <w:rPr>
          <w:rFonts w:cs="Calibri"/>
          <w:lang w:eastAsia="ar-SA"/>
        </w:rPr>
        <w:t>r al que se le da a los estados</w:t>
      </w:r>
      <w:r w:rsidRPr="003A21B9">
        <w:rPr>
          <w:rFonts w:cs="Calibri"/>
          <w:lang w:eastAsia="ar-SA"/>
        </w:rPr>
        <w:t>.</w:t>
      </w:r>
      <w:r>
        <w:rPr>
          <w:rFonts w:cs="Calibri"/>
          <w:lang w:eastAsia="ar-SA"/>
        </w:rPr>
        <w:t xml:space="preserve"> Esto ocasionaría que</w:t>
      </w:r>
      <w:r w:rsidRPr="003A21B9">
        <w:rPr>
          <w:rFonts w:cs="Calibri"/>
          <w:lang w:eastAsia="ar-SA"/>
        </w:rPr>
        <w:t xml:space="preserve"> </w:t>
      </w:r>
      <w:r w:rsidRPr="008B456C">
        <w:t>—</w:t>
      </w:r>
      <w:r w:rsidRPr="003A21B9">
        <w:rPr>
          <w:rFonts w:cs="Calibri"/>
          <w:lang w:eastAsia="ar-SA"/>
        </w:rPr>
        <w:t xml:space="preserve">bajo la misma </w:t>
      </w:r>
      <w:r>
        <w:rPr>
          <w:rFonts w:cs="Calibri"/>
          <w:lang w:eastAsia="ar-SA"/>
        </w:rPr>
        <w:t>estructura contributiva</w:t>
      </w:r>
      <w:r w:rsidRPr="008B456C">
        <w:t>—</w:t>
      </w:r>
      <w:r w:rsidRPr="003A21B9">
        <w:rPr>
          <w:rFonts w:cs="Calibri"/>
          <w:lang w:eastAsia="ar-SA"/>
        </w:rPr>
        <w:t xml:space="preserve"> porcentualmente los ingresos fiscales de Puerto Rico dependieran aún más de dichas transferencias.</w:t>
      </w:r>
      <w:r>
        <w:rPr>
          <w:rFonts w:cs="Calibri"/>
          <w:lang w:eastAsia="ar-SA"/>
        </w:rPr>
        <w:t xml:space="preserve"> </w:t>
      </w:r>
    </w:p>
    <w:p w:rsidR="005A5E7D" w:rsidRPr="003A21B9" w:rsidRDefault="005A5E7D" w:rsidP="005A5E7D">
      <w:pPr>
        <w:rPr>
          <w:rFonts w:cs="Calibri"/>
          <w:lang w:eastAsia="ar-SA"/>
        </w:rPr>
      </w:pPr>
      <w:r>
        <w:rPr>
          <w:rFonts w:cs="Calibri"/>
          <w:lang w:eastAsia="ar-SA"/>
        </w:rPr>
        <w:t>De mantenerse o</w:t>
      </w:r>
      <w:r w:rsidRPr="003A21B9">
        <w:rPr>
          <w:rFonts w:cs="Calibri"/>
          <w:lang w:eastAsia="ar-SA"/>
        </w:rPr>
        <w:t xml:space="preserve">tras cosas constantes, si Puerto Rico recibiera las mismas transferencias federales al gobierno per cápita que </w:t>
      </w:r>
      <w:r>
        <w:rPr>
          <w:rFonts w:cs="Calibri"/>
          <w:lang w:eastAsia="ar-SA"/>
        </w:rPr>
        <w:t>Misisipi</w:t>
      </w:r>
      <w:r w:rsidRPr="003A21B9">
        <w:rPr>
          <w:rFonts w:cs="Calibri"/>
          <w:lang w:eastAsia="ar-SA"/>
        </w:rPr>
        <w:t xml:space="preserve">, la proporción de los ingresos fiscales del </w:t>
      </w:r>
      <w:r>
        <w:rPr>
          <w:rFonts w:cs="Calibri"/>
          <w:lang w:eastAsia="ar-SA"/>
        </w:rPr>
        <w:t>Gobierno</w:t>
      </w:r>
      <w:r w:rsidRPr="003A21B9">
        <w:rPr>
          <w:rFonts w:cs="Calibri"/>
          <w:lang w:eastAsia="ar-SA"/>
        </w:rPr>
        <w:t xml:space="preserve"> de Puerto Rico procedentes de aportaciones federales aumentaría a</w:t>
      </w:r>
      <w:r>
        <w:rPr>
          <w:rFonts w:cs="Calibri"/>
          <w:lang w:eastAsia="ar-SA"/>
        </w:rPr>
        <w:t>l 58%,</w:t>
      </w:r>
      <w:r w:rsidRPr="003A21B9">
        <w:rPr>
          <w:rFonts w:cs="Calibri"/>
          <w:lang w:eastAsia="ar-SA"/>
        </w:rPr>
        <w:t xml:space="preserve"> en comparación con el 49.5% </w:t>
      </w:r>
      <w:r>
        <w:rPr>
          <w:rFonts w:cs="Calibri"/>
          <w:lang w:eastAsia="ar-SA"/>
        </w:rPr>
        <w:t>de</w:t>
      </w:r>
      <w:r w:rsidRPr="003A21B9">
        <w:rPr>
          <w:rFonts w:cs="Calibri"/>
          <w:lang w:eastAsia="ar-SA"/>
        </w:rPr>
        <w:t xml:space="preserve"> </w:t>
      </w:r>
      <w:r>
        <w:rPr>
          <w:rFonts w:cs="Calibri"/>
          <w:lang w:eastAsia="ar-SA"/>
        </w:rPr>
        <w:t>Misisipi</w:t>
      </w:r>
      <w:r w:rsidRPr="003A21B9">
        <w:rPr>
          <w:rFonts w:cs="Calibri"/>
          <w:lang w:eastAsia="ar-SA"/>
        </w:rPr>
        <w:t>.</w:t>
      </w:r>
      <w:r>
        <w:rPr>
          <w:rFonts w:cs="Calibri"/>
          <w:lang w:eastAsia="ar-SA"/>
        </w:rPr>
        <w:t xml:space="preserve"> </w:t>
      </w:r>
      <w:r w:rsidRPr="003A21B9">
        <w:rPr>
          <w:rFonts w:cs="Calibri"/>
          <w:lang w:eastAsia="ar-SA"/>
        </w:rPr>
        <w:t xml:space="preserve">Este </w:t>
      </w:r>
      <w:r>
        <w:rPr>
          <w:rFonts w:cs="Calibri"/>
          <w:lang w:eastAsia="ar-SA"/>
        </w:rPr>
        <w:t>porcentaje</w:t>
      </w:r>
      <w:r w:rsidRPr="003A21B9">
        <w:rPr>
          <w:rFonts w:cs="Calibri"/>
          <w:lang w:eastAsia="ar-SA"/>
        </w:rPr>
        <w:t xml:space="preserve"> p</w:t>
      </w:r>
      <w:r>
        <w:rPr>
          <w:rFonts w:cs="Calibri"/>
          <w:lang w:eastAsia="ar-SA"/>
        </w:rPr>
        <w:t>odría</w:t>
      </w:r>
      <w:r w:rsidRPr="003A21B9">
        <w:rPr>
          <w:rFonts w:cs="Calibri"/>
          <w:lang w:eastAsia="ar-SA"/>
        </w:rPr>
        <w:t xml:space="preserve"> aumentar significativamente si tomamos en consideración que al insertarse en el sistema impositivo federal, el </w:t>
      </w:r>
      <w:r>
        <w:rPr>
          <w:rFonts w:cs="Calibri"/>
          <w:lang w:eastAsia="ar-SA"/>
        </w:rPr>
        <w:t>Gobierno</w:t>
      </w:r>
      <w:r w:rsidRPr="003A21B9">
        <w:rPr>
          <w:rFonts w:cs="Calibri"/>
          <w:lang w:eastAsia="ar-SA"/>
        </w:rPr>
        <w:t xml:space="preserve"> de la Isla probablemente se vea obligado a reducir la carga tributaria estatal que impondría a sus residentes.</w:t>
      </w:r>
      <w:r>
        <w:rPr>
          <w:rFonts w:cs="Calibri"/>
          <w:lang w:eastAsia="ar-SA"/>
        </w:rPr>
        <w:t xml:space="preserve"> </w:t>
      </w:r>
    </w:p>
    <w:p w:rsidR="005A5E7D" w:rsidRPr="003A21B9" w:rsidRDefault="005A5E7D" w:rsidP="005A5E7D">
      <w:pPr>
        <w:rPr>
          <w:rFonts w:eastAsia="+mn-ea" w:cs="Calibri"/>
          <w:color w:val="000000"/>
          <w:lang w:eastAsia="ar-SA"/>
        </w:rPr>
      </w:pPr>
      <w:r w:rsidRPr="003A21B9">
        <w:rPr>
          <w:rFonts w:eastAsia="+mn-ea" w:cs="Calibri"/>
          <w:color w:val="000000"/>
          <w:lang w:eastAsia="ar-SA"/>
        </w:rPr>
        <w:t xml:space="preserve">Si el </w:t>
      </w:r>
      <w:r>
        <w:rPr>
          <w:rFonts w:eastAsia="+mn-ea" w:cs="Calibri"/>
          <w:color w:val="000000"/>
          <w:lang w:eastAsia="ar-SA"/>
        </w:rPr>
        <w:t>Gobierno</w:t>
      </w:r>
      <w:r w:rsidRPr="003A21B9">
        <w:rPr>
          <w:rFonts w:eastAsia="+mn-ea" w:cs="Calibri"/>
          <w:color w:val="000000"/>
          <w:lang w:eastAsia="ar-SA"/>
        </w:rPr>
        <w:t xml:space="preserve"> de Puerto Rico hubiese recibido la misma cantidad de transferencias per cápita que recibieron en promedio los estados en el 2011, las transferencias federales al gobierno hubiesen aumentado de $4,482 millones a $7,750 millones.</w:t>
      </w:r>
      <w:r w:rsidRPr="003A21B9">
        <w:rPr>
          <w:rFonts w:eastAsia="+mn-ea" w:cs="Calibri"/>
          <w:color w:val="000000"/>
          <w:vertAlign w:val="superscript"/>
          <w:lang w:eastAsia="ar-SA"/>
        </w:rPr>
        <w:footnoteReference w:id="25"/>
      </w:r>
      <w:r>
        <w:rPr>
          <w:rFonts w:eastAsia="+mn-ea" w:cs="Calibri"/>
          <w:color w:val="000000"/>
          <w:lang w:eastAsia="ar-SA"/>
        </w:rPr>
        <w:t xml:space="preserve"> </w:t>
      </w:r>
      <w:r w:rsidRPr="003A21B9">
        <w:rPr>
          <w:rFonts w:eastAsia="+mn-ea" w:cs="Calibri"/>
          <w:color w:val="000000"/>
          <w:lang w:eastAsia="ar-SA"/>
        </w:rPr>
        <w:t>La razón más importante para este aumento serían los cambios en las aportaciones al programa Medicaid.</w:t>
      </w:r>
    </w:p>
    <w:p w:rsidR="005A5E7D" w:rsidRDefault="005A5E7D" w:rsidP="005A5E7D">
      <w:pPr>
        <w:tabs>
          <w:tab w:val="left" w:pos="3261"/>
        </w:tabs>
        <w:rPr>
          <w:rFonts w:cs="Calibri"/>
          <w:lang w:eastAsia="ar-SA"/>
        </w:rPr>
      </w:pPr>
      <w:r>
        <w:rPr>
          <w:rFonts w:cs="Calibri"/>
          <w:lang w:eastAsia="ar-SA"/>
        </w:rPr>
        <w:t>L</w:t>
      </w:r>
      <w:r w:rsidRPr="003A21B9">
        <w:rPr>
          <w:rFonts w:cs="Calibri"/>
          <w:lang w:eastAsia="ar-SA"/>
        </w:rPr>
        <w:t xml:space="preserve">a aportación federal </w:t>
      </w:r>
      <w:r>
        <w:rPr>
          <w:rFonts w:cs="Calibri"/>
          <w:lang w:eastAsia="ar-SA"/>
        </w:rPr>
        <w:t xml:space="preserve">de </w:t>
      </w:r>
      <w:r w:rsidRPr="003A21B9">
        <w:rPr>
          <w:rFonts w:cs="Calibri"/>
          <w:lang w:eastAsia="ar-SA"/>
        </w:rPr>
        <w:t xml:space="preserve">Medicaid al </w:t>
      </w:r>
      <w:r>
        <w:rPr>
          <w:rFonts w:cs="Calibri"/>
          <w:lang w:eastAsia="ar-SA"/>
        </w:rPr>
        <w:t>Gobierno</w:t>
      </w:r>
      <w:r w:rsidRPr="003A21B9">
        <w:rPr>
          <w:rFonts w:cs="Calibri"/>
          <w:lang w:eastAsia="ar-SA"/>
        </w:rPr>
        <w:t xml:space="preserve"> de Puerto Rico está sujeta a una tasa de pareo de</w:t>
      </w:r>
      <w:r>
        <w:rPr>
          <w:rFonts w:cs="Calibri"/>
          <w:lang w:eastAsia="ar-SA"/>
        </w:rPr>
        <w:t>l</w:t>
      </w:r>
      <w:r w:rsidRPr="003A21B9">
        <w:rPr>
          <w:rFonts w:cs="Calibri"/>
          <w:lang w:eastAsia="ar-SA"/>
        </w:rPr>
        <w:t xml:space="preserve"> 55% y a un tope estatutario</w:t>
      </w:r>
      <w:r>
        <w:rPr>
          <w:rFonts w:cs="Calibri"/>
          <w:lang w:eastAsia="ar-SA"/>
        </w:rPr>
        <w:t>.</w:t>
      </w:r>
      <w:r w:rsidRPr="003A21B9">
        <w:rPr>
          <w:rFonts w:cs="Calibri"/>
          <w:vertAlign w:val="superscript"/>
          <w:lang w:eastAsia="ar-SA"/>
        </w:rPr>
        <w:footnoteReference w:id="26"/>
      </w:r>
      <w:r>
        <w:rPr>
          <w:rFonts w:cs="Calibri"/>
          <w:lang w:eastAsia="ar-SA"/>
        </w:rPr>
        <w:t xml:space="preserve"> </w:t>
      </w:r>
      <w:r w:rsidRPr="003A21B9">
        <w:rPr>
          <w:rFonts w:cs="Calibri"/>
          <w:lang w:eastAsia="ar-SA"/>
        </w:rPr>
        <w:t xml:space="preserve">Por el contrario, la tasa de aportación del </w:t>
      </w:r>
      <w:r>
        <w:rPr>
          <w:rFonts w:cs="Calibri"/>
          <w:lang w:eastAsia="ar-SA"/>
        </w:rPr>
        <w:t>Gobierno</w:t>
      </w:r>
      <w:r w:rsidRPr="003A21B9">
        <w:rPr>
          <w:rFonts w:cs="Calibri"/>
          <w:lang w:eastAsia="ar-SA"/>
        </w:rPr>
        <w:t xml:space="preserve"> federal (pareo) para los estados se determina por fórmula, la cual toma en consideración el ingreso personal per cápita del estado</w:t>
      </w:r>
      <w:r>
        <w:rPr>
          <w:rFonts w:cs="Calibri"/>
          <w:lang w:eastAsia="ar-SA"/>
        </w:rPr>
        <w:t>,</w:t>
      </w:r>
      <w:r w:rsidRPr="003A21B9">
        <w:rPr>
          <w:rFonts w:cs="Calibri"/>
          <w:lang w:eastAsia="ar-SA"/>
        </w:rPr>
        <w:t xml:space="preserve"> en comparación con el ingreso per cápita para todo Estados Unidos.</w:t>
      </w:r>
      <w:r w:rsidRPr="003A21B9">
        <w:rPr>
          <w:rFonts w:cs="Calibri"/>
          <w:vertAlign w:val="superscript"/>
          <w:lang w:eastAsia="ar-SA"/>
        </w:rPr>
        <w:footnoteReference w:id="27"/>
      </w:r>
      <w:r>
        <w:rPr>
          <w:rFonts w:cs="Calibri"/>
          <w:lang w:eastAsia="ar-SA"/>
        </w:rPr>
        <w:t xml:space="preserve"> La </w:t>
      </w:r>
      <w:r w:rsidRPr="003A21B9">
        <w:rPr>
          <w:rFonts w:cs="Calibri"/>
          <w:lang w:eastAsia="ar-SA"/>
        </w:rPr>
        <w:t>aportación no puede exceder el 83% para ningún estado</w:t>
      </w:r>
      <w:r>
        <w:rPr>
          <w:rFonts w:cs="Calibri"/>
          <w:lang w:eastAsia="ar-SA"/>
        </w:rPr>
        <w:t>,</w:t>
      </w:r>
      <w:r w:rsidRPr="003A21B9">
        <w:rPr>
          <w:rFonts w:cs="Calibri"/>
          <w:lang w:eastAsia="ar-SA"/>
        </w:rPr>
        <w:t xml:space="preserve"> ni ser menor al 50%.</w:t>
      </w:r>
      <w:r>
        <w:rPr>
          <w:rFonts w:cs="Calibri"/>
          <w:lang w:eastAsia="ar-SA"/>
        </w:rPr>
        <w:t xml:space="preserve"> </w:t>
      </w:r>
      <w:r w:rsidRPr="003A21B9">
        <w:rPr>
          <w:rFonts w:cs="Calibri"/>
          <w:lang w:eastAsia="ar-SA"/>
        </w:rPr>
        <w:t>Actualmente</w:t>
      </w:r>
      <w:r>
        <w:rPr>
          <w:rFonts w:cs="Calibri"/>
          <w:lang w:eastAsia="ar-SA"/>
        </w:rPr>
        <w:t>,</w:t>
      </w:r>
      <w:r w:rsidRPr="003A21B9">
        <w:rPr>
          <w:rFonts w:cs="Calibri"/>
          <w:lang w:eastAsia="ar-SA"/>
        </w:rPr>
        <w:t xml:space="preserve"> la tasa de aportación </w:t>
      </w:r>
      <w:r>
        <w:rPr>
          <w:rFonts w:cs="Calibri"/>
          <w:lang w:eastAsia="ar-SA"/>
        </w:rPr>
        <w:t>federal más alta corresponde a Misisipi</w:t>
      </w:r>
      <w:r w:rsidRPr="003A21B9">
        <w:rPr>
          <w:rFonts w:cs="Calibri"/>
          <w:lang w:eastAsia="ar-SA"/>
        </w:rPr>
        <w:t xml:space="preserve"> con </w:t>
      </w:r>
      <w:r>
        <w:rPr>
          <w:rFonts w:cs="Calibri"/>
          <w:lang w:eastAsia="ar-SA"/>
        </w:rPr>
        <w:t xml:space="preserve">un </w:t>
      </w:r>
      <w:r w:rsidRPr="003A21B9">
        <w:rPr>
          <w:rFonts w:cs="Calibri"/>
          <w:lang w:eastAsia="ar-SA"/>
        </w:rPr>
        <w:t>73%</w:t>
      </w:r>
      <w:r w:rsidRPr="003A21B9">
        <w:rPr>
          <w:rFonts w:cs="Calibri"/>
          <w:noProof/>
          <w:lang w:eastAsia="ar-SA"/>
        </w:rPr>
        <w:t xml:space="preserve"> (</w:t>
      </w:r>
      <w:r w:rsidRPr="00D65A6A">
        <w:rPr>
          <w:rFonts w:cs="Calibri"/>
          <w:i/>
          <w:noProof/>
          <w:lang w:eastAsia="ar-SA"/>
        </w:rPr>
        <w:t>Federal Register</w:t>
      </w:r>
      <w:r w:rsidRPr="003A21B9">
        <w:rPr>
          <w:rFonts w:cs="Calibri"/>
          <w:noProof/>
          <w:lang w:eastAsia="ar-SA"/>
        </w:rPr>
        <w:t>, 2011)</w:t>
      </w:r>
      <w:r w:rsidRPr="003A21B9">
        <w:rPr>
          <w:rFonts w:cs="Calibri"/>
          <w:lang w:eastAsia="ar-SA"/>
        </w:rPr>
        <w:t>.</w:t>
      </w:r>
      <w:r>
        <w:rPr>
          <w:rFonts w:cs="Calibri"/>
          <w:lang w:eastAsia="ar-SA"/>
        </w:rPr>
        <w:t xml:space="preserve"> </w:t>
      </w:r>
      <w:r w:rsidRPr="003A21B9">
        <w:rPr>
          <w:rFonts w:cs="Calibri"/>
          <w:lang w:eastAsia="ar-SA"/>
        </w:rPr>
        <w:t xml:space="preserve">Esto implica que por cada dólar que el estado gasta en el programa Medicaid, recibe una aportación de $1.46 del </w:t>
      </w:r>
      <w:r>
        <w:rPr>
          <w:rFonts w:cs="Calibri"/>
          <w:lang w:eastAsia="ar-SA"/>
        </w:rPr>
        <w:t>Gobierno</w:t>
      </w:r>
      <w:r w:rsidRPr="003A21B9">
        <w:rPr>
          <w:rFonts w:cs="Calibri"/>
          <w:lang w:eastAsia="ar-SA"/>
        </w:rPr>
        <w:t xml:space="preserve"> federal.</w:t>
      </w:r>
    </w:p>
    <w:p w:rsidR="005A5E7D" w:rsidRDefault="005A5E7D" w:rsidP="005A5E7D">
      <w:pPr>
        <w:tabs>
          <w:tab w:val="left" w:pos="3261"/>
        </w:tabs>
        <w:rPr>
          <w:rFonts w:cs="Calibri"/>
          <w:lang w:eastAsia="ar-SA"/>
        </w:rPr>
      </w:pPr>
      <w:r>
        <w:rPr>
          <w:rFonts w:cs="Calibri"/>
          <w:lang w:eastAsia="ar-SA"/>
        </w:rPr>
        <w:t>E</w:t>
      </w:r>
      <w:r w:rsidRPr="003A21B9">
        <w:rPr>
          <w:rFonts w:cs="Calibri"/>
          <w:lang w:eastAsia="ar-SA"/>
        </w:rPr>
        <w:t xml:space="preserve">l gasto total en Medicaid en los estados </w:t>
      </w:r>
      <w:r>
        <w:rPr>
          <w:rFonts w:cs="Calibri"/>
          <w:lang w:eastAsia="ar-SA"/>
        </w:rPr>
        <w:t>fu</w:t>
      </w:r>
      <w:r w:rsidRPr="003A21B9">
        <w:rPr>
          <w:rFonts w:cs="Calibri"/>
          <w:lang w:eastAsia="ar-SA"/>
        </w:rPr>
        <w:t>e $415</w:t>
      </w:r>
      <w:r>
        <w:rPr>
          <w:rFonts w:cs="Calibri"/>
          <w:lang w:eastAsia="ar-SA"/>
        </w:rPr>
        <w:t>,000 m</w:t>
      </w:r>
      <w:r w:rsidRPr="003A21B9">
        <w:rPr>
          <w:rFonts w:cs="Calibri"/>
          <w:lang w:eastAsia="ar-SA"/>
        </w:rPr>
        <w:t>illones</w:t>
      </w:r>
      <w:r>
        <w:rPr>
          <w:rFonts w:cs="Calibri"/>
          <w:lang w:eastAsia="ar-SA"/>
        </w:rPr>
        <w:t xml:space="preserve"> en</w:t>
      </w:r>
      <w:r w:rsidRPr="003A21B9">
        <w:rPr>
          <w:rFonts w:cs="Calibri"/>
          <w:lang w:eastAsia="ar-SA"/>
        </w:rPr>
        <w:t xml:space="preserve"> 2012, mientras que el gasto per cápita promedio </w:t>
      </w:r>
      <w:r>
        <w:rPr>
          <w:rFonts w:cs="Calibri"/>
          <w:lang w:eastAsia="ar-SA"/>
        </w:rPr>
        <w:t>fu</w:t>
      </w:r>
      <w:r w:rsidRPr="003A21B9">
        <w:rPr>
          <w:rFonts w:cs="Calibri"/>
          <w:lang w:eastAsia="ar-SA"/>
        </w:rPr>
        <w:t>e $1,287.</w:t>
      </w:r>
      <w:r>
        <w:rPr>
          <w:rFonts w:cs="Calibri"/>
          <w:lang w:eastAsia="ar-SA"/>
        </w:rPr>
        <w:t xml:space="preserve"> </w:t>
      </w:r>
      <w:r w:rsidRPr="003A21B9">
        <w:rPr>
          <w:rFonts w:cs="Calibri"/>
          <w:lang w:eastAsia="ar-SA"/>
        </w:rPr>
        <w:t xml:space="preserve">A su vez, el gasto per cápita </w:t>
      </w:r>
      <w:r>
        <w:rPr>
          <w:rFonts w:cs="Calibri"/>
          <w:lang w:eastAsia="ar-SA"/>
        </w:rPr>
        <w:t>de</w:t>
      </w:r>
      <w:r w:rsidRPr="003A21B9">
        <w:rPr>
          <w:rFonts w:cs="Calibri"/>
          <w:lang w:eastAsia="ar-SA"/>
        </w:rPr>
        <w:t xml:space="preserve"> Medicare en </w:t>
      </w:r>
      <w:r>
        <w:rPr>
          <w:rFonts w:cs="Calibri"/>
          <w:lang w:eastAsia="ar-SA"/>
        </w:rPr>
        <w:t>Misisipi</w:t>
      </w:r>
      <w:r w:rsidRPr="003A21B9">
        <w:rPr>
          <w:rFonts w:cs="Calibri"/>
          <w:lang w:eastAsia="ar-SA"/>
        </w:rPr>
        <w:t xml:space="preserve"> </w:t>
      </w:r>
      <w:r>
        <w:rPr>
          <w:rFonts w:cs="Calibri"/>
          <w:lang w:eastAsia="ar-SA"/>
        </w:rPr>
        <w:t>fue</w:t>
      </w:r>
      <w:r w:rsidRPr="003A21B9">
        <w:rPr>
          <w:rFonts w:cs="Calibri"/>
          <w:lang w:eastAsia="ar-SA"/>
        </w:rPr>
        <w:t xml:space="preserve"> $1,49</w:t>
      </w:r>
      <w:r>
        <w:rPr>
          <w:rFonts w:cs="Calibri"/>
          <w:lang w:eastAsia="ar-SA"/>
        </w:rPr>
        <w:t>5</w:t>
      </w:r>
      <w:r w:rsidRPr="003A21B9">
        <w:rPr>
          <w:rFonts w:cs="Calibri"/>
          <w:lang w:eastAsia="ar-SA"/>
        </w:rPr>
        <w:t xml:space="preserve"> en 201</w:t>
      </w:r>
      <w:r>
        <w:rPr>
          <w:rFonts w:cs="Calibri"/>
          <w:lang w:eastAsia="ar-SA"/>
        </w:rPr>
        <w:t>2</w:t>
      </w:r>
      <w:r w:rsidRPr="003A21B9">
        <w:rPr>
          <w:rFonts w:cs="Calibri"/>
          <w:lang w:eastAsia="ar-SA"/>
        </w:rPr>
        <w:t xml:space="preserve">. La </w:t>
      </w:r>
      <w:r w:rsidRPr="003A21B9">
        <w:rPr>
          <w:rFonts w:cs="Calibri"/>
          <w:b/>
          <w:lang w:eastAsia="ar-SA"/>
        </w:rPr>
        <w:t xml:space="preserve">Tabla 1 </w:t>
      </w:r>
      <w:r w:rsidRPr="007D2A75">
        <w:rPr>
          <w:rFonts w:cs="Calibri"/>
          <w:lang w:eastAsia="ar-SA"/>
        </w:rPr>
        <w:t>presenta el</w:t>
      </w:r>
      <w:r>
        <w:rPr>
          <w:rFonts w:cs="Calibri"/>
          <w:b/>
          <w:lang w:eastAsia="ar-SA"/>
        </w:rPr>
        <w:t xml:space="preserve"> </w:t>
      </w:r>
      <w:r w:rsidRPr="003A21B9">
        <w:rPr>
          <w:rFonts w:cs="Calibri"/>
          <w:lang w:eastAsia="ar-SA"/>
        </w:rPr>
        <w:t>estima</w:t>
      </w:r>
      <w:r>
        <w:rPr>
          <w:rFonts w:cs="Calibri"/>
          <w:lang w:eastAsia="ar-SA"/>
        </w:rPr>
        <w:t>do</w:t>
      </w:r>
      <w:r w:rsidRPr="003A21B9">
        <w:rPr>
          <w:rFonts w:cs="Calibri"/>
          <w:lang w:eastAsia="ar-SA"/>
        </w:rPr>
        <w:t xml:space="preserve"> </w:t>
      </w:r>
      <w:r>
        <w:rPr>
          <w:rFonts w:cs="Calibri"/>
          <w:lang w:eastAsia="ar-SA"/>
        </w:rPr>
        <w:t xml:space="preserve">de </w:t>
      </w:r>
      <w:r w:rsidRPr="003A21B9">
        <w:rPr>
          <w:rFonts w:cs="Calibri"/>
          <w:lang w:eastAsia="ar-SA"/>
        </w:rPr>
        <w:t>lo que sería el gasto total de Medicaid en Puerto Rico</w:t>
      </w:r>
      <w:r>
        <w:rPr>
          <w:rFonts w:cs="Calibri"/>
          <w:lang w:eastAsia="ar-SA"/>
        </w:rPr>
        <w:t>,</w:t>
      </w:r>
      <w:r w:rsidRPr="003A21B9">
        <w:rPr>
          <w:rFonts w:cs="Calibri"/>
          <w:lang w:eastAsia="ar-SA"/>
        </w:rPr>
        <w:t xml:space="preserve"> si aplicáramos el</w:t>
      </w:r>
      <w:r>
        <w:rPr>
          <w:rFonts w:cs="Calibri"/>
          <w:lang w:eastAsia="ar-SA"/>
        </w:rPr>
        <w:t xml:space="preserve"> </w:t>
      </w:r>
      <w:r w:rsidRPr="003A21B9">
        <w:rPr>
          <w:rFonts w:cs="Calibri"/>
          <w:lang w:eastAsia="ar-SA"/>
        </w:rPr>
        <w:t xml:space="preserve">gasto per cápita promedio para todos los estados y el gasto per cápita de </w:t>
      </w:r>
      <w:r>
        <w:rPr>
          <w:rFonts w:cs="Calibri"/>
          <w:lang w:eastAsia="ar-SA"/>
        </w:rPr>
        <w:t>Misisipi</w:t>
      </w:r>
      <w:r w:rsidRPr="003A21B9">
        <w:rPr>
          <w:rFonts w:cs="Calibri"/>
          <w:lang w:eastAsia="ar-SA"/>
        </w:rPr>
        <w:t xml:space="preserve"> a Puerto Rico.</w:t>
      </w:r>
      <w:r>
        <w:rPr>
          <w:rFonts w:cs="Calibri"/>
          <w:lang w:eastAsia="ar-SA"/>
        </w:rPr>
        <w:t xml:space="preserve"> </w:t>
      </w:r>
      <w:r w:rsidRPr="003A21B9">
        <w:rPr>
          <w:rFonts w:cs="Calibri"/>
          <w:lang w:eastAsia="ar-SA"/>
        </w:rPr>
        <w:t>Se estim</w:t>
      </w:r>
      <w:r>
        <w:rPr>
          <w:rFonts w:cs="Calibri"/>
          <w:lang w:eastAsia="ar-SA"/>
        </w:rPr>
        <w:t>ó</w:t>
      </w:r>
      <w:r w:rsidRPr="003A21B9">
        <w:rPr>
          <w:rFonts w:cs="Calibri"/>
          <w:lang w:eastAsia="ar-SA"/>
        </w:rPr>
        <w:t xml:space="preserve"> cu</w:t>
      </w:r>
      <w:r>
        <w:rPr>
          <w:rFonts w:cs="Calibri"/>
          <w:lang w:eastAsia="ar-SA"/>
        </w:rPr>
        <w:t>a</w:t>
      </w:r>
      <w:r w:rsidRPr="003A21B9">
        <w:rPr>
          <w:rFonts w:cs="Calibri"/>
          <w:lang w:eastAsia="ar-SA"/>
        </w:rPr>
        <w:t xml:space="preserve">l hubiese sido la contribución del </w:t>
      </w:r>
      <w:r>
        <w:rPr>
          <w:rFonts w:cs="Calibri"/>
          <w:lang w:eastAsia="ar-SA"/>
        </w:rPr>
        <w:t>Gobierno</w:t>
      </w:r>
      <w:r w:rsidRPr="003A21B9">
        <w:rPr>
          <w:rFonts w:cs="Calibri"/>
          <w:lang w:eastAsia="ar-SA"/>
        </w:rPr>
        <w:t xml:space="preserve"> federal y la del </w:t>
      </w:r>
      <w:r>
        <w:rPr>
          <w:rFonts w:cs="Calibri"/>
          <w:lang w:eastAsia="ar-SA"/>
        </w:rPr>
        <w:t>Gobierno</w:t>
      </w:r>
      <w:r w:rsidRPr="003A21B9">
        <w:rPr>
          <w:rFonts w:cs="Calibri"/>
          <w:lang w:eastAsia="ar-SA"/>
        </w:rPr>
        <w:t xml:space="preserve"> de Puerto Rico en cada caso, partiendo del supuesto de que </w:t>
      </w:r>
      <w:r>
        <w:rPr>
          <w:rFonts w:cs="Calibri"/>
          <w:lang w:eastAsia="ar-SA"/>
        </w:rPr>
        <w:t>la Isla</w:t>
      </w:r>
      <w:r w:rsidRPr="003A21B9">
        <w:rPr>
          <w:rFonts w:cs="Calibri"/>
          <w:lang w:eastAsia="ar-SA"/>
        </w:rPr>
        <w:t xml:space="preserve"> cualificaría según la fórmula para la tasa máxima de pareo de</w:t>
      </w:r>
      <w:r>
        <w:rPr>
          <w:rFonts w:cs="Calibri"/>
          <w:lang w:eastAsia="ar-SA"/>
        </w:rPr>
        <w:t>l</w:t>
      </w:r>
      <w:r w:rsidRPr="003A21B9">
        <w:rPr>
          <w:rFonts w:cs="Calibri"/>
          <w:lang w:eastAsia="ar-SA"/>
        </w:rPr>
        <w:t xml:space="preserve"> 83%.</w:t>
      </w:r>
      <w:r>
        <w:rPr>
          <w:rFonts w:cs="Calibri"/>
          <w:lang w:eastAsia="ar-SA"/>
        </w:rPr>
        <w:t xml:space="preserve"> </w:t>
      </w:r>
    </w:p>
    <w:p w:rsidR="00A9525B" w:rsidRDefault="00A9525B" w:rsidP="00A9525B">
      <w:pPr>
        <w:rPr>
          <w:lang w:eastAsia="ar-SA"/>
        </w:rPr>
      </w:pPr>
      <w:r w:rsidRPr="003A21B9">
        <w:rPr>
          <w:lang w:eastAsia="ar-SA"/>
        </w:rPr>
        <w:t xml:space="preserve">Si Puerto Rico hubiese alcanzado el mismo gasto per cápita promedio que los estados ($1,287), el gasto total </w:t>
      </w:r>
      <w:r>
        <w:rPr>
          <w:lang w:eastAsia="ar-SA"/>
        </w:rPr>
        <w:t>de</w:t>
      </w:r>
      <w:r w:rsidRPr="003A21B9">
        <w:rPr>
          <w:lang w:eastAsia="ar-SA"/>
        </w:rPr>
        <w:t xml:space="preserve"> Medica</w:t>
      </w:r>
      <w:r>
        <w:rPr>
          <w:lang w:eastAsia="ar-SA"/>
        </w:rPr>
        <w:t>id en Puerto Rico hubiese sido $4,</w:t>
      </w:r>
      <w:r w:rsidRPr="003A21B9">
        <w:rPr>
          <w:lang w:eastAsia="ar-SA"/>
        </w:rPr>
        <w:t>7</w:t>
      </w:r>
      <w:r>
        <w:rPr>
          <w:lang w:eastAsia="ar-SA"/>
        </w:rPr>
        <w:t>00 m</w:t>
      </w:r>
      <w:r w:rsidRPr="003A21B9">
        <w:rPr>
          <w:lang w:eastAsia="ar-SA"/>
        </w:rPr>
        <w:t>illones.</w:t>
      </w:r>
      <w:r>
        <w:rPr>
          <w:lang w:eastAsia="ar-SA"/>
        </w:rPr>
        <w:t xml:space="preserve"> </w:t>
      </w:r>
      <w:r w:rsidRPr="003A21B9">
        <w:rPr>
          <w:lang w:eastAsia="ar-SA"/>
        </w:rPr>
        <w:t>Bajo la premisa de que a Puerto Rico le aplicaría la tasa máxima de pareo, esto podría significar has</w:t>
      </w:r>
      <w:r>
        <w:rPr>
          <w:lang w:eastAsia="ar-SA"/>
        </w:rPr>
        <w:t>ta un máximo de $3,</w:t>
      </w:r>
      <w:r w:rsidRPr="003A21B9">
        <w:rPr>
          <w:lang w:eastAsia="ar-SA"/>
        </w:rPr>
        <w:t>9</w:t>
      </w:r>
      <w:r>
        <w:rPr>
          <w:lang w:eastAsia="ar-SA"/>
        </w:rPr>
        <w:t>00 m</w:t>
      </w:r>
      <w:r w:rsidRPr="003A21B9">
        <w:rPr>
          <w:lang w:eastAsia="ar-SA"/>
        </w:rPr>
        <w:t>illones en aportaciones federales para Medicaid.</w:t>
      </w:r>
      <w:r>
        <w:rPr>
          <w:lang w:eastAsia="ar-SA"/>
        </w:rPr>
        <w:t xml:space="preserve"> </w:t>
      </w:r>
      <w:r w:rsidRPr="003A21B9">
        <w:rPr>
          <w:lang w:eastAsia="ar-SA"/>
        </w:rPr>
        <w:t>A su vez, si se asignara el gasto per cápita de $1,49</w:t>
      </w:r>
      <w:r>
        <w:rPr>
          <w:lang w:eastAsia="ar-SA"/>
        </w:rPr>
        <w:t>5 de</w:t>
      </w:r>
      <w:r w:rsidRPr="003A21B9">
        <w:rPr>
          <w:lang w:eastAsia="ar-SA"/>
        </w:rPr>
        <w:t xml:space="preserve"> Misissippi,</w:t>
      </w:r>
      <w:r>
        <w:rPr>
          <w:lang w:eastAsia="ar-SA"/>
        </w:rPr>
        <w:t xml:space="preserve"> </w:t>
      </w:r>
      <w:r w:rsidRPr="003A21B9">
        <w:rPr>
          <w:lang w:eastAsia="ar-SA"/>
        </w:rPr>
        <w:t xml:space="preserve">el gasto total </w:t>
      </w:r>
      <w:r>
        <w:rPr>
          <w:lang w:eastAsia="ar-SA"/>
        </w:rPr>
        <w:t>de</w:t>
      </w:r>
      <w:r w:rsidRPr="003A21B9">
        <w:rPr>
          <w:lang w:eastAsia="ar-SA"/>
        </w:rPr>
        <w:t xml:space="preserve"> Medicaid en Puerto Rico hubie</w:t>
      </w:r>
      <w:r>
        <w:rPr>
          <w:lang w:eastAsia="ar-SA"/>
        </w:rPr>
        <w:t>se</w:t>
      </w:r>
      <w:r w:rsidRPr="003A21B9">
        <w:rPr>
          <w:lang w:eastAsia="ar-SA"/>
        </w:rPr>
        <w:t xml:space="preserve"> sido </w:t>
      </w:r>
      <w:r>
        <w:rPr>
          <w:lang w:eastAsia="ar-SA"/>
        </w:rPr>
        <w:t>$5,</w:t>
      </w:r>
      <w:r w:rsidRPr="003A21B9">
        <w:rPr>
          <w:lang w:eastAsia="ar-SA"/>
        </w:rPr>
        <w:t>5</w:t>
      </w:r>
      <w:r>
        <w:rPr>
          <w:lang w:eastAsia="ar-SA"/>
        </w:rPr>
        <w:t>00 millones.</w:t>
      </w:r>
    </w:p>
    <w:p w:rsidR="00A9525B" w:rsidRDefault="00A9525B" w:rsidP="005A5E7D">
      <w:pPr>
        <w:tabs>
          <w:tab w:val="left" w:pos="3261"/>
        </w:tabs>
        <w:rPr>
          <w:rFonts w:cs="Calibri"/>
          <w:lang w:eastAsia="ar-SA"/>
        </w:rPr>
      </w:pPr>
    </w:p>
    <w:p w:rsidR="005A5E7D" w:rsidRPr="003A21B9" w:rsidRDefault="005A5E7D" w:rsidP="005A5E7D">
      <w:pPr>
        <w:suppressAutoHyphens/>
        <w:spacing w:line="240" w:lineRule="auto"/>
        <w:ind w:firstLine="706"/>
        <w:jc w:val="center"/>
        <w:rPr>
          <w:rFonts w:eastAsia="SimSun" w:cs="Calibri"/>
          <w:kern w:val="1"/>
          <w:lang w:eastAsia="ar-SA"/>
        </w:rPr>
      </w:pPr>
    </w:p>
    <w:tbl>
      <w:tblPr>
        <w:tblW w:w="0" w:type="auto"/>
        <w:tblBorders>
          <w:top w:val="single" w:sz="12" w:space="0" w:color="008000"/>
          <w:bottom w:val="single" w:sz="12" w:space="0" w:color="008000"/>
        </w:tblBorders>
        <w:tblLook w:val="04A0"/>
      </w:tblPr>
      <w:tblGrid>
        <w:gridCol w:w="3420"/>
        <w:gridCol w:w="1795"/>
        <w:gridCol w:w="1711"/>
        <w:gridCol w:w="1665"/>
      </w:tblGrid>
      <w:tr w:rsidR="005A5E7D" w:rsidRPr="006C2E2C">
        <w:trPr>
          <w:trHeight w:val="20"/>
        </w:trPr>
        <w:tc>
          <w:tcPr>
            <w:tcW w:w="8591" w:type="dxa"/>
            <w:gridSpan w:val="4"/>
            <w:tcBorders>
              <w:bottom w:val="single" w:sz="6" w:space="0" w:color="008000"/>
            </w:tcBorders>
            <w:shd w:val="clear" w:color="auto" w:fill="auto"/>
            <w:noWrap/>
          </w:tcPr>
          <w:p w:rsidR="005A5E7D" w:rsidRPr="00F61F9E" w:rsidRDefault="005A5E7D" w:rsidP="005A5E7D">
            <w:pPr>
              <w:suppressAutoHyphens/>
              <w:spacing w:line="240" w:lineRule="auto"/>
              <w:ind w:firstLine="0"/>
              <w:jc w:val="center"/>
              <w:rPr>
                <w:rFonts w:ascii="Arial Narrow" w:eastAsia="Times New Roman" w:hAnsi="Arial Narrow"/>
                <w:b/>
                <w:color w:val="000000"/>
                <w:sz w:val="22"/>
                <w:szCs w:val="20"/>
              </w:rPr>
            </w:pPr>
            <w:r w:rsidRPr="00F61F9E">
              <w:rPr>
                <w:rFonts w:ascii="Arial Narrow" w:eastAsia="Times New Roman" w:hAnsi="Arial Narrow"/>
                <w:b/>
                <w:color w:val="000000"/>
                <w:sz w:val="22"/>
                <w:szCs w:val="20"/>
              </w:rPr>
              <w:t>Tabla 1</w:t>
            </w:r>
          </w:p>
        </w:tc>
      </w:tr>
      <w:tr w:rsidR="005A5E7D" w:rsidRPr="006C2E2C">
        <w:trPr>
          <w:trHeight w:val="588"/>
        </w:trPr>
        <w:tc>
          <w:tcPr>
            <w:tcW w:w="8591" w:type="dxa"/>
            <w:gridSpan w:val="4"/>
            <w:shd w:val="clear" w:color="auto" w:fill="auto"/>
          </w:tcPr>
          <w:p w:rsidR="005A5E7D" w:rsidRPr="00F61F9E" w:rsidRDefault="005A5E7D" w:rsidP="005A5E7D">
            <w:pPr>
              <w:spacing w:line="240" w:lineRule="auto"/>
              <w:ind w:firstLine="0"/>
              <w:jc w:val="center"/>
              <w:rPr>
                <w:rFonts w:ascii="Arial Narrow" w:hAnsi="Arial Narrow"/>
                <w:b/>
                <w:color w:val="000000"/>
                <w:sz w:val="22"/>
              </w:rPr>
            </w:pPr>
            <w:r w:rsidRPr="00F61F9E">
              <w:rPr>
                <w:rFonts w:ascii="Arial Narrow" w:eastAsia="Times New Roman" w:hAnsi="Arial Narrow"/>
                <w:b/>
                <w:color w:val="000000"/>
                <w:sz w:val="22"/>
                <w:szCs w:val="20"/>
              </w:rPr>
              <w:t>Simulación del Gasto Total en Medicaid para Puer</w:t>
            </w:r>
            <w:r>
              <w:rPr>
                <w:rFonts w:ascii="Arial Narrow" w:eastAsia="Times New Roman" w:hAnsi="Arial Narrow"/>
                <w:b/>
                <w:color w:val="000000"/>
                <w:sz w:val="22"/>
                <w:szCs w:val="20"/>
              </w:rPr>
              <w:t>to Rico (2012</w:t>
            </w:r>
            <w:r w:rsidRPr="00F61F9E">
              <w:rPr>
                <w:rFonts w:ascii="Arial Narrow" w:eastAsia="Times New Roman" w:hAnsi="Arial Narrow"/>
                <w:b/>
                <w:color w:val="000000"/>
                <w:sz w:val="22"/>
                <w:szCs w:val="20"/>
              </w:rPr>
              <w:t>)</w:t>
            </w:r>
          </w:p>
          <w:p w:rsidR="005A5E7D" w:rsidRPr="006C2E2C" w:rsidRDefault="005A5E7D" w:rsidP="005A5E7D">
            <w:pPr>
              <w:spacing w:line="240" w:lineRule="auto"/>
              <w:ind w:firstLine="0"/>
              <w:jc w:val="center"/>
              <w:rPr>
                <w:rFonts w:ascii="Arial Narrow" w:hAnsi="Arial Narrow"/>
                <w:color w:val="000000"/>
                <w:sz w:val="20"/>
              </w:rPr>
            </w:pPr>
            <w:r>
              <w:rPr>
                <w:rFonts w:ascii="Arial Narrow" w:eastAsia="Times New Roman" w:hAnsi="Arial Narrow"/>
                <w:color w:val="000000"/>
                <w:sz w:val="20"/>
                <w:szCs w:val="20"/>
              </w:rPr>
              <w:t>(e</w:t>
            </w:r>
            <w:r w:rsidRPr="006C2E2C">
              <w:rPr>
                <w:rFonts w:ascii="Arial Narrow" w:eastAsia="Times New Roman" w:hAnsi="Arial Narrow"/>
                <w:color w:val="000000"/>
                <w:sz w:val="20"/>
                <w:szCs w:val="20"/>
              </w:rPr>
              <w:t>n millones de $)</w:t>
            </w:r>
          </w:p>
        </w:tc>
      </w:tr>
      <w:tr w:rsidR="005A5E7D" w:rsidRPr="006C2E2C">
        <w:trPr>
          <w:trHeight w:val="20"/>
        </w:trPr>
        <w:tc>
          <w:tcPr>
            <w:tcW w:w="3420" w:type="dxa"/>
            <w:shd w:val="clear" w:color="auto" w:fill="auto"/>
          </w:tcPr>
          <w:p w:rsidR="005A5E7D" w:rsidRPr="006C2E2C" w:rsidRDefault="005A5E7D" w:rsidP="005A5E7D">
            <w:pPr>
              <w:spacing w:line="240" w:lineRule="auto"/>
              <w:ind w:firstLine="0"/>
              <w:jc w:val="center"/>
              <w:rPr>
                <w:rFonts w:ascii="Arial Narrow" w:hAnsi="Arial Narrow"/>
                <w:b/>
                <w:color w:val="000000"/>
                <w:sz w:val="20"/>
              </w:rPr>
            </w:pPr>
          </w:p>
        </w:tc>
        <w:tc>
          <w:tcPr>
            <w:tcW w:w="1795" w:type="dxa"/>
            <w:shd w:val="clear" w:color="auto" w:fill="auto"/>
            <w:noWrap/>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Gasto Total</w:t>
            </w:r>
          </w:p>
        </w:tc>
        <w:tc>
          <w:tcPr>
            <w:tcW w:w="0" w:type="auto"/>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Aportación Federal</w:t>
            </w:r>
          </w:p>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(83%)</w:t>
            </w:r>
          </w:p>
        </w:tc>
        <w:tc>
          <w:tcPr>
            <w:tcW w:w="1665" w:type="dxa"/>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Aportación Estatal</w:t>
            </w:r>
          </w:p>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(17%)</w:t>
            </w:r>
          </w:p>
        </w:tc>
      </w:tr>
      <w:tr w:rsidR="005A5E7D" w:rsidRPr="006C2E2C">
        <w:trPr>
          <w:trHeight w:val="20"/>
        </w:trPr>
        <w:tc>
          <w:tcPr>
            <w:tcW w:w="3420" w:type="dxa"/>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A base del gasto per cápita promedio de los estados</w:t>
            </w:r>
          </w:p>
        </w:tc>
        <w:tc>
          <w:tcPr>
            <w:tcW w:w="1795" w:type="dxa"/>
            <w:shd w:val="clear" w:color="auto" w:fill="auto"/>
            <w:noWrap/>
          </w:tcPr>
          <w:p w:rsidR="005A5E7D" w:rsidRPr="006C2E2C" w:rsidRDefault="005A5E7D" w:rsidP="005A5E7D">
            <w:pPr>
              <w:spacing w:before="120"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4,698.9</w:t>
            </w:r>
          </w:p>
        </w:tc>
        <w:tc>
          <w:tcPr>
            <w:tcW w:w="0" w:type="auto"/>
            <w:shd w:val="clear" w:color="auto" w:fill="auto"/>
            <w:noWrap/>
          </w:tcPr>
          <w:p w:rsidR="005A5E7D" w:rsidRPr="006C2E2C" w:rsidRDefault="005A5E7D" w:rsidP="005A5E7D">
            <w:pPr>
              <w:spacing w:before="120"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3,900.1</w:t>
            </w:r>
          </w:p>
        </w:tc>
        <w:tc>
          <w:tcPr>
            <w:tcW w:w="1665" w:type="dxa"/>
            <w:shd w:val="clear" w:color="auto" w:fill="auto"/>
            <w:noWrap/>
          </w:tcPr>
          <w:p w:rsidR="005A5E7D" w:rsidRPr="006C2E2C" w:rsidRDefault="005A5E7D" w:rsidP="005A5E7D">
            <w:pPr>
              <w:spacing w:before="120"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798.8</w:t>
            </w:r>
          </w:p>
        </w:tc>
      </w:tr>
      <w:tr w:rsidR="005A5E7D" w:rsidRPr="006C2E2C">
        <w:trPr>
          <w:trHeight w:val="20"/>
        </w:trPr>
        <w:tc>
          <w:tcPr>
            <w:tcW w:w="3420" w:type="dxa"/>
            <w:shd w:val="clear" w:color="auto" w:fill="auto"/>
          </w:tcPr>
          <w:p w:rsidR="005A5E7D" w:rsidRPr="006C2E2C" w:rsidRDefault="005A5E7D" w:rsidP="005A5E7D">
            <w:pPr>
              <w:spacing w:before="120" w:after="120"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A base del</w:t>
            </w:r>
            <w:r>
              <w:rPr>
                <w:rFonts w:ascii="Arial Narrow" w:eastAsia="Times New Roman" w:hAnsi="Arial Narrow"/>
                <w:color w:val="000000"/>
                <w:sz w:val="20"/>
                <w:szCs w:val="20"/>
              </w:rPr>
              <w:t xml:space="preserve"> </w:t>
            </w:r>
            <w:r w:rsidRPr="006C2E2C">
              <w:rPr>
                <w:rFonts w:ascii="Arial Narrow" w:eastAsia="Times New Roman" w:hAnsi="Arial Narrow"/>
                <w:color w:val="000000"/>
                <w:sz w:val="20"/>
                <w:szCs w:val="20"/>
              </w:rPr>
              <w:t xml:space="preserve">gasto per cápita de </w:t>
            </w:r>
            <w:r>
              <w:rPr>
                <w:rFonts w:ascii="Arial Narrow" w:eastAsia="Times New Roman" w:hAnsi="Arial Narrow"/>
                <w:color w:val="000000"/>
                <w:sz w:val="20"/>
                <w:szCs w:val="20"/>
              </w:rPr>
              <w:t>Misisipi</w:t>
            </w:r>
          </w:p>
        </w:tc>
        <w:tc>
          <w:tcPr>
            <w:tcW w:w="1795" w:type="dxa"/>
            <w:shd w:val="clear" w:color="auto" w:fill="auto"/>
            <w:noWrap/>
          </w:tcPr>
          <w:p w:rsidR="005A5E7D" w:rsidRPr="006C2E2C" w:rsidRDefault="005A5E7D" w:rsidP="005A5E7D">
            <w:pPr>
              <w:spacing w:before="120" w:after="120"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5,460.5</w:t>
            </w:r>
          </w:p>
        </w:tc>
        <w:tc>
          <w:tcPr>
            <w:tcW w:w="0" w:type="auto"/>
            <w:shd w:val="clear" w:color="auto" w:fill="auto"/>
            <w:noWrap/>
          </w:tcPr>
          <w:p w:rsidR="005A5E7D" w:rsidRPr="006C2E2C" w:rsidRDefault="005A5E7D" w:rsidP="005A5E7D">
            <w:pPr>
              <w:spacing w:before="120" w:after="120"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4,532.2</w:t>
            </w:r>
          </w:p>
        </w:tc>
        <w:tc>
          <w:tcPr>
            <w:tcW w:w="1665" w:type="dxa"/>
            <w:shd w:val="clear" w:color="auto" w:fill="auto"/>
            <w:noWrap/>
          </w:tcPr>
          <w:p w:rsidR="005A5E7D" w:rsidRPr="006C2E2C" w:rsidRDefault="005A5E7D" w:rsidP="005A5E7D">
            <w:pPr>
              <w:spacing w:before="120" w:after="120"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928.3</w:t>
            </w:r>
          </w:p>
        </w:tc>
      </w:tr>
    </w:tbl>
    <w:p w:rsidR="005A5E7D" w:rsidRPr="003A21B9" w:rsidRDefault="005A5E7D" w:rsidP="005A5E7D">
      <w:pPr>
        <w:suppressAutoHyphens/>
        <w:ind w:firstLine="706"/>
        <w:jc w:val="center"/>
        <w:rPr>
          <w:rFonts w:eastAsia="SimSun" w:cs="Calibri"/>
          <w:kern w:val="1"/>
          <w:lang w:eastAsia="ar-SA"/>
        </w:rPr>
      </w:pPr>
    </w:p>
    <w:p w:rsidR="005A5E7D" w:rsidRPr="003A21B9" w:rsidRDefault="005A5E7D" w:rsidP="005A5E7D">
      <w:pPr>
        <w:rPr>
          <w:lang w:eastAsia="ar-SA"/>
        </w:rPr>
      </w:pPr>
      <w:r w:rsidRPr="003A21B9">
        <w:rPr>
          <w:lang w:eastAsia="ar-SA"/>
        </w:rPr>
        <w:t xml:space="preserve">En comparación, en el </w:t>
      </w:r>
      <w:r>
        <w:rPr>
          <w:lang w:eastAsia="ar-SA"/>
        </w:rPr>
        <w:t xml:space="preserve">año </w:t>
      </w:r>
      <w:r w:rsidRPr="003A21B9">
        <w:rPr>
          <w:lang w:eastAsia="ar-SA"/>
        </w:rPr>
        <w:t xml:space="preserve">2011 Puerto Rico recibió $581 millones por concepto de Medicaid </w:t>
      </w:r>
      <w:r w:rsidRPr="003A21B9">
        <w:rPr>
          <w:noProof/>
          <w:lang w:eastAsia="ar-SA"/>
        </w:rPr>
        <w:t>(Oficina de Presupuesto y Gerencia, 2013)</w:t>
      </w:r>
      <w:r w:rsidRPr="003A21B9">
        <w:rPr>
          <w:lang w:eastAsia="ar-SA"/>
        </w:rPr>
        <w:t>.</w:t>
      </w:r>
      <w:r>
        <w:rPr>
          <w:lang w:eastAsia="ar-SA"/>
        </w:rPr>
        <w:t xml:space="preserve"> </w:t>
      </w:r>
      <w:r w:rsidRPr="003A21B9">
        <w:rPr>
          <w:lang w:eastAsia="ar-SA"/>
        </w:rPr>
        <w:t>Bajo esta premisa, el gasto total del Programa de Medicaid en Puerto Rico en el 201</w:t>
      </w:r>
      <w:r>
        <w:rPr>
          <w:lang w:eastAsia="ar-SA"/>
        </w:rPr>
        <w:t>2</w:t>
      </w:r>
      <w:r w:rsidRPr="003A21B9">
        <w:rPr>
          <w:lang w:eastAsia="ar-SA"/>
        </w:rPr>
        <w:t xml:space="preserve"> hubiese sido aproximadamente el doble del gasto </w:t>
      </w:r>
      <w:r>
        <w:rPr>
          <w:lang w:eastAsia="ar-SA"/>
        </w:rPr>
        <w:t xml:space="preserve">de </w:t>
      </w:r>
      <w:r w:rsidRPr="003A21B9">
        <w:rPr>
          <w:lang w:eastAsia="ar-SA"/>
        </w:rPr>
        <w:t>$2,300 millones del Programa Mi Salud en el 2014</w:t>
      </w:r>
      <w:r w:rsidRPr="003A21B9">
        <w:rPr>
          <w:noProof/>
          <w:lang w:eastAsia="ar-SA"/>
        </w:rPr>
        <w:t xml:space="preserve"> (</w:t>
      </w:r>
      <w:r w:rsidRPr="0029042C">
        <w:rPr>
          <w:i/>
          <w:noProof/>
          <w:lang w:eastAsia="ar-SA"/>
        </w:rPr>
        <w:t>El Nuevo Día</w:t>
      </w:r>
      <w:r w:rsidRPr="003A21B9">
        <w:rPr>
          <w:noProof/>
          <w:lang w:eastAsia="ar-SA"/>
        </w:rPr>
        <w:t>, 2014)</w:t>
      </w:r>
      <w:r w:rsidRPr="003A21B9">
        <w:rPr>
          <w:lang w:eastAsia="ar-SA"/>
        </w:rPr>
        <w:t>.</w:t>
      </w:r>
      <w:r>
        <w:rPr>
          <w:lang w:eastAsia="ar-SA"/>
        </w:rPr>
        <w:t xml:space="preserve"> </w:t>
      </w:r>
      <w:r w:rsidRPr="003A21B9">
        <w:rPr>
          <w:lang w:eastAsia="ar-SA"/>
        </w:rPr>
        <w:t xml:space="preserve">Cabe destacar que la aportación federal al programa Medicaid en Puerto Rico ha aumentado a raíz del </w:t>
      </w:r>
      <w:r w:rsidRPr="003A21B9">
        <w:rPr>
          <w:i/>
          <w:lang w:eastAsia="ar-SA"/>
        </w:rPr>
        <w:t>Affordable Care Act</w:t>
      </w:r>
      <w:r>
        <w:rPr>
          <w:lang w:eastAsia="ar-SA"/>
        </w:rPr>
        <w:t>, (mejor conocida como Obamacare).</w:t>
      </w:r>
      <w:r>
        <w:rPr>
          <w:i/>
          <w:lang w:eastAsia="ar-SA"/>
        </w:rPr>
        <w:t xml:space="preserve"> </w:t>
      </w:r>
      <w:r w:rsidRPr="003A21B9">
        <w:rPr>
          <w:lang w:eastAsia="ar-SA"/>
        </w:rPr>
        <w:t>Esta ley establece un fondo de $925 millones para Puerto Rico disponible</w:t>
      </w:r>
      <w:r>
        <w:rPr>
          <w:lang w:eastAsia="ar-SA"/>
        </w:rPr>
        <w:t xml:space="preserve"> </w:t>
      </w:r>
      <w:r w:rsidRPr="003A21B9">
        <w:rPr>
          <w:lang w:eastAsia="ar-SA"/>
        </w:rPr>
        <w:t>del 2014 al 2019.</w:t>
      </w:r>
      <w:r>
        <w:rPr>
          <w:lang w:eastAsia="ar-SA"/>
        </w:rPr>
        <w:t xml:space="preserve"> </w:t>
      </w:r>
      <w:r w:rsidRPr="003A21B9">
        <w:rPr>
          <w:lang w:eastAsia="ar-SA"/>
        </w:rPr>
        <w:t>Además</w:t>
      </w:r>
      <w:r>
        <w:rPr>
          <w:lang w:eastAsia="ar-SA"/>
        </w:rPr>
        <w:t>,</w:t>
      </w:r>
      <w:r w:rsidRPr="003A21B9">
        <w:rPr>
          <w:lang w:eastAsia="ar-SA"/>
        </w:rPr>
        <w:t xml:space="preserve"> provee para aumentar los topes recibidos por los territorios (Puerto Rico, Islas Vírgenes, Guam, las Islas Marianas y Samoa America</w:t>
      </w:r>
      <w:r>
        <w:rPr>
          <w:lang w:eastAsia="ar-SA"/>
        </w:rPr>
        <w:t>na) hasta un gasto máximo de $6,</w:t>
      </w:r>
      <w:r w:rsidRPr="003A21B9">
        <w:rPr>
          <w:lang w:eastAsia="ar-SA"/>
        </w:rPr>
        <w:t>3</w:t>
      </w:r>
      <w:r>
        <w:rPr>
          <w:lang w:eastAsia="ar-SA"/>
        </w:rPr>
        <w:t>00 m</w:t>
      </w:r>
      <w:r w:rsidRPr="003A21B9">
        <w:rPr>
          <w:lang w:eastAsia="ar-SA"/>
        </w:rPr>
        <w:t>illones, entre julio de 2011 a septiembre del 2019.</w:t>
      </w:r>
      <w:r>
        <w:rPr>
          <w:lang w:eastAsia="ar-SA"/>
        </w:rPr>
        <w:t xml:space="preserve"> En </w:t>
      </w:r>
      <w:r w:rsidRPr="003A21B9">
        <w:rPr>
          <w:lang w:eastAsia="ar-SA"/>
        </w:rPr>
        <w:t>2012, Puerto Rico reci</w:t>
      </w:r>
      <w:r>
        <w:rPr>
          <w:lang w:eastAsia="ar-SA"/>
        </w:rPr>
        <w:t>bió $1,</w:t>
      </w:r>
      <w:r w:rsidRPr="003A21B9">
        <w:rPr>
          <w:lang w:eastAsia="ar-SA"/>
        </w:rPr>
        <w:t>16</w:t>
      </w:r>
      <w:r>
        <w:rPr>
          <w:lang w:eastAsia="ar-SA"/>
        </w:rPr>
        <w:t>0 millones bajo el programa Medicaid y espera recibir $1,</w:t>
      </w:r>
      <w:r w:rsidRPr="003A21B9">
        <w:rPr>
          <w:lang w:eastAsia="ar-SA"/>
        </w:rPr>
        <w:t>17</w:t>
      </w:r>
      <w:r>
        <w:rPr>
          <w:lang w:eastAsia="ar-SA"/>
        </w:rPr>
        <w:t>0 m</w:t>
      </w:r>
      <w:r w:rsidRPr="003A21B9">
        <w:rPr>
          <w:lang w:eastAsia="ar-SA"/>
        </w:rPr>
        <w:t>illones</w:t>
      </w:r>
      <w:r>
        <w:rPr>
          <w:lang w:eastAsia="ar-SA"/>
        </w:rPr>
        <w:t xml:space="preserve"> </w:t>
      </w:r>
      <w:r w:rsidRPr="003A21B9">
        <w:rPr>
          <w:lang w:eastAsia="ar-SA"/>
        </w:rPr>
        <w:t xml:space="preserve">para el año 2014 </w:t>
      </w:r>
      <w:r w:rsidRPr="003A21B9">
        <w:rPr>
          <w:noProof/>
          <w:lang w:eastAsia="ar-SA"/>
        </w:rPr>
        <w:t>(Oficina de Presupuesto y Gerencia, 2013)</w:t>
      </w:r>
      <w:r w:rsidRPr="003A21B9">
        <w:rPr>
          <w:lang w:eastAsia="ar-SA"/>
        </w:rPr>
        <w:t>.</w:t>
      </w:r>
    </w:p>
    <w:p w:rsidR="005A5E7D" w:rsidRPr="000B41CC" w:rsidRDefault="005A5E7D" w:rsidP="005A5E7D">
      <w:pPr>
        <w:rPr>
          <w:lang w:val="es-ES_tradnl" w:eastAsia="ar-SA"/>
        </w:rPr>
      </w:pPr>
      <w:r w:rsidRPr="005300BC">
        <w:rPr>
          <w:lang w:val="en-US" w:eastAsia="ar-SA"/>
        </w:rPr>
        <w:t xml:space="preserve">El </w:t>
      </w:r>
      <w:r w:rsidRPr="005300BC">
        <w:rPr>
          <w:i/>
          <w:lang w:val="en-US" w:eastAsia="ar-SA"/>
        </w:rPr>
        <w:t>Federal Aid Highway Program</w:t>
      </w:r>
      <w:r w:rsidRPr="005300BC">
        <w:rPr>
          <w:lang w:val="en-US" w:eastAsia="ar-SA"/>
        </w:rPr>
        <w:t xml:space="preserve"> agrupa seis programas distintos</w:t>
      </w:r>
      <w:r w:rsidRPr="005B5FEE">
        <w:rPr>
          <w:lang w:val="en-US" w:eastAsia="ar-SA"/>
        </w:rPr>
        <w:t xml:space="preserve">: (1) </w:t>
      </w:r>
      <w:r w:rsidRPr="005B5FEE">
        <w:rPr>
          <w:i/>
          <w:lang w:val="en-US" w:eastAsia="ar-SA"/>
        </w:rPr>
        <w:t xml:space="preserve">National Highway Performance Program, </w:t>
      </w:r>
      <w:r w:rsidRPr="0029042C">
        <w:rPr>
          <w:lang w:val="en-US" w:eastAsia="ar-SA"/>
        </w:rPr>
        <w:t>(2)</w:t>
      </w:r>
      <w:r w:rsidRPr="005B5FEE">
        <w:rPr>
          <w:i/>
          <w:lang w:val="en-US" w:eastAsia="ar-SA"/>
        </w:rPr>
        <w:t xml:space="preserve"> Surface Transportation Program</w:t>
      </w:r>
      <w:r w:rsidRPr="0029042C">
        <w:rPr>
          <w:lang w:val="en-US" w:eastAsia="ar-SA"/>
        </w:rPr>
        <w:t>, (3)</w:t>
      </w:r>
      <w:r w:rsidRPr="005B5FEE">
        <w:rPr>
          <w:i/>
          <w:lang w:val="en-US" w:eastAsia="ar-SA"/>
        </w:rPr>
        <w:t xml:space="preserve"> Highway Safety Improvement Program</w:t>
      </w:r>
      <w:r w:rsidRPr="0029042C">
        <w:rPr>
          <w:lang w:val="en-US" w:eastAsia="ar-SA"/>
        </w:rPr>
        <w:t>, (4)</w:t>
      </w:r>
      <w:r w:rsidRPr="005B5FEE">
        <w:rPr>
          <w:i/>
          <w:lang w:val="en-US" w:eastAsia="ar-SA"/>
        </w:rPr>
        <w:t xml:space="preserve"> Congestion Mitigation and Air Quality Improvement Program</w:t>
      </w:r>
      <w:r w:rsidRPr="0029042C">
        <w:rPr>
          <w:lang w:val="en-US" w:eastAsia="ar-SA"/>
        </w:rPr>
        <w:t xml:space="preserve">, (5) </w:t>
      </w:r>
      <w:r w:rsidRPr="005B5FEE">
        <w:rPr>
          <w:i/>
          <w:lang w:val="en-US" w:eastAsia="ar-SA"/>
        </w:rPr>
        <w:t>Metropolitan Transportation Planning</w:t>
      </w:r>
      <w:r w:rsidRPr="0029042C">
        <w:rPr>
          <w:lang w:val="en-US" w:eastAsia="ar-SA"/>
        </w:rPr>
        <w:t xml:space="preserve"> y (5) </w:t>
      </w:r>
      <w:r w:rsidRPr="005B5FEE">
        <w:rPr>
          <w:i/>
          <w:lang w:val="en-US" w:eastAsia="ar-SA"/>
        </w:rPr>
        <w:t>Transportation Alternatives</w:t>
      </w:r>
      <w:r w:rsidRPr="005B5FEE">
        <w:rPr>
          <w:lang w:val="en-US" w:eastAsia="ar-SA"/>
        </w:rPr>
        <w:t>.</w:t>
      </w:r>
      <w:r>
        <w:rPr>
          <w:lang w:val="en-US" w:eastAsia="ar-SA"/>
        </w:rPr>
        <w:t xml:space="preserve"> </w:t>
      </w:r>
      <w:r w:rsidRPr="000B41CC">
        <w:rPr>
          <w:lang w:val="es-ES_tradnl" w:eastAsia="ar-SA"/>
        </w:rPr>
        <w:t xml:space="preserve">Estos programas reciben fondos del </w:t>
      </w:r>
      <w:r w:rsidRPr="000B41CC">
        <w:rPr>
          <w:i/>
          <w:lang w:val="es-ES_tradnl" w:eastAsia="ar-SA"/>
        </w:rPr>
        <w:t>Highway Trust Fund</w:t>
      </w:r>
      <w:r w:rsidRPr="000B41CC">
        <w:rPr>
          <w:lang w:val="es-ES_tradnl" w:eastAsia="ar-SA"/>
        </w:rPr>
        <w:t>, el cual se nutre en un 90% del arbitrio federal a la gasolina. La cantidad de fondos asignados cada año se dividen entre los estados de acuerdo con la participación relativa que tuvo el estado de dicho fondo en el 2012. La asignación tota</w:t>
      </w:r>
      <w:r>
        <w:rPr>
          <w:lang w:val="es-ES_tradnl" w:eastAsia="ar-SA"/>
        </w:rPr>
        <w:t xml:space="preserve">l a los estados en el 2012 fue </w:t>
      </w:r>
      <w:r w:rsidRPr="000B41CC">
        <w:rPr>
          <w:lang w:val="es-ES_tradnl" w:eastAsia="ar-SA"/>
        </w:rPr>
        <w:t xml:space="preserve">$37,574 millones, para una asignación promedio de $165 per cápita por estado. </w:t>
      </w:r>
    </w:p>
    <w:p w:rsidR="005A5E7D" w:rsidRDefault="005A5E7D" w:rsidP="005A5E7D">
      <w:pPr>
        <w:rPr>
          <w:lang w:val="es-ES_tradnl" w:eastAsia="ar-SA"/>
        </w:rPr>
      </w:pPr>
      <w:r w:rsidRPr="000B41CC">
        <w:rPr>
          <w:lang w:val="es-ES_tradnl" w:eastAsia="ar-SA"/>
        </w:rPr>
        <w:t xml:space="preserve">Para la Isla, la ley establece el </w:t>
      </w:r>
      <w:r w:rsidRPr="000B41CC">
        <w:rPr>
          <w:i/>
          <w:lang w:val="es-ES_tradnl" w:eastAsia="ar-SA"/>
        </w:rPr>
        <w:t>Puerto Rico Highway Program</w:t>
      </w:r>
      <w:r w:rsidRPr="000B41CC">
        <w:rPr>
          <w:lang w:val="es-ES_tradnl" w:eastAsia="ar-SA"/>
        </w:rPr>
        <w:t>, el cual le otorga al Gobierno $150 millones</w:t>
      </w:r>
      <w:r>
        <w:rPr>
          <w:lang w:val="es-ES_tradnl" w:eastAsia="ar-SA"/>
        </w:rPr>
        <w:t xml:space="preserve"> anuales</w:t>
      </w:r>
      <w:r w:rsidRPr="000B41CC">
        <w:rPr>
          <w:lang w:val="es-ES_tradnl" w:eastAsia="ar-SA"/>
        </w:rPr>
        <w:t>, equivalente a $41 per cápita</w:t>
      </w:r>
      <w:r w:rsidRPr="000B41CC">
        <w:rPr>
          <w:noProof/>
          <w:lang w:val="es-ES_tradnl" w:eastAsia="ar-SA"/>
        </w:rPr>
        <w:t xml:space="preserve"> (</w:t>
      </w:r>
      <w:r w:rsidRPr="00766A48">
        <w:rPr>
          <w:i/>
          <w:noProof/>
          <w:lang w:val="es-ES_tradnl" w:eastAsia="ar-SA"/>
        </w:rPr>
        <w:t>Congressional Research Service</w:t>
      </w:r>
      <w:r w:rsidRPr="000B41CC">
        <w:rPr>
          <w:noProof/>
          <w:lang w:val="es-ES_tradnl" w:eastAsia="ar-SA"/>
        </w:rPr>
        <w:t>, 2013)</w:t>
      </w:r>
      <w:r w:rsidRPr="000B41CC">
        <w:rPr>
          <w:lang w:val="es-ES_tradnl" w:eastAsia="ar-SA"/>
        </w:rPr>
        <w:t xml:space="preserve">. </w:t>
      </w:r>
      <w:r>
        <w:rPr>
          <w:lang w:val="es-ES_tradnl" w:eastAsia="ar-SA"/>
        </w:rPr>
        <w:t>B</w:t>
      </w:r>
      <w:r w:rsidRPr="000B41CC">
        <w:rPr>
          <w:lang w:val="es-ES_tradnl" w:eastAsia="ar-SA"/>
        </w:rPr>
        <w:t xml:space="preserve">ajo la estadidad, </w:t>
      </w:r>
      <w:r>
        <w:rPr>
          <w:lang w:val="es-ES_tradnl" w:eastAsia="ar-SA"/>
        </w:rPr>
        <w:t>l</w:t>
      </w:r>
      <w:r w:rsidRPr="000B41CC">
        <w:rPr>
          <w:lang w:val="es-ES_tradnl" w:eastAsia="ar-SA"/>
        </w:rPr>
        <w:t>a pa</w:t>
      </w:r>
      <w:r>
        <w:rPr>
          <w:lang w:val="es-ES_tradnl" w:eastAsia="ar-SA"/>
        </w:rPr>
        <w:t>rticipación de Puerto Rico en este</w:t>
      </w:r>
      <w:r w:rsidRPr="000B41CC">
        <w:rPr>
          <w:lang w:val="es-ES_tradnl" w:eastAsia="ar-SA"/>
        </w:rPr>
        <w:t xml:space="preserve"> </w:t>
      </w:r>
      <w:r>
        <w:rPr>
          <w:lang w:val="es-ES_tradnl" w:eastAsia="ar-SA"/>
        </w:rPr>
        <w:t>programa</w:t>
      </w:r>
      <w:r w:rsidRPr="000B41CC">
        <w:rPr>
          <w:lang w:val="es-ES_tradnl" w:eastAsia="ar-SA"/>
        </w:rPr>
        <w:t xml:space="preserve"> depender</w:t>
      </w:r>
      <w:r>
        <w:rPr>
          <w:lang w:val="es-ES_tradnl" w:eastAsia="ar-SA"/>
        </w:rPr>
        <w:t>ía</w:t>
      </w:r>
      <w:r w:rsidRPr="000B41CC">
        <w:rPr>
          <w:lang w:val="es-ES_tradnl" w:eastAsia="ar-SA"/>
        </w:rPr>
        <w:t xml:space="preserve"> de si se usa la fórmula para determinar la cantidad inicial asignada a los estados o si se le asignar</w:t>
      </w:r>
      <w:r>
        <w:rPr>
          <w:lang w:val="es-ES_tradnl" w:eastAsia="ar-SA"/>
        </w:rPr>
        <w:t>ía</w:t>
      </w:r>
      <w:r w:rsidRPr="000B41CC">
        <w:rPr>
          <w:lang w:val="es-ES_tradnl" w:eastAsia="ar-SA"/>
        </w:rPr>
        <w:t xml:space="preserve"> la misma cantidad correspondiente a su participación relativa anterior, como es el caso actualmente </w:t>
      </w:r>
      <w:r>
        <w:rPr>
          <w:lang w:val="es-ES_tradnl" w:eastAsia="ar-SA"/>
        </w:rPr>
        <w:t>con</w:t>
      </w:r>
      <w:r w:rsidRPr="000B41CC">
        <w:rPr>
          <w:lang w:val="es-ES_tradnl" w:eastAsia="ar-SA"/>
        </w:rPr>
        <w:t xml:space="preserve"> los estados. De ser la segunda alternativa, no se esperaría </w:t>
      </w:r>
      <w:r>
        <w:rPr>
          <w:lang w:val="es-ES_tradnl" w:eastAsia="ar-SA"/>
        </w:rPr>
        <w:t xml:space="preserve">un </w:t>
      </w:r>
      <w:r w:rsidRPr="000B41CC">
        <w:rPr>
          <w:lang w:val="es-ES_tradnl" w:eastAsia="ar-SA"/>
        </w:rPr>
        <w:t xml:space="preserve">cambio mayor en la aportación que recibe el Gobierno bajo dicho programa. No obstante, los residentes en Puerto Rico tendrían que comenzar a aportar al </w:t>
      </w:r>
      <w:r w:rsidRPr="000B41CC">
        <w:rPr>
          <w:i/>
          <w:lang w:val="es-ES_tradnl" w:eastAsia="ar-SA"/>
        </w:rPr>
        <w:t>Highway Trust Fund</w:t>
      </w:r>
      <w:r>
        <w:rPr>
          <w:lang w:val="es-ES_tradnl" w:eastAsia="ar-SA"/>
        </w:rPr>
        <w:t xml:space="preserve">, </w:t>
      </w:r>
      <w:r w:rsidRPr="000B41CC">
        <w:rPr>
          <w:lang w:val="es-ES_tradnl" w:eastAsia="ar-SA"/>
        </w:rPr>
        <w:t>a través del pago de un impuesto federal al combustible, lo que aumentaría su carga contributiva.</w:t>
      </w:r>
    </w:p>
    <w:p w:rsidR="00D32F91" w:rsidRPr="000B41CC" w:rsidRDefault="00D32F91" w:rsidP="005A5E7D">
      <w:pPr>
        <w:rPr>
          <w:lang w:val="es-ES_tradnl" w:eastAsia="ar-SA"/>
        </w:rPr>
      </w:pPr>
    </w:p>
    <w:p w:rsidR="005A5E7D" w:rsidRPr="000B41CC" w:rsidRDefault="005A5E7D" w:rsidP="00D32F91">
      <w:pPr>
        <w:pStyle w:val="Heading3"/>
        <w:rPr>
          <w:rFonts w:eastAsia="SimSun" w:cs="Calibri"/>
          <w:lang w:val="es-ES_tradnl"/>
        </w:rPr>
      </w:pPr>
      <w:bookmarkStart w:id="54" w:name="_Toc384769749"/>
      <w:r>
        <w:rPr>
          <w:lang w:val="es-ES_tradnl"/>
        </w:rPr>
        <w:t xml:space="preserve">B.2 </w:t>
      </w:r>
      <w:r>
        <w:rPr>
          <w:lang w:val="es-ES_tradnl"/>
        </w:rPr>
        <w:tab/>
        <w:t>Fuentes de ingreso c</w:t>
      </w:r>
      <w:r w:rsidRPr="000B41CC">
        <w:rPr>
          <w:lang w:val="es-ES_tradnl"/>
        </w:rPr>
        <w:t>ontributivas</w:t>
      </w:r>
      <w:bookmarkEnd w:id="54"/>
    </w:p>
    <w:p w:rsidR="005A5E7D" w:rsidRPr="000B41CC" w:rsidRDefault="005A5E7D" w:rsidP="005A5E7D">
      <w:pPr>
        <w:spacing w:line="240" w:lineRule="auto"/>
        <w:rPr>
          <w:lang w:val="es-ES_tradnl" w:eastAsia="ar-SA"/>
        </w:rPr>
      </w:pPr>
    </w:p>
    <w:p w:rsidR="005A5E7D" w:rsidRDefault="005A5E7D" w:rsidP="005A5E7D">
      <w:pPr>
        <w:rPr>
          <w:lang w:val="es-ES_tradnl" w:eastAsia="ar-SA"/>
        </w:rPr>
      </w:pPr>
      <w:r w:rsidRPr="000B41CC">
        <w:rPr>
          <w:lang w:val="es-ES_tradnl" w:eastAsia="ar-SA"/>
        </w:rPr>
        <w:t xml:space="preserve">La </w:t>
      </w:r>
      <w:r w:rsidRPr="000B41CC">
        <w:rPr>
          <w:b/>
          <w:lang w:val="es-ES_tradnl" w:eastAsia="ar-SA"/>
        </w:rPr>
        <w:t>Gráfica 4</w:t>
      </w:r>
      <w:r w:rsidRPr="000B41CC">
        <w:rPr>
          <w:lang w:val="es-ES_tradnl" w:eastAsia="ar-SA"/>
        </w:rPr>
        <w:t xml:space="preserve"> presenta el porcentaje del ingreso estatal que proviene de fuentes contributivas para los 50 estados</w:t>
      </w:r>
      <w:r>
        <w:rPr>
          <w:lang w:val="es-ES_tradnl" w:eastAsia="ar-SA"/>
        </w:rPr>
        <w:t>,</w:t>
      </w:r>
      <w:r w:rsidRPr="000B41CC">
        <w:rPr>
          <w:lang w:val="es-ES_tradnl" w:eastAsia="ar-SA"/>
        </w:rPr>
        <w:t xml:space="preserve"> en promedio</w:t>
      </w:r>
      <w:r>
        <w:rPr>
          <w:lang w:val="es-ES_tradnl" w:eastAsia="ar-SA"/>
        </w:rPr>
        <w:t>,</w:t>
      </w:r>
      <w:r w:rsidRPr="000B41CC">
        <w:rPr>
          <w:lang w:val="es-ES_tradnl" w:eastAsia="ar-SA"/>
        </w:rPr>
        <w:t xml:space="preserve"> y el porcentaje correspondiente para el Gobierno de Puerto Rico. Los datos para Puerto Rico se obt</w:t>
      </w:r>
      <w:r>
        <w:rPr>
          <w:lang w:val="es-ES_tradnl" w:eastAsia="ar-SA"/>
        </w:rPr>
        <w:t>uviero</w:t>
      </w:r>
      <w:r w:rsidRPr="000B41CC">
        <w:rPr>
          <w:lang w:val="es-ES_tradnl" w:eastAsia="ar-SA"/>
        </w:rPr>
        <w:t xml:space="preserve">n de la </w:t>
      </w:r>
      <w:r w:rsidRPr="00766A48">
        <w:rPr>
          <w:lang w:val="es-ES_tradnl" w:eastAsia="ar-SA"/>
        </w:rPr>
        <w:t>Tabla 27</w:t>
      </w:r>
      <w:r w:rsidRPr="000B41CC">
        <w:rPr>
          <w:i/>
          <w:lang w:val="es-ES_tradnl" w:eastAsia="ar-SA"/>
        </w:rPr>
        <w:t xml:space="preserve"> </w:t>
      </w:r>
      <w:r w:rsidRPr="000B41CC">
        <w:rPr>
          <w:lang w:val="es-ES_tradnl" w:eastAsia="ar-SA"/>
        </w:rPr>
        <w:t xml:space="preserve">del </w:t>
      </w:r>
      <w:r w:rsidRPr="00766A48">
        <w:rPr>
          <w:i/>
          <w:lang w:val="es-ES_tradnl" w:eastAsia="ar-SA"/>
        </w:rPr>
        <w:t>Apéndice Estadístico</w:t>
      </w:r>
      <w:r w:rsidRPr="000B41CC">
        <w:rPr>
          <w:lang w:val="es-ES_tradnl" w:eastAsia="ar-SA"/>
        </w:rPr>
        <w:t xml:space="preserve"> del </w:t>
      </w:r>
      <w:r w:rsidRPr="00766A48">
        <w:rPr>
          <w:i/>
          <w:lang w:val="es-ES_tradnl" w:eastAsia="ar-SA"/>
        </w:rPr>
        <w:t>Informe Económico al Gobernador</w:t>
      </w:r>
      <w:r w:rsidRPr="000B41CC">
        <w:rPr>
          <w:lang w:val="es-ES_tradnl" w:eastAsia="ar-SA"/>
        </w:rPr>
        <w:t>.</w:t>
      </w:r>
      <w:r w:rsidRPr="000B41CC">
        <w:rPr>
          <w:vertAlign w:val="superscript"/>
          <w:lang w:val="es-ES_tradnl" w:eastAsia="ar-SA"/>
        </w:rPr>
        <w:footnoteReference w:id="28"/>
      </w:r>
    </w:p>
    <w:p w:rsidR="005A5E7D" w:rsidRDefault="005A5E7D" w:rsidP="005A5E7D">
      <w:pPr>
        <w:rPr>
          <w:rFonts w:eastAsia="+mn-ea"/>
          <w:color w:val="000000"/>
          <w:szCs w:val="24"/>
          <w:lang w:val="es-ES_tradnl" w:eastAsia="ar-SA"/>
        </w:rPr>
      </w:pPr>
      <w:r w:rsidRPr="000B41CC">
        <w:rPr>
          <w:lang w:val="es-ES_tradnl" w:eastAsia="ar-SA"/>
        </w:rPr>
        <w:t>D</w:t>
      </w:r>
      <w:r w:rsidRPr="000B41CC">
        <w:rPr>
          <w:rFonts w:eastAsia="+mn-ea"/>
          <w:color w:val="000000"/>
          <w:szCs w:val="24"/>
          <w:lang w:val="es-ES_tradnl" w:eastAsia="ar-SA"/>
        </w:rPr>
        <w:t xml:space="preserve">urante los 20 años estudiados, el porcentaje de los ingresos del Gobierno de Puerto Rico que provienen de fuentes contributivas (58%) demostró ser mayor que el promedio para los 50 estados (44.1%). Tanto los estados como Puerto Rico evidencian una tendencia hacia la baja en dicho porcentaje durante los últimos años. Dicha reducción puede explicarse como resultado de la recesión económica que atraviesa la Isla desde el 2007 </w:t>
      </w:r>
      <w:r w:rsidRPr="008B456C">
        <w:t>—</w:t>
      </w:r>
      <w:r w:rsidRPr="000B41CC">
        <w:rPr>
          <w:rFonts w:eastAsia="+mn-ea"/>
          <w:color w:val="000000"/>
          <w:szCs w:val="24"/>
          <w:lang w:val="es-ES_tradnl" w:eastAsia="ar-SA"/>
        </w:rPr>
        <w:t>la cual ha generado una disminución de</w:t>
      </w:r>
      <w:r>
        <w:rPr>
          <w:rFonts w:eastAsia="+mn-ea"/>
          <w:color w:val="000000"/>
          <w:szCs w:val="24"/>
          <w:lang w:val="es-ES_tradnl" w:eastAsia="ar-SA"/>
        </w:rPr>
        <w:t>l</w:t>
      </w:r>
      <w:r w:rsidRPr="000B41CC">
        <w:rPr>
          <w:rFonts w:eastAsia="+mn-ea"/>
          <w:color w:val="000000"/>
          <w:szCs w:val="24"/>
          <w:lang w:val="es-ES_tradnl" w:eastAsia="ar-SA"/>
        </w:rPr>
        <w:t xml:space="preserve"> -11.4% en el </w:t>
      </w:r>
      <w:r>
        <w:rPr>
          <w:rFonts w:eastAsia="+mn-ea"/>
          <w:color w:val="000000"/>
          <w:szCs w:val="24"/>
          <w:lang w:val="es-ES_tradnl" w:eastAsia="ar-SA"/>
        </w:rPr>
        <w:t>producto nacional bruto (</w:t>
      </w:r>
      <w:r w:rsidRPr="000B41CC">
        <w:rPr>
          <w:rFonts w:eastAsia="+mn-ea"/>
          <w:color w:val="000000"/>
          <w:szCs w:val="24"/>
          <w:lang w:val="es-ES_tradnl" w:eastAsia="ar-SA"/>
        </w:rPr>
        <w:t>PNB</w:t>
      </w:r>
      <w:r>
        <w:rPr>
          <w:rFonts w:eastAsia="+mn-ea"/>
          <w:color w:val="000000"/>
          <w:szCs w:val="24"/>
          <w:lang w:val="es-ES_tradnl" w:eastAsia="ar-SA"/>
        </w:rPr>
        <w:t>)</w:t>
      </w:r>
      <w:r w:rsidRPr="000B41CC">
        <w:rPr>
          <w:rFonts w:eastAsia="+mn-ea"/>
          <w:color w:val="000000"/>
          <w:szCs w:val="24"/>
          <w:lang w:val="es-ES_tradnl" w:eastAsia="ar-SA"/>
        </w:rPr>
        <w:t xml:space="preserve"> real para el período 2007-2011</w:t>
      </w:r>
      <w:r w:rsidRPr="008B456C">
        <w:t>—</w:t>
      </w:r>
      <w:r w:rsidRPr="000B41CC">
        <w:rPr>
          <w:rFonts w:eastAsia="+mn-ea"/>
          <w:color w:val="000000"/>
          <w:szCs w:val="24"/>
          <w:lang w:val="es-ES_tradnl" w:eastAsia="ar-SA"/>
        </w:rPr>
        <w:t xml:space="preserve"> y de los recientes cambios al sistema tributario.</w:t>
      </w:r>
    </w:p>
    <w:p w:rsidR="00BE7185" w:rsidRPr="000B41CC" w:rsidRDefault="00BE7185" w:rsidP="005A5E7D">
      <w:pPr>
        <w:rPr>
          <w:rFonts w:eastAsia="+mn-ea"/>
          <w:color w:val="000000"/>
          <w:szCs w:val="24"/>
          <w:lang w:val="es-ES_tradnl" w:eastAsia="ar-SA"/>
        </w:rPr>
      </w:pPr>
    </w:p>
    <w:p w:rsidR="005A5E7D" w:rsidRPr="000B41CC" w:rsidRDefault="0095547C" w:rsidP="005A5E7D">
      <w:pPr>
        <w:tabs>
          <w:tab w:val="left" w:pos="180"/>
          <w:tab w:val="left" w:pos="360"/>
        </w:tabs>
        <w:suppressAutoHyphens/>
        <w:ind w:firstLine="706"/>
        <w:jc w:val="center"/>
        <w:rPr>
          <w:rFonts w:eastAsia="+mn-ea"/>
          <w:color w:val="000000"/>
          <w:kern w:val="1"/>
          <w:szCs w:val="24"/>
          <w:lang w:val="es-ES_tradnl" w:eastAsia="ar-SA"/>
        </w:rPr>
      </w:pPr>
      <w:r>
        <w:rPr>
          <w:rFonts w:eastAsia="+mn-ea"/>
          <w:noProof/>
          <w:color w:val="000000"/>
          <w:kern w:val="1"/>
          <w:szCs w:val="24"/>
          <w:lang w:val="en-US"/>
        </w:rPr>
        <w:drawing>
          <wp:inline distT="0" distB="0" distL="0" distR="0">
            <wp:extent cx="4780915" cy="3276600"/>
            <wp:effectExtent l="0" t="0" r="19685" b="19050"/>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E7185" w:rsidRDefault="00BE7185" w:rsidP="005A5E7D">
      <w:pPr>
        <w:rPr>
          <w:lang w:val="es-ES_tradnl" w:eastAsia="ar-SA"/>
        </w:rPr>
      </w:pPr>
    </w:p>
    <w:p w:rsidR="005A5E7D" w:rsidRPr="000B41CC" w:rsidRDefault="005A5E7D" w:rsidP="005A5E7D">
      <w:pPr>
        <w:rPr>
          <w:lang w:val="es-ES_tradnl" w:eastAsia="ar-SA"/>
        </w:rPr>
      </w:pPr>
      <w:r>
        <w:rPr>
          <w:lang w:val="es-ES_tradnl" w:eastAsia="ar-SA"/>
        </w:rPr>
        <w:t>Con un 49%, Dakota del Norte</w:t>
      </w:r>
      <w:r w:rsidRPr="000B41CC">
        <w:rPr>
          <w:lang w:val="es-ES_tradnl" w:eastAsia="ar-SA"/>
        </w:rPr>
        <w:t xml:space="preserve"> </w:t>
      </w:r>
      <w:r>
        <w:rPr>
          <w:lang w:val="es-ES_tradnl" w:eastAsia="ar-SA"/>
        </w:rPr>
        <w:t>fue e</w:t>
      </w:r>
      <w:r w:rsidRPr="000B41CC">
        <w:rPr>
          <w:lang w:val="es-ES_tradnl" w:eastAsia="ar-SA"/>
        </w:rPr>
        <w:t>l estado con la dependencia mayor de fuentes cont</w:t>
      </w:r>
      <w:r>
        <w:rPr>
          <w:lang w:val="es-ES_tradnl" w:eastAsia="ar-SA"/>
        </w:rPr>
        <w:t xml:space="preserve">ributivas. </w:t>
      </w:r>
      <w:r w:rsidRPr="000B41CC">
        <w:rPr>
          <w:lang w:val="es-ES_tradnl" w:eastAsia="ar-SA"/>
        </w:rPr>
        <w:t xml:space="preserve">La desviación estándar entre los estados </w:t>
      </w:r>
      <w:r>
        <w:rPr>
          <w:lang w:val="es-ES_tradnl" w:eastAsia="ar-SA"/>
        </w:rPr>
        <w:t>fue</w:t>
      </w:r>
      <w:r w:rsidRPr="000B41CC">
        <w:rPr>
          <w:lang w:val="es-ES_tradnl" w:eastAsia="ar-SA"/>
        </w:rPr>
        <w:t xml:space="preserve"> 6.4, lo que coloca a Puerto Rico 2.2 desviaciones estándares por encima del promedio </w:t>
      </w:r>
      <w:r>
        <w:rPr>
          <w:lang w:val="es-ES_tradnl" w:eastAsia="ar-SA"/>
        </w:rPr>
        <w:t>de</w:t>
      </w:r>
      <w:r w:rsidRPr="000B41CC">
        <w:rPr>
          <w:lang w:val="es-ES_tradnl" w:eastAsia="ar-SA"/>
        </w:rPr>
        <w:t xml:space="preserve"> E</w:t>
      </w:r>
      <w:r>
        <w:rPr>
          <w:lang w:val="es-ES_tradnl" w:eastAsia="ar-SA"/>
        </w:rPr>
        <w:t xml:space="preserve">stados </w:t>
      </w:r>
      <w:r w:rsidRPr="000B41CC">
        <w:rPr>
          <w:lang w:val="es-ES_tradnl" w:eastAsia="ar-SA"/>
        </w:rPr>
        <w:t>U</w:t>
      </w:r>
      <w:r>
        <w:rPr>
          <w:lang w:val="es-ES_tradnl" w:eastAsia="ar-SA"/>
        </w:rPr>
        <w:t>nidos</w:t>
      </w:r>
      <w:r w:rsidRPr="000B41CC">
        <w:rPr>
          <w:lang w:val="es-ES_tradnl" w:eastAsia="ar-SA"/>
        </w:rPr>
        <w:t xml:space="preserve">. Esto </w:t>
      </w:r>
      <w:r>
        <w:rPr>
          <w:lang w:val="es-ES_tradnl" w:eastAsia="ar-SA"/>
        </w:rPr>
        <w:t>refleja</w:t>
      </w:r>
      <w:r w:rsidRPr="000B41CC">
        <w:rPr>
          <w:lang w:val="es-ES_tradnl" w:eastAsia="ar-SA"/>
        </w:rPr>
        <w:t xml:space="preserve"> la alta dependencia que tiene la Isla de los recaudos contributivos, en comparación con el promedio para los 50 estados. </w:t>
      </w:r>
    </w:p>
    <w:p w:rsidR="005A5E7D" w:rsidRDefault="005A5E7D" w:rsidP="005A5E7D">
      <w:pPr>
        <w:rPr>
          <w:lang w:val="es-ES_tradnl" w:eastAsia="ar-SA"/>
        </w:rPr>
      </w:pPr>
      <w:r w:rsidRPr="000B41CC">
        <w:rPr>
          <w:rFonts w:eastAsia="SimSun"/>
          <w:lang w:val="es-ES_tradnl" w:eastAsia="ar-SA"/>
        </w:rPr>
        <w:t>S</w:t>
      </w:r>
      <w:r w:rsidRPr="000B41CC">
        <w:rPr>
          <w:lang w:val="es-ES_tradnl" w:eastAsia="ar-SA"/>
        </w:rPr>
        <w:t xml:space="preserve">egún se aprecia en las </w:t>
      </w:r>
      <w:r w:rsidRPr="000B41CC">
        <w:rPr>
          <w:b/>
          <w:lang w:val="es-ES_tradnl" w:eastAsia="ar-SA"/>
        </w:rPr>
        <w:t>Gráfica 5</w:t>
      </w:r>
      <w:r w:rsidRPr="00A92F10">
        <w:rPr>
          <w:lang w:val="es-ES_tradnl" w:eastAsia="ar-SA"/>
        </w:rPr>
        <w:t xml:space="preserve"> y</w:t>
      </w:r>
      <w:r w:rsidRPr="000B41CC">
        <w:rPr>
          <w:b/>
          <w:lang w:val="es-ES_tradnl" w:eastAsia="ar-SA"/>
        </w:rPr>
        <w:t xml:space="preserve"> 6</w:t>
      </w:r>
      <w:r w:rsidRPr="000B41CC">
        <w:rPr>
          <w:lang w:val="es-ES_tradnl" w:eastAsia="ar-SA"/>
        </w:rPr>
        <w:t xml:space="preserve">, mientras para los estados </w:t>
      </w:r>
      <w:r>
        <w:rPr>
          <w:lang w:val="es-ES_tradnl" w:eastAsia="ar-SA"/>
        </w:rPr>
        <w:t>los</w:t>
      </w:r>
      <w:r w:rsidRPr="000B41CC">
        <w:rPr>
          <w:lang w:val="es-ES_tradnl" w:eastAsia="ar-SA"/>
        </w:rPr>
        <w:t xml:space="preserve"> impuesto</w:t>
      </w:r>
      <w:r>
        <w:rPr>
          <w:lang w:val="es-ES_tradnl" w:eastAsia="ar-SA"/>
        </w:rPr>
        <w:t>s</w:t>
      </w:r>
      <w:r w:rsidRPr="000B41CC">
        <w:rPr>
          <w:lang w:val="es-ES_tradnl" w:eastAsia="ar-SA"/>
        </w:rPr>
        <w:t xml:space="preserve"> al consumo se ha</w:t>
      </w:r>
      <w:r>
        <w:rPr>
          <w:lang w:val="es-ES_tradnl" w:eastAsia="ar-SA"/>
        </w:rPr>
        <w:t>n</w:t>
      </w:r>
      <w:r w:rsidRPr="000B41CC">
        <w:rPr>
          <w:lang w:val="es-ES_tradnl" w:eastAsia="ar-SA"/>
        </w:rPr>
        <w:t xml:space="preserve"> mantenido como </w:t>
      </w:r>
      <w:r>
        <w:rPr>
          <w:lang w:val="es-ES_tradnl" w:eastAsia="ar-SA"/>
        </w:rPr>
        <w:t>su</w:t>
      </w:r>
      <w:r w:rsidRPr="000B41CC">
        <w:rPr>
          <w:lang w:val="es-ES_tradnl" w:eastAsia="ar-SA"/>
        </w:rPr>
        <w:t xml:space="preserve"> fuente principal de ingresos, para el fisco de Puerto Rico la fuente más importante de ingresos contributivos ha sido el impuesto sobre el ingreso. </w:t>
      </w:r>
    </w:p>
    <w:p w:rsidR="00BE7185" w:rsidRDefault="00BE7185" w:rsidP="005A5E7D">
      <w:pPr>
        <w:rPr>
          <w:lang w:val="es-ES_tradnl" w:eastAsia="ar-SA"/>
        </w:rPr>
      </w:pPr>
    </w:p>
    <w:p w:rsidR="00BE7185" w:rsidRPr="000B41CC" w:rsidRDefault="00A01D20" w:rsidP="005A5E7D">
      <w:pPr>
        <w:rPr>
          <w:lang w:val="es-ES_tradnl" w:eastAsia="ar-SA"/>
        </w:rPr>
      </w:pPr>
      <w:r>
        <w:rPr>
          <w:rFonts w:eastAsia="+mn-ea"/>
          <w:noProof/>
          <w:color w:val="000000"/>
          <w:kern w:val="1"/>
          <w:szCs w:val="24"/>
          <w:lang w:val="en-US"/>
        </w:rPr>
        <w:drawing>
          <wp:inline distT="0" distB="0" distL="0" distR="0">
            <wp:extent cx="5692877" cy="3716594"/>
            <wp:effectExtent l="0" t="0" r="22225" b="17780"/>
            <wp:docPr id="5"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A5E7D" w:rsidRPr="000B41CC" w:rsidRDefault="005A5E7D" w:rsidP="005A5E7D">
      <w:pPr>
        <w:tabs>
          <w:tab w:val="left" w:pos="180"/>
          <w:tab w:val="left" w:pos="360"/>
        </w:tabs>
        <w:suppressAutoHyphens/>
        <w:spacing w:after="120"/>
        <w:ind w:firstLine="706"/>
        <w:jc w:val="center"/>
        <w:rPr>
          <w:rFonts w:eastAsia="+mn-ea"/>
          <w:color w:val="000000"/>
          <w:kern w:val="1"/>
          <w:szCs w:val="24"/>
          <w:lang w:val="es-ES_tradnl" w:eastAsia="ar-SA"/>
        </w:rPr>
      </w:pPr>
    </w:p>
    <w:p w:rsidR="00BE7185" w:rsidRDefault="005A5E7D" w:rsidP="00A01D20">
      <w:pPr>
        <w:tabs>
          <w:tab w:val="left" w:pos="180"/>
          <w:tab w:val="left" w:pos="360"/>
        </w:tabs>
        <w:suppressAutoHyphens/>
        <w:ind w:firstLine="706"/>
        <w:rPr>
          <w:lang w:val="es-ES_tradnl"/>
        </w:rPr>
      </w:pPr>
      <w:r w:rsidRPr="000B41CC">
        <w:rPr>
          <w:lang w:val="es-ES_tradnl"/>
        </w:rPr>
        <w:tab/>
      </w:r>
    </w:p>
    <w:p w:rsidR="005A5E7D" w:rsidRPr="000B41CC" w:rsidRDefault="005A5E7D" w:rsidP="005A5E7D">
      <w:pPr>
        <w:tabs>
          <w:tab w:val="left" w:pos="180"/>
          <w:tab w:val="left" w:pos="360"/>
        </w:tabs>
        <w:suppressAutoHyphens/>
        <w:ind w:firstLine="706"/>
        <w:rPr>
          <w:rFonts w:eastAsia="+mn-ea"/>
          <w:color w:val="000000"/>
          <w:kern w:val="1"/>
          <w:szCs w:val="24"/>
          <w:lang w:val="es-ES_tradnl" w:eastAsia="ar-SA"/>
        </w:rPr>
      </w:pPr>
      <w:r>
        <w:rPr>
          <w:lang w:val="es-ES_tradnl"/>
        </w:rPr>
        <w:t>L</w:t>
      </w:r>
      <w:r w:rsidRPr="000B41CC">
        <w:rPr>
          <w:lang w:val="es-ES_tradnl"/>
        </w:rPr>
        <w:t xml:space="preserve">a </w:t>
      </w:r>
      <w:r w:rsidRPr="000B41CC">
        <w:rPr>
          <w:b/>
          <w:lang w:val="es-ES_tradnl"/>
        </w:rPr>
        <w:t>Gráfica 6</w:t>
      </w:r>
      <w:r>
        <w:rPr>
          <w:lang w:val="es-ES_tradnl"/>
        </w:rPr>
        <w:t xml:space="preserve"> muestra que</w:t>
      </w:r>
      <w:r w:rsidRPr="000B41CC">
        <w:rPr>
          <w:lang w:val="es-ES_tradnl"/>
        </w:rPr>
        <w:t xml:space="preserve"> la brecha entre la importancia relativa de las diversas fuentes contributivas para el Gobierno de Puerto Rico se h</w:t>
      </w:r>
      <w:r>
        <w:rPr>
          <w:lang w:val="es-ES_tradnl"/>
        </w:rPr>
        <w:t>a ido cerrando en el 2011. Esto</w:t>
      </w:r>
      <w:r w:rsidRPr="000B41CC">
        <w:rPr>
          <w:lang w:val="es-ES_tradnl"/>
        </w:rPr>
        <w:t xml:space="preserve"> es particularmente cierto en lo que se refiere al impuesto al consumo y el impuesto al ingreso de </w:t>
      </w:r>
      <w:r>
        <w:rPr>
          <w:lang w:val="es-ES_tradnl"/>
        </w:rPr>
        <w:t>los individuos,</w:t>
      </w:r>
      <w:r w:rsidRPr="000B41CC">
        <w:rPr>
          <w:lang w:val="es-ES_tradnl"/>
        </w:rPr>
        <w:t xml:space="preserve"> manteniéndose por encima del 15%. El aumento en la participación relativa del impuesto al consumo en Puerto Rico en el 2011 se debe a la puesta en vigor de la Ley 154 del 25 de octubre del 2010 y la Ley 1 del 31 de enero del 2011, conocida como la Reforma Contributiva del 2011. La Ley 154 impone un impuesto a las ventas a sus afiliadas de las subsidiarias de empresas extran</w:t>
      </w:r>
      <w:r>
        <w:rPr>
          <w:lang w:val="es-ES_tradnl"/>
        </w:rPr>
        <w:t>jeras que operan en Puerto Rico</w:t>
      </w:r>
      <w:r w:rsidRPr="000B41CC">
        <w:rPr>
          <w:lang w:val="es-ES_tradnl"/>
        </w:rPr>
        <w:t>. Dicho impuesto, que se contabiliza como un arbitrio, alcanzó l</w:t>
      </w:r>
      <w:r>
        <w:rPr>
          <w:lang w:val="es-ES_tradnl"/>
        </w:rPr>
        <w:t xml:space="preserve">os </w:t>
      </w:r>
      <w:r w:rsidRPr="000B41CC">
        <w:rPr>
          <w:lang w:val="es-ES_tradnl"/>
        </w:rPr>
        <w:t xml:space="preserve">$677.5 millones en el 2011 y $1,882.6 millones en el 2012. La Reforma Contributiva aplicable </w:t>
      </w:r>
      <w:r>
        <w:rPr>
          <w:lang w:val="es-ES_tradnl"/>
        </w:rPr>
        <w:t>al ingreso del año natural 2010</w:t>
      </w:r>
      <w:r w:rsidRPr="000B41CC">
        <w:rPr>
          <w:lang w:val="es-ES_tradnl"/>
        </w:rPr>
        <w:t xml:space="preserve"> redujo las tasas contributivas</w:t>
      </w:r>
      <w:r>
        <w:rPr>
          <w:lang w:val="es-ES_tradnl"/>
        </w:rPr>
        <w:t>,</w:t>
      </w:r>
      <w:r w:rsidRPr="000B41CC">
        <w:rPr>
          <w:lang w:val="es-ES_tradnl"/>
        </w:rPr>
        <w:t xml:space="preserve"> tanto para individuos como para corporaciones</w:t>
      </w:r>
      <w:r>
        <w:rPr>
          <w:lang w:val="es-ES_tradnl"/>
        </w:rPr>
        <w:t>,</w:t>
      </w:r>
      <w:r w:rsidRPr="000B41CC">
        <w:rPr>
          <w:lang w:val="es-ES_tradnl"/>
        </w:rPr>
        <w:t xml:space="preserve"> y extendió créditos contributivos</w:t>
      </w:r>
      <w:r w:rsidRPr="000B41CC">
        <w:rPr>
          <w:rFonts w:eastAsia="+mn-ea"/>
          <w:color w:val="000000"/>
          <w:kern w:val="1"/>
          <w:szCs w:val="24"/>
          <w:lang w:val="es-ES_tradnl" w:eastAsia="ar-SA"/>
        </w:rPr>
        <w:t xml:space="preserve"> </w:t>
      </w:r>
      <w:r w:rsidRPr="000B41CC">
        <w:rPr>
          <w:lang w:val="es-ES_tradnl"/>
        </w:rPr>
        <w:t>para individuos de bajos ingresos. El efecto de ambas legislaciones fue transferir la participación relativa de los recaudos de los impuestos sobre ingresos a los impuestos al consumo.</w:t>
      </w:r>
      <w:r w:rsidRPr="000B41CC">
        <w:rPr>
          <w:rFonts w:eastAsia="+mn-ea"/>
          <w:color w:val="000000"/>
          <w:kern w:val="1"/>
          <w:szCs w:val="24"/>
          <w:lang w:val="es-ES_tradnl" w:eastAsia="ar-SA"/>
        </w:rPr>
        <w:t xml:space="preserve"> </w:t>
      </w:r>
    </w:p>
    <w:p w:rsidR="005A5E7D" w:rsidRPr="000B41CC" w:rsidRDefault="0095547C" w:rsidP="005A5E7D">
      <w:pPr>
        <w:tabs>
          <w:tab w:val="left" w:pos="180"/>
          <w:tab w:val="left" w:pos="360"/>
        </w:tabs>
        <w:suppressAutoHyphens/>
        <w:ind w:firstLine="706"/>
        <w:rPr>
          <w:rFonts w:eastAsia="+mn-ea"/>
          <w:color w:val="000000"/>
          <w:kern w:val="1"/>
          <w:szCs w:val="24"/>
          <w:lang w:val="es-ES_tradnl" w:eastAsia="ar-SA"/>
        </w:rPr>
      </w:pPr>
      <w:r>
        <w:rPr>
          <w:rFonts w:eastAsia="+mn-ea"/>
          <w:noProof/>
          <w:color w:val="000000"/>
          <w:kern w:val="1"/>
          <w:szCs w:val="24"/>
          <w:lang w:val="en-US"/>
        </w:rPr>
        <w:drawing>
          <wp:inline distT="0" distB="0" distL="0" distR="0">
            <wp:extent cx="5263515" cy="3636645"/>
            <wp:effectExtent l="0" t="0" r="13335" b="20955"/>
            <wp:docPr id="6"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A5E7D" w:rsidRPr="00A92F10" w:rsidRDefault="005A5E7D" w:rsidP="005A5E7D">
      <w:pPr>
        <w:spacing w:line="240" w:lineRule="auto"/>
        <w:rPr>
          <w:rFonts w:eastAsia="+mn-ea"/>
          <w:color w:val="000000"/>
          <w:kern w:val="1"/>
          <w:sz w:val="16"/>
          <w:szCs w:val="24"/>
          <w:lang w:val="es-ES_tradnl" w:eastAsia="ar-SA"/>
        </w:rPr>
      </w:pPr>
    </w:p>
    <w:p w:rsidR="00BE7185" w:rsidRDefault="00BE7185" w:rsidP="005A5E7D">
      <w:pPr>
        <w:rPr>
          <w:lang w:val="es-ES_tradnl" w:eastAsia="ar-SA"/>
        </w:rPr>
      </w:pPr>
    </w:p>
    <w:p w:rsidR="005A5E7D" w:rsidRDefault="005A5E7D" w:rsidP="005A5E7D">
      <w:pPr>
        <w:rPr>
          <w:lang w:val="es-ES_tradnl" w:eastAsia="ar-SA"/>
        </w:rPr>
      </w:pPr>
      <w:r w:rsidRPr="000B41CC">
        <w:rPr>
          <w:lang w:val="es-ES_tradnl" w:eastAsia="ar-SA"/>
        </w:rPr>
        <w:t>Para el 2011, la participación relativa de los impuestos al consumo en el ingreso fiscal del Gobierno de Puerto Rico (16.9%) es menor que la del promedio de los 50 estados (21.1%). No obstante, dicha diferencia resultó no ser estadísticamente significativa ya que la Isla se coloca a menos de una de</w:t>
      </w:r>
      <w:r>
        <w:rPr>
          <w:lang w:val="es-ES_tradnl" w:eastAsia="ar-SA"/>
        </w:rPr>
        <w:t>s</w:t>
      </w:r>
      <w:r w:rsidRPr="000B41CC">
        <w:rPr>
          <w:lang w:val="es-ES_tradnl" w:eastAsia="ar-SA"/>
        </w:rPr>
        <w:t xml:space="preserve">viación estándar por debajo del promedio de los estados. La aportación del impuesto sobre ingresos de individuos en Puerto Rico equivale al 17% del ingreso fiscal mientras que la del promedio de los estados es 13.5%. Toda vez que el porcentaje para Puerto Rico resulta estar a menos de una desviación estándar por </w:t>
      </w:r>
      <w:r>
        <w:rPr>
          <w:lang w:val="es-ES_tradnl" w:eastAsia="ar-SA"/>
        </w:rPr>
        <w:t>encima</w:t>
      </w:r>
      <w:r w:rsidRPr="000B41CC">
        <w:rPr>
          <w:lang w:val="es-ES_tradnl" w:eastAsia="ar-SA"/>
        </w:rPr>
        <w:t xml:space="preserve"> que el de los 50 estados, no existe una diferencia significativa entre </w:t>
      </w:r>
      <w:r>
        <w:rPr>
          <w:lang w:val="es-ES_tradnl" w:eastAsia="ar-SA"/>
        </w:rPr>
        <w:t>ambos.</w:t>
      </w:r>
    </w:p>
    <w:p w:rsidR="005A5E7D" w:rsidRPr="003A21B9" w:rsidRDefault="005A5E7D" w:rsidP="005A5E7D">
      <w:pPr>
        <w:rPr>
          <w:lang w:eastAsia="ar-SA"/>
        </w:rPr>
      </w:pPr>
      <w:r w:rsidRPr="000B41CC">
        <w:rPr>
          <w:lang w:val="es-ES_tradnl" w:eastAsia="ar-SA"/>
        </w:rPr>
        <w:t>Se concluye que la única diferencia estadísticamente significativa se observa con relación al impuesto corporativo. En el 2011, el 13% de los ingresos del ELA provenían del impuesto corporativo, mientras</w:t>
      </w:r>
      <w:r>
        <w:rPr>
          <w:lang w:val="es-ES_tradnl" w:eastAsia="ar-SA"/>
        </w:rPr>
        <w:t xml:space="preserve"> que</w:t>
      </w:r>
      <w:r w:rsidRPr="000B41CC">
        <w:rPr>
          <w:lang w:val="es-ES_tradnl" w:eastAsia="ar-SA"/>
        </w:rPr>
        <w:t xml:space="preserve"> el p</w:t>
      </w:r>
      <w:r w:rsidRPr="003A21B9">
        <w:rPr>
          <w:lang w:eastAsia="ar-SA"/>
        </w:rPr>
        <w:t>romedio correspon</w:t>
      </w:r>
      <w:r>
        <w:rPr>
          <w:lang w:eastAsia="ar-SA"/>
        </w:rPr>
        <w:t xml:space="preserve">diente para los 50 estados era un </w:t>
      </w:r>
      <w:r w:rsidRPr="003A21B9">
        <w:rPr>
          <w:lang w:eastAsia="ar-SA"/>
        </w:rPr>
        <w:t>2.3%, colocando a la Isla 6.8 desviaciones estándares por encima del promedio de los estados.</w:t>
      </w:r>
      <w:r>
        <w:rPr>
          <w:lang w:eastAsia="ar-SA"/>
        </w:rPr>
        <w:t xml:space="preserve"> </w:t>
      </w:r>
      <w:r w:rsidRPr="003A21B9">
        <w:rPr>
          <w:lang w:eastAsia="ar-SA"/>
        </w:rPr>
        <w:t xml:space="preserve">Este punto es de suma importancia ya que, en aras de la competitividad, la incorporación de Puerto Rico al sistema contributivo federal requeriría un ajuste al impuesto corporativo, ya que </w:t>
      </w:r>
      <w:r>
        <w:rPr>
          <w:lang w:eastAsia="ar-SA"/>
        </w:rPr>
        <w:t xml:space="preserve">observamos que la aportación de este impuesto </w:t>
      </w:r>
      <w:r w:rsidRPr="003A21B9">
        <w:rPr>
          <w:lang w:eastAsia="ar-SA"/>
        </w:rPr>
        <w:t>a los ingresos estatales es mínima.</w:t>
      </w:r>
    </w:p>
    <w:p w:rsidR="005A5E7D" w:rsidRDefault="005A5E7D" w:rsidP="005A5E7D">
      <w:pPr>
        <w:rPr>
          <w:lang w:eastAsia="ar-SA"/>
        </w:rPr>
      </w:pPr>
      <w:r w:rsidRPr="003A21B9">
        <w:rPr>
          <w:lang w:eastAsia="ar-SA"/>
        </w:rPr>
        <w:t>Otro aspecto importante a considerar en caso de otorgarse la estadidad a Puerto Rico</w:t>
      </w:r>
      <w:r>
        <w:rPr>
          <w:lang w:eastAsia="ar-SA"/>
        </w:rPr>
        <w:t>,</w:t>
      </w:r>
      <w:r w:rsidRPr="003A21B9">
        <w:rPr>
          <w:lang w:eastAsia="ar-SA"/>
        </w:rPr>
        <w:t xml:space="preserve"> sería la aplicabilidad del arbitrio a las ventas de las corporaciones foráneas bajo la Ley 154.</w:t>
      </w:r>
      <w:r>
        <w:rPr>
          <w:lang w:eastAsia="ar-SA"/>
        </w:rPr>
        <w:t xml:space="preserve"> </w:t>
      </w:r>
      <w:r w:rsidRPr="003A21B9">
        <w:rPr>
          <w:lang w:eastAsia="ar-SA"/>
        </w:rPr>
        <w:t xml:space="preserve">El Servicio de Rentas Internas </w:t>
      </w:r>
      <w:r>
        <w:rPr>
          <w:lang w:eastAsia="ar-SA"/>
        </w:rPr>
        <w:t>(IRS, por sus siglas en inglés) f</w:t>
      </w:r>
      <w:r w:rsidRPr="003A21B9">
        <w:rPr>
          <w:lang w:eastAsia="ar-SA"/>
        </w:rPr>
        <w:t>ederal</w:t>
      </w:r>
      <w:r>
        <w:rPr>
          <w:lang w:eastAsia="ar-SA"/>
        </w:rPr>
        <w:t xml:space="preserve"> emitió una decisión preliminar, </w:t>
      </w:r>
      <w:r w:rsidRPr="003A21B9">
        <w:rPr>
          <w:lang w:eastAsia="ar-SA"/>
        </w:rPr>
        <w:t>no final</w:t>
      </w:r>
      <w:r>
        <w:rPr>
          <w:lang w:eastAsia="ar-SA"/>
        </w:rPr>
        <w:t>,</w:t>
      </w:r>
      <w:r w:rsidRPr="003A21B9">
        <w:rPr>
          <w:lang w:eastAsia="ar-SA"/>
        </w:rPr>
        <w:t xml:space="preserve"> </w:t>
      </w:r>
      <w:r>
        <w:rPr>
          <w:lang w:eastAsia="ar-SA"/>
        </w:rPr>
        <w:t xml:space="preserve">que </w:t>
      </w:r>
      <w:r w:rsidRPr="003A21B9">
        <w:rPr>
          <w:lang w:eastAsia="ar-SA"/>
        </w:rPr>
        <w:t>permit</w:t>
      </w:r>
      <w:r>
        <w:rPr>
          <w:lang w:eastAsia="ar-SA"/>
        </w:rPr>
        <w:t>e</w:t>
      </w:r>
      <w:r w:rsidRPr="003A21B9">
        <w:rPr>
          <w:lang w:eastAsia="ar-SA"/>
        </w:rPr>
        <w:t xml:space="preserve"> que el impuesto pagado en Puerto Rico pueda reclamarse como crédito a nivel federal bajo las reglas de la Sección 903 del Código de Rentas </w:t>
      </w:r>
      <w:r>
        <w:rPr>
          <w:lang w:eastAsia="ar-SA"/>
        </w:rPr>
        <w:t>Internas de Estados Unidos</w:t>
      </w:r>
      <w:r w:rsidRPr="00045B2A">
        <w:rPr>
          <w:lang w:eastAsia="ar-SA"/>
        </w:rPr>
        <w:t>.</w:t>
      </w:r>
      <w:r>
        <w:rPr>
          <w:lang w:eastAsia="ar-SA"/>
        </w:rPr>
        <w:t xml:space="preserve"> </w:t>
      </w:r>
      <w:r w:rsidRPr="00045B2A">
        <w:rPr>
          <w:lang w:eastAsia="ar-SA"/>
        </w:rPr>
        <w:t>Bajo la estadidad y en condiciones de igualdad, dicho impuesto se tendría que reestructurar o eliminar</w:t>
      </w:r>
      <w:r>
        <w:rPr>
          <w:lang w:eastAsia="ar-SA"/>
        </w:rPr>
        <w:t>,</w:t>
      </w:r>
      <w:r w:rsidRPr="00045B2A">
        <w:rPr>
          <w:lang w:eastAsia="ar-SA"/>
        </w:rPr>
        <w:t xml:space="preserve"> ya que las corporaciones </w:t>
      </w:r>
      <w:r>
        <w:rPr>
          <w:lang w:eastAsia="ar-SA"/>
        </w:rPr>
        <w:t>estadounidenses</w:t>
      </w:r>
      <w:r w:rsidRPr="00045B2A">
        <w:rPr>
          <w:lang w:eastAsia="ar-SA"/>
        </w:rPr>
        <w:t xml:space="preserve"> dejarían de considerarse corporaciones foráneas.</w:t>
      </w:r>
    </w:p>
    <w:p w:rsidR="00AB0E30" w:rsidRDefault="00AB0E30" w:rsidP="005A5E7D">
      <w:pPr>
        <w:pStyle w:val="Heading2"/>
        <w:numPr>
          <w:ilvl w:val="0"/>
          <w:numId w:val="0"/>
        </w:numPr>
      </w:pPr>
    </w:p>
    <w:p w:rsidR="005A5E7D" w:rsidRPr="00CC0CA3" w:rsidRDefault="005A5E7D" w:rsidP="005A5E7D">
      <w:pPr>
        <w:pStyle w:val="Heading2"/>
        <w:numPr>
          <w:ilvl w:val="0"/>
          <w:numId w:val="0"/>
        </w:numPr>
      </w:pPr>
      <w:bookmarkStart w:id="55" w:name="_Toc384769750"/>
      <w:r w:rsidRPr="00CC0CA3">
        <w:t xml:space="preserve">C. Comparación de la </w:t>
      </w:r>
      <w:r>
        <w:t>c</w:t>
      </w:r>
      <w:r w:rsidRPr="00CC0CA3">
        <w:t xml:space="preserve">arga </w:t>
      </w:r>
      <w:r>
        <w:t>t</w:t>
      </w:r>
      <w:r w:rsidRPr="00CC0CA3">
        <w:t>ributaria</w:t>
      </w:r>
      <w:bookmarkEnd w:id="55"/>
    </w:p>
    <w:p w:rsidR="005A5E7D" w:rsidRDefault="005A5E7D" w:rsidP="005A5E7D">
      <w:pPr>
        <w:spacing w:line="360" w:lineRule="auto"/>
        <w:rPr>
          <w:lang w:eastAsia="ar-SA"/>
        </w:rPr>
      </w:pPr>
    </w:p>
    <w:p w:rsidR="005A5E7D" w:rsidRDefault="005A5E7D" w:rsidP="005A5E7D">
      <w:pPr>
        <w:rPr>
          <w:lang w:eastAsia="ar-SA"/>
        </w:rPr>
      </w:pPr>
      <w:r w:rsidRPr="003A21B9">
        <w:rPr>
          <w:lang w:eastAsia="ar-SA"/>
        </w:rPr>
        <w:t xml:space="preserve">Para evaluar los posibles cambios al sistema contributivo bajo la estadidad, es importante comparar la carga económica que representan los impuestos estatales a sus residentes con la carga económica que implican las contribuciones que impone el </w:t>
      </w:r>
      <w:r>
        <w:rPr>
          <w:lang w:eastAsia="ar-SA"/>
        </w:rPr>
        <w:t>Gobierno</w:t>
      </w:r>
      <w:r w:rsidRPr="003A21B9">
        <w:rPr>
          <w:lang w:eastAsia="ar-SA"/>
        </w:rPr>
        <w:t xml:space="preserve"> de Puerto Rico a </w:t>
      </w:r>
      <w:r>
        <w:rPr>
          <w:lang w:eastAsia="ar-SA"/>
        </w:rPr>
        <w:t>su</w:t>
      </w:r>
      <w:r w:rsidRPr="003A21B9">
        <w:rPr>
          <w:lang w:eastAsia="ar-SA"/>
        </w:rPr>
        <w:t>s residentes.</w:t>
      </w:r>
      <w:r w:rsidRPr="003A21B9">
        <w:rPr>
          <w:vertAlign w:val="superscript"/>
          <w:lang w:eastAsia="ar-SA"/>
        </w:rPr>
        <w:footnoteReference w:id="29"/>
      </w:r>
      <w:r>
        <w:rPr>
          <w:lang w:eastAsia="ar-SA"/>
        </w:rPr>
        <w:t xml:space="preserve"> </w:t>
      </w:r>
      <w:r w:rsidRPr="003A21B9">
        <w:rPr>
          <w:lang w:eastAsia="ar-SA"/>
        </w:rPr>
        <w:t>Dicha carga económica es lo que se conoce como la carga tributaria.</w:t>
      </w:r>
      <w:r>
        <w:rPr>
          <w:lang w:eastAsia="ar-SA"/>
        </w:rPr>
        <w:t xml:space="preserve"> </w:t>
      </w:r>
      <w:r w:rsidRPr="003A21B9">
        <w:rPr>
          <w:lang w:eastAsia="ar-SA"/>
        </w:rPr>
        <w:t>Entre las</w:t>
      </w:r>
      <w:r>
        <w:rPr>
          <w:lang w:eastAsia="ar-SA"/>
        </w:rPr>
        <w:t xml:space="preserve"> </w:t>
      </w:r>
      <w:r w:rsidRPr="003A21B9">
        <w:rPr>
          <w:lang w:eastAsia="ar-SA"/>
        </w:rPr>
        <w:t>medidas que han sido utilizadas para comparar la carga tributaria de los impuestos estatales versus la del sistema contributivo de</w:t>
      </w:r>
      <w:r>
        <w:rPr>
          <w:lang w:eastAsia="ar-SA"/>
        </w:rPr>
        <w:t xml:space="preserve"> </w:t>
      </w:r>
      <w:r w:rsidRPr="003A21B9">
        <w:rPr>
          <w:lang w:eastAsia="ar-SA"/>
        </w:rPr>
        <w:t>Puerto Rico, se encuentran: impuestos</w:t>
      </w:r>
      <w:r>
        <w:rPr>
          <w:lang w:eastAsia="ar-SA"/>
        </w:rPr>
        <w:t xml:space="preserve"> per cápita, impuestos totales con relación al producto interno b</w:t>
      </w:r>
      <w:r w:rsidRPr="003A21B9">
        <w:rPr>
          <w:lang w:eastAsia="ar-SA"/>
        </w:rPr>
        <w:t>ruto</w:t>
      </w:r>
      <w:r>
        <w:rPr>
          <w:lang w:eastAsia="ar-SA"/>
        </w:rPr>
        <w:t xml:space="preserve"> (PIB)</w:t>
      </w:r>
      <w:r w:rsidRPr="003A21B9">
        <w:rPr>
          <w:lang w:eastAsia="ar-SA"/>
        </w:rPr>
        <w:t>, im</w:t>
      </w:r>
      <w:r>
        <w:rPr>
          <w:lang w:eastAsia="ar-SA"/>
        </w:rPr>
        <w:t>puestos totales con relación al producto nacional b</w:t>
      </w:r>
      <w:r w:rsidRPr="003A21B9">
        <w:rPr>
          <w:lang w:eastAsia="ar-SA"/>
        </w:rPr>
        <w:t>ruto</w:t>
      </w:r>
      <w:r>
        <w:rPr>
          <w:lang w:eastAsia="ar-SA"/>
        </w:rPr>
        <w:t xml:space="preserve"> (PNB)</w:t>
      </w:r>
      <w:r w:rsidRPr="003A21B9">
        <w:rPr>
          <w:lang w:eastAsia="ar-SA"/>
        </w:rPr>
        <w:t xml:space="preserve"> e impue</w:t>
      </w:r>
      <w:r>
        <w:rPr>
          <w:lang w:eastAsia="ar-SA"/>
        </w:rPr>
        <w:t>stos per cápita con relación al i</w:t>
      </w:r>
      <w:r w:rsidRPr="003A21B9">
        <w:rPr>
          <w:lang w:eastAsia="ar-SA"/>
        </w:rPr>
        <w:t>ngr</w:t>
      </w:r>
      <w:r>
        <w:rPr>
          <w:lang w:eastAsia="ar-SA"/>
        </w:rPr>
        <w:t>eso p</w:t>
      </w:r>
      <w:r w:rsidRPr="003A21B9">
        <w:rPr>
          <w:lang w:eastAsia="ar-SA"/>
        </w:rPr>
        <w:t>ersonal per cápita.</w:t>
      </w:r>
    </w:p>
    <w:p w:rsidR="005A5E7D" w:rsidRPr="003A21B9" w:rsidRDefault="005A5E7D" w:rsidP="005A5E7D">
      <w:pPr>
        <w:rPr>
          <w:lang w:eastAsia="ar-SA"/>
        </w:rPr>
      </w:pPr>
      <w:r>
        <w:rPr>
          <w:lang w:eastAsia="ar-SA"/>
        </w:rPr>
        <w:t>N</w:t>
      </w:r>
      <w:r w:rsidRPr="003A21B9">
        <w:rPr>
          <w:lang w:eastAsia="ar-SA"/>
        </w:rPr>
        <w:t>os dimos a la tarea de estimar dichas medidas para los 50 estados y para Puerto Rico</w:t>
      </w:r>
      <w:r>
        <w:rPr>
          <w:lang w:eastAsia="ar-SA"/>
        </w:rPr>
        <w:t xml:space="preserve"> p</w:t>
      </w:r>
      <w:r w:rsidRPr="003A21B9">
        <w:rPr>
          <w:lang w:eastAsia="ar-SA"/>
        </w:rPr>
        <w:t>ara llegar a nuestras conclusiones sobre la incidencia de ambos sistemas contributivos.</w:t>
      </w:r>
      <w:r>
        <w:rPr>
          <w:lang w:eastAsia="ar-SA"/>
        </w:rPr>
        <w:t xml:space="preserve"> </w:t>
      </w:r>
      <w:r w:rsidRPr="003A21B9">
        <w:rPr>
          <w:lang w:eastAsia="ar-SA"/>
        </w:rPr>
        <w:t>Para este análisis nos concentramos en los impuestos estatales</w:t>
      </w:r>
      <w:r>
        <w:rPr>
          <w:lang w:eastAsia="ar-SA"/>
        </w:rPr>
        <w:t>,</w:t>
      </w:r>
      <w:r w:rsidRPr="003A21B9">
        <w:rPr>
          <w:lang w:eastAsia="ar-SA"/>
        </w:rPr>
        <w:t xml:space="preserve"> aunque sin perder de vista que </w:t>
      </w:r>
      <w:r w:rsidRPr="008B456C">
        <w:t>—</w:t>
      </w:r>
      <w:r w:rsidRPr="003A21B9">
        <w:rPr>
          <w:lang w:eastAsia="ar-SA"/>
        </w:rPr>
        <w:t xml:space="preserve">adicional a la carga tributaria del </w:t>
      </w:r>
      <w:r>
        <w:rPr>
          <w:lang w:eastAsia="ar-SA"/>
        </w:rPr>
        <w:t>gobierno</w:t>
      </w:r>
      <w:r w:rsidRPr="003A21B9">
        <w:rPr>
          <w:lang w:eastAsia="ar-SA"/>
        </w:rPr>
        <w:t xml:space="preserve"> estatal</w:t>
      </w:r>
      <w:r w:rsidRPr="008B456C">
        <w:t>—</w:t>
      </w:r>
      <w:r w:rsidRPr="003A21B9">
        <w:rPr>
          <w:lang w:eastAsia="ar-SA"/>
        </w:rPr>
        <w:t xml:space="preserve"> los residentes de los estados están sujetos a una carga aún mayor de impuestos a nivel federal;</w:t>
      </w:r>
      <w:r>
        <w:rPr>
          <w:lang w:eastAsia="ar-SA"/>
        </w:rPr>
        <w:t xml:space="preserve"> </w:t>
      </w:r>
      <w:r w:rsidRPr="003A21B9">
        <w:rPr>
          <w:lang w:eastAsia="ar-SA"/>
        </w:rPr>
        <w:t>mientras que la carga de la tributación federal para los residentes de Puerto Rico es mucho menor.</w:t>
      </w:r>
      <w:r w:rsidRPr="003A21B9">
        <w:rPr>
          <w:vertAlign w:val="superscript"/>
          <w:lang w:eastAsia="ar-SA"/>
        </w:rPr>
        <w:footnoteReference w:id="30"/>
      </w:r>
      <w:r>
        <w:rPr>
          <w:lang w:eastAsia="ar-SA"/>
        </w:rPr>
        <w:t xml:space="preserve"> </w:t>
      </w:r>
    </w:p>
    <w:p w:rsidR="005A5E7D" w:rsidRDefault="005A5E7D" w:rsidP="005A5E7D">
      <w:pPr>
        <w:rPr>
          <w:lang w:eastAsia="ar-SA"/>
        </w:rPr>
      </w:pPr>
      <w:r>
        <w:rPr>
          <w:lang w:eastAsia="ar-SA"/>
        </w:rPr>
        <w:t>E</w:t>
      </w:r>
      <w:r w:rsidRPr="003A21B9">
        <w:rPr>
          <w:lang w:eastAsia="ar-SA"/>
        </w:rPr>
        <w:t xml:space="preserve">n la </w:t>
      </w:r>
      <w:r w:rsidRPr="003A21B9">
        <w:rPr>
          <w:b/>
          <w:lang w:eastAsia="ar-SA"/>
        </w:rPr>
        <w:t xml:space="preserve">Gráfica 7 </w:t>
      </w:r>
      <w:r>
        <w:rPr>
          <w:lang w:eastAsia="ar-SA"/>
        </w:rPr>
        <w:t xml:space="preserve">se comprueba </w:t>
      </w:r>
      <w:r w:rsidRPr="003A21B9">
        <w:rPr>
          <w:lang w:eastAsia="ar-SA"/>
        </w:rPr>
        <w:t>que, aunque ambas series siguen una tendencia</w:t>
      </w:r>
      <w:r>
        <w:rPr>
          <w:lang w:eastAsia="ar-SA"/>
        </w:rPr>
        <w:t xml:space="preserve"> </w:t>
      </w:r>
      <w:r w:rsidRPr="003A21B9">
        <w:rPr>
          <w:lang w:eastAsia="ar-SA"/>
        </w:rPr>
        <w:t>similar,</w:t>
      </w:r>
      <w:r>
        <w:rPr>
          <w:lang w:eastAsia="ar-SA"/>
        </w:rPr>
        <w:t xml:space="preserve"> </w:t>
      </w:r>
      <w:r w:rsidRPr="003A21B9">
        <w:rPr>
          <w:lang w:eastAsia="ar-SA"/>
        </w:rPr>
        <w:t>históricamente el impuesto estatal per cápita promedio para los 50 estados ha estado por encima del valor correspondiente para Puerto Rico.</w:t>
      </w:r>
      <w:r>
        <w:rPr>
          <w:lang w:eastAsia="ar-SA"/>
        </w:rPr>
        <w:t xml:space="preserve"> </w:t>
      </w:r>
      <w:r w:rsidRPr="003A21B9">
        <w:rPr>
          <w:lang w:eastAsia="ar-SA"/>
        </w:rPr>
        <w:t>La brecha entre las series se ha agrandado significativamente a partir del 2007.</w:t>
      </w:r>
      <w:r>
        <w:rPr>
          <w:lang w:eastAsia="ar-SA"/>
        </w:rPr>
        <w:t xml:space="preserve"> </w:t>
      </w:r>
      <w:r w:rsidRPr="003A21B9">
        <w:rPr>
          <w:lang w:eastAsia="ar-SA"/>
        </w:rPr>
        <w:t xml:space="preserve">Dicha tendencia es cónsona con la diminución en los ingresos fiscales en Puerto Rico </w:t>
      </w:r>
      <w:r>
        <w:rPr>
          <w:lang w:eastAsia="ar-SA"/>
        </w:rPr>
        <w:t>durante</w:t>
      </w:r>
      <w:r w:rsidRPr="003A21B9">
        <w:rPr>
          <w:lang w:eastAsia="ar-SA"/>
        </w:rPr>
        <w:t xml:space="preserve"> el período recesionario actual</w:t>
      </w:r>
      <w:r>
        <w:rPr>
          <w:lang w:eastAsia="ar-SA"/>
        </w:rPr>
        <w:t>.</w:t>
      </w:r>
    </w:p>
    <w:p w:rsidR="00D32F91" w:rsidRDefault="00D32F91" w:rsidP="00D32F91">
      <w:pPr>
        <w:rPr>
          <w:lang w:eastAsia="ar-SA"/>
        </w:rPr>
      </w:pPr>
      <w:r>
        <w:rPr>
          <w:lang w:eastAsia="ar-SA"/>
        </w:rPr>
        <w:t>E</w:t>
      </w:r>
      <w:r w:rsidRPr="003A21B9">
        <w:rPr>
          <w:lang w:eastAsia="ar-SA"/>
        </w:rPr>
        <w:t>l impuesto estatal per cápita promedio para los 50 estados fue $2,641</w:t>
      </w:r>
      <w:r>
        <w:rPr>
          <w:lang w:eastAsia="ar-SA"/>
        </w:rPr>
        <w:t xml:space="preserve"> en</w:t>
      </w:r>
      <w:r w:rsidRPr="003A21B9">
        <w:rPr>
          <w:lang w:eastAsia="ar-SA"/>
        </w:rPr>
        <w:t xml:space="preserve"> 2011, con una desviación estándar de $1,072, mientras el impuesto per cápita para Puerto Rico fue $1,986.</w:t>
      </w:r>
      <w:r>
        <w:rPr>
          <w:lang w:eastAsia="ar-SA"/>
        </w:rPr>
        <w:t xml:space="preserve"> </w:t>
      </w:r>
      <w:r w:rsidRPr="003A21B9">
        <w:rPr>
          <w:lang w:eastAsia="ar-SA"/>
        </w:rPr>
        <w:t>Valga señalar que esta medida es muy sensitiva a la estructura fiscal de los estados y un análisis exhaustivo sobre este tema debería abarcar un espectro más amplio, comparando a Puerto Rico con todo</w:t>
      </w:r>
      <w:r>
        <w:rPr>
          <w:lang w:eastAsia="ar-SA"/>
        </w:rPr>
        <w:t>s y cada uno de los 50 estados.</w:t>
      </w:r>
    </w:p>
    <w:p w:rsidR="00D32F91" w:rsidRPr="003A21B9" w:rsidRDefault="00D32F91" w:rsidP="005A5E7D">
      <w:pPr>
        <w:rPr>
          <w:lang w:eastAsia="ar-SA"/>
        </w:rPr>
      </w:pPr>
    </w:p>
    <w:p w:rsidR="005A5E7D" w:rsidRPr="003A21B9" w:rsidRDefault="0095547C" w:rsidP="005A5E7D">
      <w:pPr>
        <w:tabs>
          <w:tab w:val="left" w:pos="180"/>
          <w:tab w:val="left" w:pos="360"/>
        </w:tabs>
        <w:suppressAutoHyphens/>
        <w:spacing w:after="120"/>
        <w:ind w:firstLine="706"/>
        <w:jc w:val="center"/>
        <w:rPr>
          <w:rFonts w:eastAsia="+mn-ea"/>
          <w:color w:val="000000"/>
          <w:kern w:val="1"/>
          <w:szCs w:val="24"/>
          <w:lang w:eastAsia="ar-SA"/>
        </w:rPr>
      </w:pPr>
      <w:r>
        <w:rPr>
          <w:rFonts w:eastAsia="+mn-ea"/>
          <w:noProof/>
          <w:color w:val="000000"/>
          <w:kern w:val="1"/>
          <w:szCs w:val="24"/>
          <w:lang w:val="en-US"/>
        </w:rPr>
        <w:drawing>
          <wp:inline distT="0" distB="0" distL="0" distR="0">
            <wp:extent cx="4300855" cy="3034665"/>
            <wp:effectExtent l="0" t="0" r="23495" b="13335"/>
            <wp:docPr id="7"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E7185" w:rsidRDefault="00BE7185" w:rsidP="005A5E7D">
      <w:pPr>
        <w:rPr>
          <w:lang w:eastAsia="ar-SA"/>
        </w:rPr>
      </w:pPr>
    </w:p>
    <w:p w:rsidR="005A5E7D" w:rsidRDefault="005A5E7D" w:rsidP="005A5E7D">
      <w:pPr>
        <w:rPr>
          <w:lang w:eastAsia="ar-SA"/>
        </w:rPr>
      </w:pPr>
      <w:r w:rsidRPr="003A21B9">
        <w:rPr>
          <w:lang w:eastAsia="ar-SA"/>
        </w:rPr>
        <w:t>A manera de ejemplo, Flori</w:t>
      </w:r>
      <w:r>
        <w:rPr>
          <w:lang w:eastAsia="ar-SA"/>
        </w:rPr>
        <w:t>da, Texas, Wyoming y Washington</w:t>
      </w:r>
      <w:r w:rsidRPr="003A21B9">
        <w:rPr>
          <w:lang w:eastAsia="ar-SA"/>
        </w:rPr>
        <w:t xml:space="preserve"> no imponen tributos sobre el ingreso y dependen fundamentalmente del impuesto al consumo para sus operaciones estatales.</w:t>
      </w:r>
      <w:r>
        <w:rPr>
          <w:lang w:eastAsia="ar-SA"/>
        </w:rPr>
        <w:t xml:space="preserve"> </w:t>
      </w:r>
      <w:r w:rsidRPr="003A21B9">
        <w:rPr>
          <w:lang w:eastAsia="ar-SA"/>
        </w:rPr>
        <w:t>Nevada, por su parte, depende significativamente de los impuestos a la industria del juego.</w:t>
      </w:r>
      <w:r>
        <w:rPr>
          <w:lang w:eastAsia="ar-SA"/>
        </w:rPr>
        <w:t xml:space="preserve"> </w:t>
      </w:r>
      <w:r w:rsidRPr="003A21B9">
        <w:rPr>
          <w:lang w:eastAsia="ar-SA"/>
        </w:rPr>
        <w:t>Alaska también se comporta de manera particular</w:t>
      </w:r>
      <w:r>
        <w:rPr>
          <w:lang w:eastAsia="ar-SA"/>
        </w:rPr>
        <w:t>,</w:t>
      </w:r>
      <w:r w:rsidRPr="003A21B9">
        <w:rPr>
          <w:lang w:eastAsia="ar-SA"/>
        </w:rPr>
        <w:t xml:space="preserve"> debido a la compo</w:t>
      </w:r>
      <w:r>
        <w:rPr>
          <w:lang w:eastAsia="ar-SA"/>
        </w:rPr>
        <w:t>sición de sus ingresos fiscales. M</w:t>
      </w:r>
      <w:r w:rsidRPr="003A21B9">
        <w:rPr>
          <w:lang w:eastAsia="ar-SA"/>
        </w:rPr>
        <w:t xml:space="preserve">ás del 50% de </w:t>
      </w:r>
      <w:r>
        <w:rPr>
          <w:lang w:eastAsia="ar-SA"/>
        </w:rPr>
        <w:t>lo</w:t>
      </w:r>
      <w:r w:rsidRPr="003A21B9">
        <w:rPr>
          <w:lang w:eastAsia="ar-SA"/>
        </w:rPr>
        <w:t xml:space="preserve">s ingresos </w:t>
      </w:r>
      <w:r>
        <w:rPr>
          <w:lang w:eastAsia="ar-SA"/>
        </w:rPr>
        <w:t xml:space="preserve">de </w:t>
      </w:r>
      <w:r w:rsidRPr="003A21B9">
        <w:rPr>
          <w:lang w:eastAsia="ar-SA"/>
        </w:rPr>
        <w:t xml:space="preserve">Alaska </w:t>
      </w:r>
      <w:r>
        <w:rPr>
          <w:lang w:eastAsia="ar-SA"/>
        </w:rPr>
        <w:t xml:space="preserve">son de fuentes no contributivas, y el 53% de su </w:t>
      </w:r>
      <w:r w:rsidRPr="003A21B9">
        <w:rPr>
          <w:lang w:eastAsia="ar-SA"/>
        </w:rPr>
        <w:t>ingreso contributivo proviene de otras contribuciones que no son sobre la propiedad, ventas o ingreso.</w:t>
      </w:r>
      <w:r>
        <w:rPr>
          <w:lang w:eastAsia="ar-SA"/>
        </w:rPr>
        <w:t xml:space="preserve"> </w:t>
      </w:r>
      <w:r w:rsidRPr="003A21B9">
        <w:rPr>
          <w:lang w:eastAsia="ar-SA"/>
        </w:rPr>
        <w:t>Esta peculiaridad está relacionada a los impuestos y regalías que recib</w:t>
      </w:r>
      <w:r>
        <w:rPr>
          <w:lang w:eastAsia="ar-SA"/>
        </w:rPr>
        <w:t>e de la industria del petróleo.</w:t>
      </w:r>
    </w:p>
    <w:p w:rsidR="005A5E7D" w:rsidRPr="003A21B9" w:rsidRDefault="005A5E7D" w:rsidP="005A5E7D">
      <w:pPr>
        <w:rPr>
          <w:lang w:eastAsia="ar-SA"/>
        </w:rPr>
      </w:pPr>
      <w:r w:rsidRPr="003A21B9">
        <w:rPr>
          <w:lang w:eastAsia="ar-SA"/>
        </w:rPr>
        <w:t>Dada la desviación estándar observada en el impuesto per cápita entre los estados, el valor para Puerto Rico no es significativamente distinto al promedio de los estados.</w:t>
      </w:r>
      <w:r>
        <w:rPr>
          <w:lang w:eastAsia="ar-SA"/>
        </w:rPr>
        <w:t xml:space="preserve"> </w:t>
      </w:r>
      <w:r w:rsidRPr="003A21B9">
        <w:rPr>
          <w:lang w:eastAsia="ar-SA"/>
        </w:rPr>
        <w:t>El estado con el impuesto per cápita más bajo es Georgia con $1,631, mientras el valor mayor correspondió a Alaska con $7,650.</w:t>
      </w:r>
      <w:r>
        <w:rPr>
          <w:lang w:eastAsia="ar-SA"/>
        </w:rPr>
        <w:t xml:space="preserve"> </w:t>
      </w:r>
    </w:p>
    <w:p w:rsidR="005A5E7D" w:rsidRPr="003A21B9" w:rsidRDefault="005A5E7D" w:rsidP="005A5E7D">
      <w:pPr>
        <w:rPr>
          <w:lang w:eastAsia="ar-SA"/>
        </w:rPr>
      </w:pPr>
      <w:r w:rsidRPr="003A21B9">
        <w:rPr>
          <w:lang w:eastAsia="ar-SA"/>
        </w:rPr>
        <w:t>Una mejor medida de la carga tributaria</w:t>
      </w:r>
      <w:r>
        <w:rPr>
          <w:lang w:eastAsia="ar-SA"/>
        </w:rPr>
        <w:t xml:space="preserve"> </w:t>
      </w:r>
      <w:r w:rsidRPr="003A21B9">
        <w:rPr>
          <w:lang w:eastAsia="ar-SA"/>
        </w:rPr>
        <w:t xml:space="preserve">de los impuestos estatales es el total de impuestos cobrados por el estado como </w:t>
      </w:r>
      <w:r>
        <w:rPr>
          <w:lang w:eastAsia="ar-SA"/>
        </w:rPr>
        <w:t>porcentaje</w:t>
      </w:r>
      <w:r w:rsidRPr="003A21B9">
        <w:rPr>
          <w:lang w:eastAsia="ar-SA"/>
        </w:rPr>
        <w:t xml:space="preserve"> del </w:t>
      </w:r>
      <w:r>
        <w:rPr>
          <w:lang w:eastAsia="ar-SA"/>
        </w:rPr>
        <w:t>PIB; l</w:t>
      </w:r>
      <w:r w:rsidRPr="003A21B9">
        <w:rPr>
          <w:lang w:eastAsia="ar-SA"/>
        </w:rPr>
        <w:t>a tendencia histórica de esta</w:t>
      </w:r>
      <w:r>
        <w:rPr>
          <w:lang w:eastAsia="ar-SA"/>
        </w:rPr>
        <w:t xml:space="preserve"> </w:t>
      </w:r>
      <w:r w:rsidRPr="003A21B9">
        <w:rPr>
          <w:lang w:eastAsia="ar-SA"/>
        </w:rPr>
        <w:t xml:space="preserve">medida se presenta en la </w:t>
      </w:r>
      <w:r w:rsidRPr="003A21B9">
        <w:rPr>
          <w:b/>
          <w:lang w:eastAsia="ar-SA"/>
        </w:rPr>
        <w:t>Gráfica</w:t>
      </w:r>
      <w:r w:rsidRPr="003A21B9">
        <w:rPr>
          <w:lang w:eastAsia="ar-SA"/>
        </w:rPr>
        <w:t xml:space="preserve"> </w:t>
      </w:r>
      <w:r w:rsidRPr="003A21B9">
        <w:rPr>
          <w:b/>
          <w:lang w:eastAsia="ar-SA"/>
        </w:rPr>
        <w:t>8</w:t>
      </w:r>
      <w:r w:rsidRPr="00C74496">
        <w:rPr>
          <w:lang w:eastAsia="ar-SA"/>
        </w:rPr>
        <w:t>.</w:t>
      </w:r>
      <w:r>
        <w:rPr>
          <w:b/>
          <w:lang w:eastAsia="ar-SA"/>
        </w:rPr>
        <w:t xml:space="preserve"> </w:t>
      </w:r>
      <w:r w:rsidRPr="003A21B9">
        <w:rPr>
          <w:lang w:eastAsia="ar-SA"/>
        </w:rPr>
        <w:t>En el caso de P</w:t>
      </w:r>
      <w:r>
        <w:rPr>
          <w:lang w:eastAsia="ar-SA"/>
        </w:rPr>
        <w:t xml:space="preserve">uerto Rico, debido a la brecha entre </w:t>
      </w:r>
      <w:r w:rsidRPr="003A21B9">
        <w:rPr>
          <w:lang w:eastAsia="ar-SA"/>
        </w:rPr>
        <w:t xml:space="preserve">el </w:t>
      </w:r>
      <w:r>
        <w:rPr>
          <w:lang w:eastAsia="ar-SA"/>
        </w:rPr>
        <w:t>PIB</w:t>
      </w:r>
      <w:r w:rsidRPr="003A21B9">
        <w:rPr>
          <w:lang w:eastAsia="ar-SA"/>
        </w:rPr>
        <w:t xml:space="preserve"> </w:t>
      </w:r>
      <w:r>
        <w:rPr>
          <w:lang w:eastAsia="ar-SA"/>
        </w:rPr>
        <w:t>y el</w:t>
      </w:r>
      <w:r w:rsidRPr="003A21B9">
        <w:rPr>
          <w:lang w:eastAsia="ar-SA"/>
        </w:rPr>
        <w:t xml:space="preserve"> </w:t>
      </w:r>
      <w:r>
        <w:rPr>
          <w:lang w:eastAsia="ar-SA"/>
        </w:rPr>
        <w:t>PNB</w:t>
      </w:r>
      <w:r w:rsidRPr="003A21B9">
        <w:rPr>
          <w:lang w:eastAsia="ar-SA"/>
        </w:rPr>
        <w:t>, se calcul</w:t>
      </w:r>
      <w:r>
        <w:rPr>
          <w:lang w:eastAsia="ar-SA"/>
        </w:rPr>
        <w:t>ó</w:t>
      </w:r>
      <w:r w:rsidRPr="003A21B9">
        <w:rPr>
          <w:lang w:eastAsia="ar-SA"/>
        </w:rPr>
        <w:t xml:space="preserve"> el indicador utilizando como base ambas medidas de ingreso nacional.</w:t>
      </w:r>
      <w:r>
        <w:rPr>
          <w:lang w:eastAsia="ar-SA"/>
        </w:rPr>
        <w:t xml:space="preserve"> </w:t>
      </w:r>
      <w:r w:rsidRPr="003A21B9">
        <w:rPr>
          <w:lang w:eastAsia="ar-SA"/>
        </w:rPr>
        <w:t>Se advierte que el PNB es una mejor medida de la capacidad económica de los residentes de Puerto Rico</w:t>
      </w:r>
      <w:r>
        <w:rPr>
          <w:lang w:eastAsia="ar-SA"/>
        </w:rPr>
        <w:t>,</w:t>
      </w:r>
      <w:r w:rsidRPr="003A21B9">
        <w:rPr>
          <w:lang w:eastAsia="ar-SA"/>
        </w:rPr>
        <w:t xml:space="preserve"> ya que nos indica el valor añadido de la producción que se queda en la Isla, a diferencia del PIB que mide el valor </w:t>
      </w:r>
      <w:r>
        <w:rPr>
          <w:lang w:eastAsia="ar-SA"/>
        </w:rPr>
        <w:t xml:space="preserve">total </w:t>
      </w:r>
      <w:r w:rsidRPr="003A21B9">
        <w:rPr>
          <w:lang w:eastAsia="ar-SA"/>
        </w:rPr>
        <w:t>de la producción genera</w:t>
      </w:r>
      <w:r>
        <w:rPr>
          <w:lang w:eastAsia="ar-SA"/>
        </w:rPr>
        <w:t>da</w:t>
      </w:r>
      <w:r w:rsidRPr="003A21B9">
        <w:rPr>
          <w:lang w:eastAsia="ar-SA"/>
        </w:rPr>
        <w:t>.</w:t>
      </w:r>
      <w:r>
        <w:rPr>
          <w:lang w:eastAsia="ar-SA"/>
        </w:rPr>
        <w:t xml:space="preserve"> </w:t>
      </w:r>
    </w:p>
    <w:p w:rsidR="005A5E7D" w:rsidRPr="003A21B9" w:rsidRDefault="005A5E7D" w:rsidP="005A5E7D">
      <w:pPr>
        <w:rPr>
          <w:lang w:eastAsia="ar-SA"/>
        </w:rPr>
      </w:pPr>
      <w:r>
        <w:rPr>
          <w:lang w:eastAsia="ar-SA"/>
        </w:rPr>
        <w:t>L</w:t>
      </w:r>
      <w:r w:rsidRPr="003A21B9">
        <w:rPr>
          <w:lang w:eastAsia="ar-SA"/>
        </w:rPr>
        <w:t>a carga tributaria en Puerto Rico con relación al PIB en el 1992 era casi el doble del prome</w:t>
      </w:r>
      <w:r>
        <w:rPr>
          <w:lang w:eastAsia="ar-SA"/>
        </w:rPr>
        <w:t xml:space="preserve">dio para los estados. </w:t>
      </w:r>
      <w:r w:rsidRPr="003A21B9">
        <w:rPr>
          <w:lang w:eastAsia="ar-SA"/>
        </w:rPr>
        <w:t>Aunque la diferencia disminuye a través del tiempo, la carga tributaria sigue siendo mayor en Puerto Rico.</w:t>
      </w:r>
      <w:r>
        <w:rPr>
          <w:lang w:eastAsia="ar-SA"/>
        </w:rPr>
        <w:t xml:space="preserve"> T</w:t>
      </w:r>
      <w:r w:rsidRPr="003A21B9">
        <w:rPr>
          <w:lang w:eastAsia="ar-SA"/>
        </w:rPr>
        <w:t>oma</w:t>
      </w:r>
      <w:r>
        <w:rPr>
          <w:lang w:eastAsia="ar-SA"/>
        </w:rPr>
        <w:t xml:space="preserve">ndo </w:t>
      </w:r>
      <w:r w:rsidRPr="003A21B9">
        <w:rPr>
          <w:lang w:eastAsia="ar-SA"/>
        </w:rPr>
        <w:t xml:space="preserve">como base el PNB, la diferencia entre las cargas impositivas entre Puerto Rico y </w:t>
      </w:r>
      <w:r>
        <w:rPr>
          <w:lang w:eastAsia="ar-SA"/>
        </w:rPr>
        <w:t>Estados Unidos</w:t>
      </w:r>
      <w:r w:rsidRPr="003A21B9">
        <w:rPr>
          <w:lang w:eastAsia="ar-SA"/>
        </w:rPr>
        <w:t xml:space="preserve"> es mucho más significativa. </w:t>
      </w:r>
    </w:p>
    <w:p w:rsidR="005A5E7D" w:rsidRPr="003A21B9" w:rsidRDefault="0095547C" w:rsidP="005A5E7D">
      <w:pPr>
        <w:tabs>
          <w:tab w:val="left" w:pos="180"/>
          <w:tab w:val="left" w:pos="360"/>
        </w:tabs>
        <w:suppressAutoHyphens/>
        <w:spacing w:after="120"/>
        <w:ind w:firstLine="706"/>
        <w:rPr>
          <w:rFonts w:eastAsia="+mn-ea"/>
          <w:color w:val="000000"/>
          <w:kern w:val="1"/>
          <w:szCs w:val="24"/>
          <w:lang w:eastAsia="ar-SA"/>
        </w:rPr>
      </w:pPr>
      <w:r>
        <w:rPr>
          <w:rFonts w:eastAsia="+mn-ea"/>
          <w:noProof/>
          <w:color w:val="000000"/>
          <w:kern w:val="1"/>
          <w:szCs w:val="24"/>
          <w:lang w:val="en-US"/>
        </w:rPr>
        <w:drawing>
          <wp:inline distT="0" distB="0" distL="0" distR="0">
            <wp:extent cx="4743450" cy="3542030"/>
            <wp:effectExtent l="0" t="0" r="19050" b="20320"/>
            <wp:docPr id="8"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A5E7D" w:rsidRPr="003A21B9" w:rsidRDefault="005A5E7D" w:rsidP="005A5E7D">
      <w:pPr>
        <w:rPr>
          <w:lang w:eastAsia="ar-SA"/>
        </w:rPr>
      </w:pPr>
      <w:r w:rsidRPr="003A21B9">
        <w:rPr>
          <w:lang w:eastAsia="ar-SA"/>
        </w:rPr>
        <w:t xml:space="preserve">En el 2011, los impuestos estatales como </w:t>
      </w:r>
      <w:r>
        <w:rPr>
          <w:lang w:eastAsia="ar-SA"/>
        </w:rPr>
        <w:t>porcentaje</w:t>
      </w:r>
      <w:r w:rsidRPr="003A21B9">
        <w:rPr>
          <w:lang w:eastAsia="ar-SA"/>
        </w:rPr>
        <w:t xml:space="preserve"> del PIB promediaron </w:t>
      </w:r>
      <w:r>
        <w:rPr>
          <w:lang w:eastAsia="ar-SA"/>
        </w:rPr>
        <w:t xml:space="preserve">un </w:t>
      </w:r>
      <w:r w:rsidRPr="003A21B9">
        <w:rPr>
          <w:lang w:eastAsia="ar-SA"/>
        </w:rPr>
        <w:t>5.5% para los 50 estados, con una desviación estándar de</w:t>
      </w:r>
      <w:r>
        <w:rPr>
          <w:lang w:eastAsia="ar-SA"/>
        </w:rPr>
        <w:t>l</w:t>
      </w:r>
      <w:r w:rsidRPr="003A21B9">
        <w:rPr>
          <w:lang w:eastAsia="ar-SA"/>
        </w:rPr>
        <w:t xml:space="preserve"> 1.6%.</w:t>
      </w:r>
      <w:r w:rsidRPr="003A21B9">
        <w:rPr>
          <w:vertAlign w:val="superscript"/>
          <w:lang w:eastAsia="ar-SA"/>
        </w:rPr>
        <w:footnoteReference w:id="31"/>
      </w:r>
      <w:r w:rsidRPr="003A21B9">
        <w:rPr>
          <w:lang w:eastAsia="ar-SA"/>
        </w:rPr>
        <w:t xml:space="preserve"> Para ese mismo año, el </w:t>
      </w:r>
      <w:r>
        <w:rPr>
          <w:lang w:eastAsia="ar-SA"/>
        </w:rPr>
        <w:t>porcentaje</w:t>
      </w:r>
      <w:r w:rsidRPr="003A21B9">
        <w:rPr>
          <w:lang w:eastAsia="ar-SA"/>
        </w:rPr>
        <w:t xml:space="preserve"> correspondiente para Puerto Rico fue </w:t>
      </w:r>
      <w:r>
        <w:rPr>
          <w:lang w:eastAsia="ar-SA"/>
        </w:rPr>
        <w:t xml:space="preserve">un </w:t>
      </w:r>
      <w:r w:rsidRPr="003A21B9">
        <w:rPr>
          <w:lang w:eastAsia="ar-SA"/>
        </w:rPr>
        <w:t>7.5%, lo que lo coloca a 1 desviación estándar por encima del promedio para los estados.</w:t>
      </w:r>
      <w:r>
        <w:rPr>
          <w:lang w:eastAsia="ar-SA"/>
        </w:rPr>
        <w:t xml:space="preserve"> </w:t>
      </w:r>
      <w:r w:rsidRPr="003A21B9">
        <w:rPr>
          <w:lang w:eastAsia="ar-SA"/>
        </w:rPr>
        <w:t xml:space="preserve">Cuando usamos como base el PNB, el </w:t>
      </w:r>
      <w:r>
        <w:rPr>
          <w:lang w:eastAsia="ar-SA"/>
        </w:rPr>
        <w:t>porcentaje</w:t>
      </w:r>
      <w:r w:rsidRPr="003A21B9">
        <w:rPr>
          <w:lang w:eastAsia="ar-SA"/>
        </w:rPr>
        <w:t xml:space="preserve"> de impuestos estatales correspondiente para Puerto Rico es </w:t>
      </w:r>
      <w:r>
        <w:rPr>
          <w:lang w:eastAsia="ar-SA"/>
        </w:rPr>
        <w:t>un</w:t>
      </w:r>
      <w:r w:rsidRPr="003A21B9">
        <w:rPr>
          <w:lang w:eastAsia="ar-SA"/>
        </w:rPr>
        <w:t xml:space="preserve"> 11.5%, por lo que la carga tributaria en la Isla está 3.8 desviaciones estándares por encima del promedio para los estados.</w:t>
      </w:r>
    </w:p>
    <w:p w:rsidR="005A5E7D" w:rsidRPr="003A21B9" w:rsidRDefault="005A5E7D" w:rsidP="005A5E7D">
      <w:pPr>
        <w:rPr>
          <w:rFonts w:eastAsia="Times New Roman"/>
          <w:lang w:eastAsia="ar-SA"/>
        </w:rPr>
      </w:pPr>
      <w:r w:rsidRPr="003A21B9">
        <w:rPr>
          <w:lang w:eastAsia="ar-SA"/>
        </w:rPr>
        <w:t>Otra medida comúnmente utilizada para medir la carga tributaria es la razón entre los impuestos per cápita y el ingreso personal per cápita.</w:t>
      </w:r>
      <w:r>
        <w:rPr>
          <w:lang w:eastAsia="ar-SA"/>
        </w:rPr>
        <w:t xml:space="preserve"> </w:t>
      </w:r>
      <w:r w:rsidRPr="003A21B9">
        <w:rPr>
          <w:lang w:eastAsia="ar-SA"/>
        </w:rPr>
        <w:t xml:space="preserve">Al comparar la razón correspondiente a Puerto Rico con el promedio de todos los estados, se observa en la </w:t>
      </w:r>
      <w:r w:rsidRPr="003A21B9">
        <w:rPr>
          <w:b/>
          <w:lang w:eastAsia="ar-SA"/>
        </w:rPr>
        <w:t>Gráfica 9</w:t>
      </w:r>
      <w:r w:rsidRPr="003A21B9">
        <w:rPr>
          <w:lang w:eastAsia="ar-SA"/>
        </w:rPr>
        <w:t xml:space="preserve"> que </w:t>
      </w:r>
      <w:r w:rsidRPr="008B456C">
        <w:t>—</w:t>
      </w:r>
      <w:r w:rsidRPr="003A21B9">
        <w:rPr>
          <w:lang w:eastAsia="ar-SA"/>
        </w:rPr>
        <w:t>a pesar de que la diferencia entre el promedio para los 50 estados y Puerto Rico es aproximadamente el doble</w:t>
      </w:r>
      <w:r w:rsidRPr="008B456C">
        <w:t>—</w:t>
      </w:r>
      <w:r w:rsidRPr="003A21B9">
        <w:rPr>
          <w:lang w:eastAsia="ar-SA"/>
        </w:rPr>
        <w:t xml:space="preserve"> la brecha se ha reducido a partir del 2008; fundamentalmente debido a la disminución </w:t>
      </w:r>
      <w:r>
        <w:rPr>
          <w:lang w:eastAsia="ar-SA"/>
        </w:rPr>
        <w:t>de</w:t>
      </w:r>
      <w:r w:rsidRPr="003A21B9">
        <w:rPr>
          <w:lang w:eastAsia="ar-SA"/>
        </w:rPr>
        <w:t xml:space="preserve"> los ingresos fiscales en la Isla.</w:t>
      </w:r>
      <w:r>
        <w:rPr>
          <w:lang w:eastAsia="ar-SA"/>
        </w:rPr>
        <w:t xml:space="preserve"> </w:t>
      </w:r>
      <w:r w:rsidRPr="003A21B9">
        <w:rPr>
          <w:lang w:eastAsia="ar-SA"/>
        </w:rPr>
        <w:t>En el 2011, la razón promedio para los 50 estados fue</w:t>
      </w:r>
      <w:r>
        <w:rPr>
          <w:lang w:eastAsia="ar-SA"/>
        </w:rPr>
        <w:t xml:space="preserve"> un</w:t>
      </w:r>
      <w:r w:rsidRPr="003A21B9">
        <w:rPr>
          <w:lang w:eastAsia="ar-SA"/>
        </w:rPr>
        <w:t xml:space="preserve"> 6.3%</w:t>
      </w:r>
      <w:r>
        <w:rPr>
          <w:lang w:eastAsia="ar-SA"/>
        </w:rPr>
        <w:t>,</w:t>
      </w:r>
      <w:r w:rsidRPr="003A21B9">
        <w:rPr>
          <w:lang w:eastAsia="ar-SA"/>
        </w:rPr>
        <w:t xml:space="preserve"> con una desviación estándar de 2.1.</w:t>
      </w:r>
      <w:r>
        <w:rPr>
          <w:lang w:eastAsia="ar-SA"/>
        </w:rPr>
        <w:t xml:space="preserve"> </w:t>
      </w:r>
      <w:r w:rsidRPr="003A21B9">
        <w:rPr>
          <w:lang w:eastAsia="ar-SA"/>
        </w:rPr>
        <w:t>La razón para Puerto Rico (12%) se ubica 2.7 desviaciones estándar por encima del promedio para los estados.</w:t>
      </w:r>
      <w:r>
        <w:rPr>
          <w:rFonts w:eastAsia="Times New Roman"/>
          <w:lang w:eastAsia="ar-SA"/>
        </w:rPr>
        <w:t xml:space="preserve"> </w:t>
      </w:r>
      <w:r w:rsidRPr="003A21B9">
        <w:rPr>
          <w:rFonts w:eastAsia="Times New Roman"/>
          <w:lang w:eastAsia="ar-SA"/>
        </w:rPr>
        <w:t xml:space="preserve">La carga tributaria es </w:t>
      </w:r>
      <w:r>
        <w:rPr>
          <w:rFonts w:eastAsia="Times New Roman"/>
          <w:lang w:eastAsia="ar-SA"/>
        </w:rPr>
        <w:t xml:space="preserve">un </w:t>
      </w:r>
      <w:r w:rsidRPr="003A21B9">
        <w:rPr>
          <w:rFonts w:eastAsia="Times New Roman"/>
          <w:lang w:eastAsia="ar-SA"/>
        </w:rPr>
        <w:t>189% mayor para Puerto Rico</w:t>
      </w:r>
      <w:r>
        <w:rPr>
          <w:rFonts w:eastAsia="Times New Roman"/>
          <w:lang w:eastAsia="ar-SA"/>
        </w:rPr>
        <w:t xml:space="preserve">, </w:t>
      </w:r>
      <w:r w:rsidRPr="003A21B9">
        <w:rPr>
          <w:rFonts w:eastAsia="Times New Roman"/>
          <w:lang w:eastAsia="ar-SA"/>
        </w:rPr>
        <w:t>ya que se parte de un nivel de ingreso significativamente más bajo</w:t>
      </w:r>
      <w:r>
        <w:rPr>
          <w:rFonts w:eastAsia="Times New Roman"/>
          <w:lang w:eastAsia="ar-SA"/>
        </w:rPr>
        <w:t>,</w:t>
      </w:r>
      <w:r w:rsidRPr="003A21B9">
        <w:rPr>
          <w:rFonts w:eastAsia="Times New Roman"/>
          <w:lang w:eastAsia="ar-SA"/>
        </w:rPr>
        <w:t xml:space="preserve"> y debido a que en los estados la mayoría de los recaudos de impuestos se pagan al </w:t>
      </w:r>
      <w:r>
        <w:rPr>
          <w:rFonts w:eastAsia="Times New Roman"/>
          <w:lang w:eastAsia="ar-SA"/>
        </w:rPr>
        <w:t>Gobierno</w:t>
      </w:r>
      <w:r w:rsidRPr="003A21B9">
        <w:rPr>
          <w:rFonts w:eastAsia="Times New Roman"/>
          <w:lang w:eastAsia="ar-SA"/>
        </w:rPr>
        <w:t xml:space="preserve"> federal y por tanto no se reflejan en los datos de impuestos estatales. </w:t>
      </w:r>
    </w:p>
    <w:p w:rsidR="005A5E7D" w:rsidRPr="003A21B9" w:rsidRDefault="0095547C" w:rsidP="005A5E7D">
      <w:pPr>
        <w:tabs>
          <w:tab w:val="left" w:pos="180"/>
          <w:tab w:val="left" w:pos="360"/>
        </w:tabs>
        <w:suppressAutoHyphens/>
        <w:ind w:firstLine="706"/>
        <w:rPr>
          <w:rFonts w:eastAsia="Times New Roman"/>
          <w:kern w:val="1"/>
          <w:szCs w:val="24"/>
          <w:lang w:eastAsia="ar-SA"/>
        </w:rPr>
      </w:pPr>
      <w:r>
        <w:rPr>
          <w:rFonts w:eastAsia="SimSun" w:cs="Calibri"/>
          <w:noProof/>
          <w:kern w:val="1"/>
          <w:lang w:val="en-US"/>
        </w:rPr>
        <w:drawing>
          <wp:inline distT="0" distB="0" distL="0" distR="0">
            <wp:extent cx="5029200" cy="2934929"/>
            <wp:effectExtent l="0" t="0" r="19050" b="18415"/>
            <wp:docPr id="9"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A5E7D" w:rsidRPr="00242D59" w:rsidRDefault="005A5E7D" w:rsidP="005A5E7D">
      <w:pPr>
        <w:spacing w:line="240" w:lineRule="auto"/>
        <w:rPr>
          <w:sz w:val="16"/>
          <w:lang w:eastAsia="ar-SA"/>
        </w:rPr>
      </w:pPr>
    </w:p>
    <w:p w:rsidR="00344E15" w:rsidRDefault="00344E15" w:rsidP="005A5E7D">
      <w:pPr>
        <w:rPr>
          <w:lang w:eastAsia="ar-SA"/>
        </w:rPr>
      </w:pPr>
    </w:p>
    <w:p w:rsidR="005A5E7D" w:rsidRDefault="005A5E7D" w:rsidP="005A5E7D">
      <w:pPr>
        <w:rPr>
          <w:lang w:eastAsia="ar-SA"/>
        </w:rPr>
      </w:pPr>
      <w:r>
        <w:rPr>
          <w:lang w:eastAsia="ar-SA"/>
        </w:rPr>
        <w:t xml:space="preserve">La </w:t>
      </w:r>
      <w:r w:rsidRPr="003A21B9">
        <w:rPr>
          <w:b/>
          <w:lang w:eastAsia="ar-SA"/>
        </w:rPr>
        <w:t>Tabla 2</w:t>
      </w:r>
      <w:r>
        <w:rPr>
          <w:b/>
          <w:lang w:eastAsia="ar-SA"/>
        </w:rPr>
        <w:t xml:space="preserve"> </w:t>
      </w:r>
      <w:r w:rsidRPr="003A21B9">
        <w:rPr>
          <w:lang w:eastAsia="ar-SA"/>
        </w:rPr>
        <w:t>compara la carga tributaria de los diferentes impuestos en Puerto Rico versus el promedio para todos los estados para el año 2011.</w:t>
      </w:r>
      <w:r>
        <w:rPr>
          <w:lang w:eastAsia="ar-SA"/>
        </w:rPr>
        <w:t xml:space="preserve"> </w:t>
      </w:r>
      <w:r w:rsidRPr="003A21B9">
        <w:rPr>
          <w:lang w:eastAsia="ar-SA"/>
        </w:rPr>
        <w:t xml:space="preserve">La carga de los impuestos sobre el ingreso de individuos y los impuestos al consumo se miden como </w:t>
      </w:r>
      <w:r>
        <w:rPr>
          <w:lang w:eastAsia="ar-SA"/>
        </w:rPr>
        <w:t>porcentaje</w:t>
      </w:r>
      <w:r w:rsidRPr="003A21B9">
        <w:rPr>
          <w:lang w:eastAsia="ar-SA"/>
        </w:rPr>
        <w:t xml:space="preserve"> del ingreso personal, mientras que la carga del impuesto corporativo se mide como </w:t>
      </w:r>
      <w:r>
        <w:rPr>
          <w:lang w:eastAsia="ar-SA"/>
        </w:rPr>
        <w:t>porcentaje</w:t>
      </w:r>
      <w:r w:rsidRPr="003A21B9">
        <w:rPr>
          <w:lang w:eastAsia="ar-SA"/>
        </w:rPr>
        <w:t xml:space="preserve"> del </w:t>
      </w:r>
      <w:r w:rsidRPr="00EB0FE8">
        <w:rPr>
          <w:lang w:eastAsia="ar-SA"/>
        </w:rPr>
        <w:t>PNB</w:t>
      </w:r>
      <w:r w:rsidRPr="003A21B9">
        <w:rPr>
          <w:lang w:eastAsia="ar-SA"/>
        </w:rPr>
        <w:t>.</w:t>
      </w:r>
      <w:r>
        <w:rPr>
          <w:lang w:eastAsia="ar-SA"/>
        </w:rPr>
        <w:t xml:space="preserve"> </w:t>
      </w:r>
      <w:r w:rsidRPr="003A21B9">
        <w:rPr>
          <w:lang w:eastAsia="ar-SA"/>
        </w:rPr>
        <w:t>El cálculo de la carga tributara del impuesto al consumo para Puerto Rico se estim</w:t>
      </w:r>
      <w:r>
        <w:rPr>
          <w:lang w:eastAsia="ar-SA"/>
        </w:rPr>
        <w:t>ó</w:t>
      </w:r>
      <w:r w:rsidRPr="003A21B9">
        <w:rPr>
          <w:lang w:eastAsia="ar-SA"/>
        </w:rPr>
        <w:t xml:space="preserve"> con y sin incluir los recaudos del arbitrio a las empresas foráneas (Ley 154).</w:t>
      </w:r>
      <w:r w:rsidRPr="003A21B9">
        <w:rPr>
          <w:vertAlign w:val="superscript"/>
          <w:lang w:eastAsia="ar-SA"/>
        </w:rPr>
        <w:footnoteReference w:id="32"/>
      </w:r>
      <w:r>
        <w:rPr>
          <w:lang w:eastAsia="ar-SA"/>
        </w:rPr>
        <w:t xml:space="preserve"> </w:t>
      </w:r>
      <w:r w:rsidRPr="003A21B9">
        <w:rPr>
          <w:lang w:eastAsia="ar-SA"/>
        </w:rPr>
        <w:t>Igualmente</w:t>
      </w:r>
      <w:r>
        <w:rPr>
          <w:lang w:eastAsia="ar-SA"/>
        </w:rPr>
        <w:t>,</w:t>
      </w:r>
      <w:r w:rsidRPr="003A21B9">
        <w:rPr>
          <w:lang w:eastAsia="ar-SA"/>
        </w:rPr>
        <w:t xml:space="preserve"> la carga tributaria del impuesto sobre el ingreso de corporaciones se estim</w:t>
      </w:r>
      <w:r>
        <w:rPr>
          <w:lang w:eastAsia="ar-SA"/>
        </w:rPr>
        <w:t>ó</w:t>
      </w:r>
      <w:r w:rsidRPr="003A21B9">
        <w:rPr>
          <w:lang w:eastAsia="ar-SA"/>
        </w:rPr>
        <w:t xml:space="preserve"> como </w:t>
      </w:r>
      <w:r>
        <w:rPr>
          <w:lang w:eastAsia="ar-SA"/>
        </w:rPr>
        <w:t>porcentaje</w:t>
      </w:r>
      <w:r w:rsidRPr="003A21B9">
        <w:rPr>
          <w:lang w:eastAsia="ar-SA"/>
        </w:rPr>
        <w:t xml:space="preserve"> del PIB y c</w:t>
      </w:r>
      <w:r>
        <w:rPr>
          <w:lang w:eastAsia="ar-SA"/>
        </w:rPr>
        <w:t>o</w:t>
      </w:r>
      <w:r w:rsidRPr="003A21B9">
        <w:rPr>
          <w:lang w:eastAsia="ar-SA"/>
        </w:rPr>
        <w:t xml:space="preserve">mo </w:t>
      </w:r>
      <w:r>
        <w:rPr>
          <w:lang w:eastAsia="ar-SA"/>
        </w:rPr>
        <w:t>porcentaje</w:t>
      </w:r>
      <w:r w:rsidRPr="003A21B9">
        <w:rPr>
          <w:lang w:eastAsia="ar-SA"/>
        </w:rPr>
        <w:t xml:space="preserve"> del </w:t>
      </w:r>
      <w:r>
        <w:rPr>
          <w:lang w:eastAsia="ar-SA"/>
        </w:rPr>
        <w:t>PNB</w:t>
      </w:r>
      <w:r w:rsidRPr="003A21B9">
        <w:rPr>
          <w:lang w:eastAsia="ar-SA"/>
        </w:rPr>
        <w:t>.</w:t>
      </w:r>
    </w:p>
    <w:p w:rsidR="00D32F91" w:rsidRPr="003A21B9" w:rsidRDefault="00D32F91" w:rsidP="00D32F91">
      <w:pPr>
        <w:rPr>
          <w:lang w:eastAsia="ar-SA"/>
        </w:rPr>
      </w:pPr>
      <w:r w:rsidRPr="003A21B9">
        <w:rPr>
          <w:lang w:eastAsia="ar-SA"/>
        </w:rPr>
        <w:t xml:space="preserve">Mientras que la carga promedio del impuesto sobre el ingreso para los estados es </w:t>
      </w:r>
      <w:r>
        <w:rPr>
          <w:lang w:eastAsia="ar-SA"/>
        </w:rPr>
        <w:t>un</w:t>
      </w:r>
      <w:r w:rsidRPr="003A21B9">
        <w:rPr>
          <w:lang w:eastAsia="ar-SA"/>
        </w:rPr>
        <w:t xml:space="preserve"> 1.9%, </w:t>
      </w:r>
      <w:r>
        <w:rPr>
          <w:lang w:eastAsia="ar-SA"/>
        </w:rPr>
        <w:t>la</w:t>
      </w:r>
      <w:r w:rsidRPr="003A21B9">
        <w:rPr>
          <w:lang w:eastAsia="ar-SA"/>
        </w:rPr>
        <w:t xml:space="preserve"> de Puerto Rico es 3.5%.</w:t>
      </w:r>
      <w:r>
        <w:rPr>
          <w:lang w:eastAsia="ar-SA"/>
        </w:rPr>
        <w:t xml:space="preserve"> </w:t>
      </w:r>
      <w:r w:rsidRPr="003A21B9">
        <w:rPr>
          <w:lang w:eastAsia="ar-SA"/>
        </w:rPr>
        <w:t xml:space="preserve">La diferencia </w:t>
      </w:r>
      <w:r>
        <w:rPr>
          <w:lang w:eastAsia="ar-SA"/>
        </w:rPr>
        <w:t xml:space="preserve">no es significativa </w:t>
      </w:r>
      <w:r w:rsidRPr="003A21B9">
        <w:rPr>
          <w:lang w:eastAsia="ar-SA"/>
        </w:rPr>
        <w:t>cuando se estima la carga en función de los impuestos al consumo como proporción del ingreso personal.</w:t>
      </w:r>
      <w:r>
        <w:rPr>
          <w:lang w:eastAsia="ar-SA"/>
        </w:rPr>
        <w:t xml:space="preserve"> C</w:t>
      </w:r>
      <w:r w:rsidRPr="003A21B9">
        <w:rPr>
          <w:lang w:eastAsia="ar-SA"/>
        </w:rPr>
        <w:t>uando se eliminan los recaudos del arbitrio a las industrias foráneas del total del impuesto al consumo</w:t>
      </w:r>
      <w:r>
        <w:rPr>
          <w:lang w:eastAsia="ar-SA"/>
        </w:rPr>
        <w:t>, el porcentaje para Puerto Rico (2.4%) es un poco menor que el promedio para los estados, aunque la diferencia no es estadísticamente significativa</w:t>
      </w:r>
      <w:r w:rsidRPr="003A21B9">
        <w:rPr>
          <w:lang w:eastAsia="ar-SA"/>
        </w:rPr>
        <w:t>.</w:t>
      </w:r>
      <w:r>
        <w:rPr>
          <w:lang w:eastAsia="ar-SA"/>
        </w:rPr>
        <w:t xml:space="preserve"> </w:t>
      </w:r>
      <w:r w:rsidRPr="003A21B9">
        <w:rPr>
          <w:lang w:eastAsia="ar-SA"/>
        </w:rPr>
        <w:t>La comparación es mucho más dramática cuando evaluamos el impuesto sobre el ingreso corporativo.</w:t>
      </w:r>
      <w:r>
        <w:rPr>
          <w:lang w:eastAsia="ar-SA"/>
        </w:rPr>
        <w:t xml:space="preserve"> </w:t>
      </w:r>
      <w:r w:rsidRPr="003A21B9">
        <w:rPr>
          <w:lang w:eastAsia="ar-SA"/>
        </w:rPr>
        <w:t xml:space="preserve">Mientras para el promedio </w:t>
      </w:r>
      <w:r>
        <w:rPr>
          <w:lang w:eastAsia="ar-SA"/>
        </w:rPr>
        <w:t>de los estados dicho impuesto so</w:t>
      </w:r>
      <w:r w:rsidRPr="003A21B9">
        <w:rPr>
          <w:lang w:eastAsia="ar-SA"/>
        </w:rPr>
        <w:t>lo representa el 0.3% del PIB, en Puerto Rico representa el 1.7% del PIB y el 2.6% del PNB.</w:t>
      </w:r>
    </w:p>
    <w:p w:rsidR="00D32F91" w:rsidRPr="003A21B9" w:rsidRDefault="00D32F91" w:rsidP="00D32F91">
      <w:pPr>
        <w:rPr>
          <w:rFonts w:eastAsia="SimSun"/>
          <w:color w:val="C32D2E"/>
          <w:lang w:eastAsia="ar-SA"/>
        </w:rPr>
      </w:pPr>
      <w:r w:rsidRPr="003A21B9">
        <w:rPr>
          <w:lang w:eastAsia="ar-SA"/>
        </w:rPr>
        <w:t>A pesar de que los impuestos per cápit</w:t>
      </w:r>
      <w:r>
        <w:rPr>
          <w:lang w:eastAsia="ar-SA"/>
        </w:rPr>
        <w:t xml:space="preserve">a en Puerto Rico son más bajos </w:t>
      </w:r>
      <w:r w:rsidRPr="008B456C">
        <w:t>—</w:t>
      </w:r>
      <w:r w:rsidRPr="003A21B9">
        <w:rPr>
          <w:lang w:eastAsia="ar-SA"/>
        </w:rPr>
        <w:t>aunque no significativamente distintos</w:t>
      </w:r>
      <w:r w:rsidRPr="008B456C">
        <w:t>—</w:t>
      </w:r>
      <w:r w:rsidRPr="003A21B9">
        <w:rPr>
          <w:lang w:eastAsia="ar-SA"/>
        </w:rPr>
        <w:t xml:space="preserve"> al promedio para los 50 estados, la carga tributaria es significativamente mayor tanto cuando la medimos como la razón entre impuestos totales y PNB</w:t>
      </w:r>
      <w:r>
        <w:rPr>
          <w:lang w:eastAsia="ar-SA"/>
        </w:rPr>
        <w:t xml:space="preserve"> </w:t>
      </w:r>
      <w:r w:rsidRPr="003A21B9">
        <w:rPr>
          <w:lang w:eastAsia="ar-SA"/>
        </w:rPr>
        <w:t>o como la razón entre impuestos per cápita e ingreso personal per cápita.</w:t>
      </w:r>
      <w:r>
        <w:rPr>
          <w:rFonts w:eastAsia="SimSun"/>
          <w:color w:val="C32D2E"/>
          <w:lang w:eastAsia="ar-SA"/>
        </w:rPr>
        <w:t xml:space="preserve"> </w:t>
      </w:r>
    </w:p>
    <w:p w:rsidR="00D32F91" w:rsidRDefault="00D32F91" w:rsidP="005A5E7D">
      <w:pPr>
        <w:rPr>
          <w:lang w:eastAsia="ar-SA"/>
        </w:rPr>
      </w:pPr>
    </w:p>
    <w:p w:rsidR="00D32F91" w:rsidRPr="003A21B9" w:rsidRDefault="00D32F91" w:rsidP="005A5E7D">
      <w:pPr>
        <w:rPr>
          <w:lang w:eastAsia="ar-SA"/>
        </w:rPr>
      </w:pPr>
    </w:p>
    <w:tbl>
      <w:tblPr>
        <w:tblW w:w="9322" w:type="dxa"/>
        <w:tblBorders>
          <w:top w:val="single" w:sz="12" w:space="0" w:color="008000"/>
          <w:bottom w:val="single" w:sz="12" w:space="0" w:color="008000"/>
        </w:tblBorders>
        <w:tblLook w:val="04A0"/>
      </w:tblPr>
      <w:tblGrid>
        <w:gridCol w:w="2880"/>
        <w:gridCol w:w="1764"/>
        <w:gridCol w:w="1560"/>
        <w:gridCol w:w="1559"/>
        <w:gridCol w:w="1559"/>
      </w:tblGrid>
      <w:tr w:rsidR="005A5E7D" w:rsidRPr="006C2E2C">
        <w:trPr>
          <w:trHeight w:val="663"/>
        </w:trPr>
        <w:tc>
          <w:tcPr>
            <w:tcW w:w="9322" w:type="dxa"/>
            <w:gridSpan w:val="5"/>
            <w:tcBorders>
              <w:bottom w:val="single" w:sz="6" w:space="0" w:color="008000"/>
            </w:tcBorders>
            <w:shd w:val="clear" w:color="auto" w:fill="auto"/>
            <w:noWrap/>
          </w:tcPr>
          <w:p w:rsidR="005A5E7D" w:rsidRPr="00242D59" w:rsidRDefault="005A5E7D" w:rsidP="005A5E7D">
            <w:pPr>
              <w:suppressAutoHyphens/>
              <w:spacing w:line="240" w:lineRule="auto"/>
              <w:ind w:firstLine="0"/>
              <w:jc w:val="center"/>
              <w:rPr>
                <w:rFonts w:ascii="Arial Narrow" w:eastAsia="Times New Roman" w:hAnsi="Arial Narrow"/>
                <w:b/>
                <w:color w:val="000000"/>
                <w:sz w:val="22"/>
                <w:szCs w:val="20"/>
              </w:rPr>
            </w:pPr>
            <w:r w:rsidRPr="006C2E2C">
              <w:rPr>
                <w:rFonts w:eastAsia="+mn-ea"/>
                <w:color w:val="000000"/>
                <w:kern w:val="1"/>
                <w:szCs w:val="20"/>
                <w:lang w:eastAsia="ar-SA"/>
              </w:rPr>
              <w:br w:type="page"/>
            </w:r>
            <w:r w:rsidRPr="00242D59">
              <w:rPr>
                <w:rFonts w:ascii="Arial Narrow" w:eastAsia="Times New Roman" w:hAnsi="Arial Narrow"/>
                <w:b/>
                <w:color w:val="000000"/>
                <w:sz w:val="22"/>
                <w:szCs w:val="20"/>
              </w:rPr>
              <w:t>Tabla 2</w:t>
            </w:r>
          </w:p>
          <w:p w:rsidR="005A5E7D" w:rsidRPr="00242D59" w:rsidRDefault="005A5E7D" w:rsidP="005A5E7D">
            <w:pPr>
              <w:suppressAutoHyphens/>
              <w:spacing w:line="240" w:lineRule="auto"/>
              <w:ind w:firstLine="0"/>
              <w:jc w:val="center"/>
              <w:rPr>
                <w:rFonts w:ascii="Arial Narrow" w:eastAsia="Times New Roman" w:hAnsi="Arial Narrow"/>
                <w:b/>
                <w:color w:val="000000"/>
                <w:sz w:val="22"/>
                <w:szCs w:val="20"/>
              </w:rPr>
            </w:pPr>
            <w:r w:rsidRPr="00242D59">
              <w:rPr>
                <w:rFonts w:ascii="Arial Narrow" w:eastAsia="Times New Roman" w:hAnsi="Arial Narrow"/>
                <w:b/>
                <w:color w:val="000000"/>
                <w:sz w:val="22"/>
                <w:szCs w:val="20"/>
              </w:rPr>
              <w:t>Comparación de la Carga Tributaria por Tipo de Impuesto</w:t>
            </w:r>
          </w:p>
          <w:p w:rsidR="005A5E7D" w:rsidRPr="006C2E2C" w:rsidRDefault="005A5E7D" w:rsidP="005A5E7D">
            <w:pPr>
              <w:suppressAutoHyphens/>
              <w:spacing w:line="240" w:lineRule="auto"/>
              <w:ind w:firstLine="0"/>
              <w:jc w:val="center"/>
              <w:rPr>
                <w:rFonts w:ascii="Arial Narrow" w:eastAsia="Times New Roman" w:hAnsi="Arial Narrow"/>
                <w:color w:val="000000"/>
                <w:sz w:val="20"/>
                <w:szCs w:val="20"/>
              </w:rPr>
            </w:pPr>
            <w:r w:rsidRPr="00242D59">
              <w:rPr>
                <w:rFonts w:ascii="Arial Narrow" w:eastAsia="Times New Roman" w:hAnsi="Arial Narrow"/>
                <w:b/>
                <w:color w:val="000000"/>
                <w:sz w:val="22"/>
                <w:szCs w:val="20"/>
              </w:rPr>
              <w:t>(Puerto Rico versus el</w:t>
            </w:r>
            <w:r>
              <w:rPr>
                <w:rFonts w:ascii="Arial Narrow" w:eastAsia="Times New Roman" w:hAnsi="Arial Narrow"/>
                <w:b/>
                <w:color w:val="000000"/>
                <w:sz w:val="22"/>
                <w:szCs w:val="20"/>
              </w:rPr>
              <w:t xml:space="preserve"> promedio para los estados de Estados Unidos</w:t>
            </w:r>
            <w:r w:rsidRPr="00242D59">
              <w:rPr>
                <w:rFonts w:ascii="Arial Narrow" w:eastAsia="Times New Roman" w:hAnsi="Arial Narrow"/>
                <w:b/>
                <w:color w:val="000000"/>
                <w:sz w:val="22"/>
                <w:szCs w:val="20"/>
              </w:rPr>
              <w:t>)</w:t>
            </w:r>
          </w:p>
        </w:tc>
      </w:tr>
      <w:tr w:rsidR="005A5E7D" w:rsidRPr="006C2E2C">
        <w:trPr>
          <w:trHeight w:val="276"/>
        </w:trPr>
        <w:tc>
          <w:tcPr>
            <w:tcW w:w="9322" w:type="dxa"/>
            <w:gridSpan w:val="5"/>
            <w:shd w:val="clear" w:color="auto" w:fill="auto"/>
          </w:tcPr>
          <w:p w:rsidR="005A5E7D" w:rsidRPr="006C2E2C" w:rsidRDefault="005A5E7D" w:rsidP="005A5E7D">
            <w:pPr>
              <w:spacing w:line="240" w:lineRule="auto"/>
              <w:ind w:firstLine="0"/>
              <w:jc w:val="center"/>
              <w:rPr>
                <w:rFonts w:ascii="Arial Narrow" w:hAnsi="Arial Narrow"/>
                <w:color w:val="000000"/>
                <w:sz w:val="20"/>
              </w:rPr>
            </w:pPr>
          </w:p>
        </w:tc>
      </w:tr>
      <w:tr w:rsidR="005A5E7D" w:rsidRPr="006C2E2C">
        <w:trPr>
          <w:trHeight w:val="1104"/>
        </w:trPr>
        <w:tc>
          <w:tcPr>
            <w:tcW w:w="2880"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1764" w:type="dxa"/>
            <w:shd w:val="clear" w:color="auto" w:fill="auto"/>
          </w:tcPr>
          <w:p w:rsidR="005A5E7D" w:rsidRPr="006C2E2C" w:rsidRDefault="005A5E7D" w:rsidP="005A5E7D">
            <w:pPr>
              <w:spacing w:line="240" w:lineRule="auto"/>
              <w:ind w:right="-216" w:firstLine="0"/>
              <w:jc w:val="center"/>
              <w:rPr>
                <w:rFonts w:ascii="Arial Narrow" w:hAnsi="Arial Narrow"/>
                <w:b/>
                <w:color w:val="000000"/>
                <w:sz w:val="20"/>
              </w:rPr>
            </w:pPr>
            <w:r w:rsidRPr="006C2E2C">
              <w:rPr>
                <w:rFonts w:ascii="Arial Narrow" w:eastAsia="Times New Roman" w:hAnsi="Arial Narrow"/>
                <w:b/>
                <w:color w:val="000000"/>
                <w:sz w:val="20"/>
                <w:szCs w:val="20"/>
              </w:rPr>
              <w:t>Impuestos sobre ingreso personal como % del</w:t>
            </w:r>
            <w:r>
              <w:rPr>
                <w:rFonts w:ascii="Arial Narrow" w:eastAsia="Times New Roman" w:hAnsi="Arial Narrow"/>
                <w:b/>
                <w:color w:val="000000"/>
                <w:sz w:val="20"/>
                <w:szCs w:val="20"/>
              </w:rPr>
              <w:t xml:space="preserve"> </w:t>
            </w:r>
            <w:r w:rsidRPr="006C2E2C">
              <w:rPr>
                <w:rFonts w:ascii="Arial Narrow" w:eastAsia="Times New Roman" w:hAnsi="Arial Narrow"/>
                <w:b/>
                <w:color w:val="000000"/>
                <w:sz w:val="20"/>
                <w:szCs w:val="20"/>
              </w:rPr>
              <w:t>ingreso personal</w:t>
            </w:r>
            <w:r w:rsidRPr="006C2E2C">
              <w:rPr>
                <w:rFonts w:ascii="Arial Narrow" w:eastAsia="Times New Roman" w:hAnsi="Arial Narrow"/>
                <w:b/>
                <w:color w:val="000000"/>
                <w:sz w:val="20"/>
                <w:szCs w:val="20"/>
                <w:vertAlign w:val="superscript"/>
              </w:rPr>
              <w:footnoteReference w:id="33"/>
            </w:r>
          </w:p>
        </w:tc>
        <w:tc>
          <w:tcPr>
            <w:tcW w:w="1560" w:type="dxa"/>
            <w:shd w:val="clear" w:color="auto" w:fill="auto"/>
          </w:tcPr>
          <w:p w:rsidR="005A5E7D" w:rsidRPr="006C2E2C" w:rsidRDefault="005A5E7D" w:rsidP="005A5E7D">
            <w:pPr>
              <w:spacing w:line="240" w:lineRule="auto"/>
              <w:ind w:right="-216" w:firstLine="0"/>
              <w:jc w:val="center"/>
              <w:rPr>
                <w:rFonts w:ascii="Arial Narrow" w:hAnsi="Arial Narrow"/>
                <w:b/>
                <w:color w:val="000000"/>
                <w:sz w:val="20"/>
              </w:rPr>
            </w:pPr>
            <w:r w:rsidRPr="006C2E2C">
              <w:rPr>
                <w:rFonts w:ascii="Arial Narrow" w:eastAsia="Times New Roman" w:hAnsi="Arial Narrow"/>
                <w:b/>
                <w:color w:val="000000"/>
                <w:sz w:val="20"/>
                <w:szCs w:val="20"/>
              </w:rPr>
              <w:t>Impuestos sobre consumo como % del Ingreso personal</w:t>
            </w:r>
            <w:r w:rsidRPr="006C2E2C">
              <w:rPr>
                <w:rFonts w:ascii="Arial Narrow" w:eastAsia="Times New Roman" w:hAnsi="Arial Narrow"/>
                <w:b/>
                <w:color w:val="000000"/>
                <w:sz w:val="20"/>
                <w:szCs w:val="20"/>
                <w:vertAlign w:val="superscript"/>
              </w:rPr>
              <w:footnoteReference w:id="34"/>
            </w:r>
          </w:p>
        </w:tc>
        <w:tc>
          <w:tcPr>
            <w:tcW w:w="1559" w:type="dxa"/>
            <w:shd w:val="clear" w:color="auto" w:fill="auto"/>
          </w:tcPr>
          <w:p w:rsidR="005A5E7D" w:rsidRPr="006C2E2C" w:rsidRDefault="005A5E7D" w:rsidP="005A5E7D">
            <w:pPr>
              <w:spacing w:line="240" w:lineRule="auto"/>
              <w:ind w:right="-216" w:firstLine="0"/>
              <w:jc w:val="center"/>
              <w:rPr>
                <w:rFonts w:ascii="Arial Narrow" w:hAnsi="Arial Narrow"/>
                <w:b/>
                <w:color w:val="000000"/>
                <w:sz w:val="20"/>
              </w:rPr>
            </w:pPr>
            <w:r w:rsidRPr="006C2E2C">
              <w:rPr>
                <w:rFonts w:ascii="Arial Narrow" w:eastAsia="Times New Roman" w:hAnsi="Arial Narrow"/>
                <w:b/>
                <w:color w:val="000000"/>
                <w:sz w:val="20"/>
                <w:szCs w:val="20"/>
              </w:rPr>
              <w:t>Impuesto sobre ingreso de corporaciones cómo % del</w:t>
            </w:r>
            <w:r>
              <w:rPr>
                <w:rFonts w:ascii="Arial Narrow" w:eastAsia="Times New Roman" w:hAnsi="Arial Narrow"/>
                <w:b/>
                <w:color w:val="000000"/>
                <w:sz w:val="20"/>
                <w:szCs w:val="20"/>
              </w:rPr>
              <w:t xml:space="preserve"> </w:t>
            </w:r>
            <w:r w:rsidRPr="006C2E2C">
              <w:rPr>
                <w:rFonts w:ascii="Arial Narrow" w:eastAsia="Times New Roman" w:hAnsi="Arial Narrow"/>
                <w:b/>
                <w:color w:val="000000"/>
                <w:sz w:val="20"/>
                <w:szCs w:val="20"/>
              </w:rPr>
              <w:t>PIB</w:t>
            </w:r>
            <w:r w:rsidRPr="006C2E2C">
              <w:rPr>
                <w:rFonts w:ascii="Arial Narrow" w:eastAsia="Times New Roman" w:hAnsi="Arial Narrow"/>
                <w:b/>
                <w:color w:val="000000"/>
                <w:sz w:val="20"/>
                <w:szCs w:val="20"/>
                <w:vertAlign w:val="superscript"/>
              </w:rPr>
              <w:footnoteReference w:id="35"/>
            </w:r>
          </w:p>
        </w:tc>
        <w:tc>
          <w:tcPr>
            <w:tcW w:w="1559" w:type="dxa"/>
            <w:shd w:val="clear" w:color="auto" w:fill="auto"/>
          </w:tcPr>
          <w:p w:rsidR="005A5E7D" w:rsidRPr="006C2E2C" w:rsidRDefault="005A5E7D" w:rsidP="005A5E7D">
            <w:pPr>
              <w:spacing w:line="240" w:lineRule="auto"/>
              <w:ind w:right="-216" w:firstLine="0"/>
              <w:jc w:val="center"/>
              <w:rPr>
                <w:rFonts w:ascii="Arial Narrow" w:hAnsi="Arial Narrow"/>
                <w:b/>
                <w:color w:val="000000"/>
                <w:sz w:val="20"/>
              </w:rPr>
            </w:pPr>
            <w:r w:rsidRPr="006C2E2C">
              <w:rPr>
                <w:rFonts w:ascii="Arial Narrow" w:eastAsia="Times New Roman" w:hAnsi="Arial Narrow"/>
                <w:b/>
                <w:color w:val="000000"/>
                <w:sz w:val="20"/>
                <w:szCs w:val="20"/>
              </w:rPr>
              <w:t>Impuesto sobre ingreso de corporaciones cómo % del</w:t>
            </w:r>
            <w:r>
              <w:rPr>
                <w:rFonts w:ascii="Arial Narrow" w:eastAsia="Times New Roman" w:hAnsi="Arial Narrow"/>
                <w:b/>
                <w:color w:val="000000"/>
                <w:sz w:val="20"/>
                <w:szCs w:val="20"/>
              </w:rPr>
              <w:t xml:space="preserve"> </w:t>
            </w:r>
            <w:r w:rsidRPr="006C2E2C">
              <w:rPr>
                <w:rFonts w:ascii="Arial Narrow" w:eastAsia="Times New Roman" w:hAnsi="Arial Narrow"/>
                <w:b/>
                <w:color w:val="000000"/>
                <w:sz w:val="20"/>
                <w:szCs w:val="20"/>
              </w:rPr>
              <w:t>PNB</w:t>
            </w:r>
          </w:p>
        </w:tc>
      </w:tr>
      <w:tr w:rsidR="005A5E7D" w:rsidRPr="006C2E2C">
        <w:trPr>
          <w:trHeight w:val="324"/>
        </w:trPr>
        <w:tc>
          <w:tcPr>
            <w:tcW w:w="2880"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Puerto Rico</w:t>
            </w:r>
          </w:p>
        </w:tc>
        <w:tc>
          <w:tcPr>
            <w:tcW w:w="1764"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3.5%</w:t>
            </w:r>
          </w:p>
        </w:tc>
        <w:tc>
          <w:tcPr>
            <w:tcW w:w="1560"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3.5%</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1.7%</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2.6%</w:t>
            </w:r>
          </w:p>
        </w:tc>
      </w:tr>
      <w:tr w:rsidR="005A5E7D" w:rsidRPr="006C2E2C">
        <w:trPr>
          <w:trHeight w:val="234"/>
        </w:trPr>
        <w:tc>
          <w:tcPr>
            <w:tcW w:w="2880"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Puerto Rico (sin Ley 154)</w:t>
            </w:r>
          </w:p>
        </w:tc>
        <w:tc>
          <w:tcPr>
            <w:tcW w:w="1764"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c>
          <w:tcPr>
            <w:tcW w:w="1560"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2.4%</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r>
      <w:tr w:rsidR="005A5E7D" w:rsidRPr="006C2E2C">
        <w:trPr>
          <w:trHeight w:val="180"/>
        </w:trPr>
        <w:tc>
          <w:tcPr>
            <w:tcW w:w="2880"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1764"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c>
          <w:tcPr>
            <w:tcW w:w="1560"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r>
      <w:tr w:rsidR="005A5E7D" w:rsidRPr="006C2E2C">
        <w:trPr>
          <w:trHeight w:val="276"/>
        </w:trPr>
        <w:tc>
          <w:tcPr>
            <w:tcW w:w="2880"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Pr>
                <w:rFonts w:ascii="Arial Narrow" w:eastAsia="Times New Roman" w:hAnsi="Arial Narrow"/>
                <w:color w:val="000000"/>
                <w:sz w:val="20"/>
                <w:szCs w:val="20"/>
              </w:rPr>
              <w:t>Promedio e</w:t>
            </w:r>
            <w:r w:rsidRPr="006C2E2C">
              <w:rPr>
                <w:rFonts w:ascii="Arial Narrow" w:eastAsia="Times New Roman" w:hAnsi="Arial Narrow"/>
                <w:color w:val="000000"/>
                <w:sz w:val="20"/>
                <w:szCs w:val="20"/>
              </w:rPr>
              <w:t>stados</w:t>
            </w:r>
          </w:p>
        </w:tc>
        <w:tc>
          <w:tcPr>
            <w:tcW w:w="1764"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1.9%</w:t>
            </w:r>
          </w:p>
        </w:tc>
        <w:tc>
          <w:tcPr>
            <w:tcW w:w="1560"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Pr>
                <w:rFonts w:ascii="Arial Narrow" w:eastAsia="Times New Roman" w:hAnsi="Arial Narrow"/>
                <w:color w:val="000000"/>
                <w:sz w:val="20"/>
                <w:szCs w:val="20"/>
              </w:rPr>
              <w:t>2.9</w:t>
            </w:r>
            <w:r w:rsidRPr="006C2E2C">
              <w:rPr>
                <w:rFonts w:ascii="Arial Narrow" w:eastAsia="Times New Roman" w:hAnsi="Arial Narrow"/>
                <w:color w:val="000000"/>
                <w:sz w:val="20"/>
                <w:szCs w:val="20"/>
              </w:rPr>
              <w:t>%</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0.3%</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r>
      <w:tr w:rsidR="005A5E7D" w:rsidRPr="006C2E2C">
        <w:trPr>
          <w:trHeight w:val="378"/>
        </w:trPr>
        <w:tc>
          <w:tcPr>
            <w:tcW w:w="2880" w:type="dxa"/>
            <w:shd w:val="clear" w:color="auto" w:fill="auto"/>
          </w:tcPr>
          <w:p w:rsidR="005A5E7D" w:rsidRPr="006C2E2C" w:rsidRDefault="005A5E7D" w:rsidP="005A5E7D">
            <w:pPr>
              <w:spacing w:line="240" w:lineRule="auto"/>
              <w:ind w:firstLine="0"/>
              <w:jc w:val="left"/>
              <w:rPr>
                <w:rFonts w:ascii="Arial Narrow" w:hAnsi="Arial Narrow"/>
                <w:color w:val="000000"/>
                <w:sz w:val="20"/>
              </w:rPr>
            </w:pPr>
            <w:r>
              <w:rPr>
                <w:rFonts w:ascii="Arial Narrow" w:eastAsia="Times New Roman" w:hAnsi="Arial Narrow"/>
                <w:color w:val="000000"/>
                <w:sz w:val="20"/>
                <w:szCs w:val="20"/>
              </w:rPr>
              <w:t>Desviación e</w:t>
            </w:r>
            <w:r w:rsidRPr="006C2E2C">
              <w:rPr>
                <w:rFonts w:ascii="Arial Narrow" w:eastAsia="Times New Roman" w:hAnsi="Arial Narrow"/>
                <w:color w:val="000000"/>
                <w:sz w:val="20"/>
                <w:szCs w:val="20"/>
              </w:rPr>
              <w:t>stándar entre estados</w:t>
            </w:r>
          </w:p>
        </w:tc>
        <w:tc>
          <w:tcPr>
            <w:tcW w:w="1764"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1.0%</w:t>
            </w:r>
          </w:p>
        </w:tc>
        <w:tc>
          <w:tcPr>
            <w:tcW w:w="1560"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0.2%</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r>
      <w:tr w:rsidR="005A5E7D" w:rsidRPr="006C2E2C">
        <w:trPr>
          <w:trHeight w:val="351"/>
        </w:trPr>
        <w:tc>
          <w:tcPr>
            <w:tcW w:w="2880"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Valor máximo entre estados</w:t>
            </w:r>
          </w:p>
        </w:tc>
        <w:tc>
          <w:tcPr>
            <w:tcW w:w="1764"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3.8%</w:t>
            </w:r>
          </w:p>
        </w:tc>
        <w:tc>
          <w:tcPr>
            <w:tcW w:w="1560"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Pr>
                <w:rFonts w:ascii="Arial Narrow" w:eastAsia="Times New Roman" w:hAnsi="Arial Narrow"/>
                <w:color w:val="000000"/>
                <w:sz w:val="20"/>
                <w:szCs w:val="20"/>
              </w:rPr>
              <w:t>1.0</w:t>
            </w:r>
            <w:r w:rsidRPr="006C2E2C">
              <w:rPr>
                <w:rFonts w:ascii="Arial Narrow" w:eastAsia="Times New Roman" w:hAnsi="Arial Narrow"/>
                <w:color w:val="000000"/>
                <w:sz w:val="20"/>
                <w:szCs w:val="20"/>
              </w:rPr>
              <w:t>%</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1.4%</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r>
      <w:tr w:rsidR="005A5E7D" w:rsidRPr="006C2E2C">
        <w:trPr>
          <w:trHeight w:val="360"/>
        </w:trPr>
        <w:tc>
          <w:tcPr>
            <w:tcW w:w="2880"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Valor mínimo entre estados</w:t>
            </w:r>
          </w:p>
        </w:tc>
        <w:tc>
          <w:tcPr>
            <w:tcW w:w="1764"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0.0%</w:t>
            </w:r>
          </w:p>
        </w:tc>
        <w:tc>
          <w:tcPr>
            <w:tcW w:w="1560"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Pr>
                <w:rFonts w:ascii="Arial Narrow" w:eastAsia="Times New Roman" w:hAnsi="Arial Narrow"/>
                <w:color w:val="000000"/>
                <w:sz w:val="20"/>
                <w:szCs w:val="20"/>
              </w:rPr>
              <w:t>5.6</w:t>
            </w:r>
            <w:r w:rsidRPr="006C2E2C">
              <w:rPr>
                <w:rFonts w:ascii="Arial Narrow" w:eastAsia="Times New Roman" w:hAnsi="Arial Narrow"/>
                <w:color w:val="000000"/>
                <w:sz w:val="20"/>
                <w:szCs w:val="20"/>
              </w:rPr>
              <w:t>%</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r w:rsidRPr="006C2E2C">
              <w:rPr>
                <w:rFonts w:ascii="Arial Narrow" w:eastAsia="Times New Roman" w:hAnsi="Arial Narrow"/>
                <w:color w:val="000000"/>
                <w:sz w:val="20"/>
                <w:szCs w:val="20"/>
              </w:rPr>
              <w:t>0.0%</w:t>
            </w:r>
          </w:p>
        </w:tc>
        <w:tc>
          <w:tcPr>
            <w:tcW w:w="1559"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rPr>
            </w:pPr>
          </w:p>
        </w:tc>
      </w:tr>
    </w:tbl>
    <w:p w:rsidR="005A5E7D" w:rsidRPr="003A21B9" w:rsidRDefault="005A5E7D" w:rsidP="005A5E7D">
      <w:pPr>
        <w:tabs>
          <w:tab w:val="left" w:pos="180"/>
          <w:tab w:val="left" w:pos="360"/>
        </w:tabs>
        <w:suppressAutoHyphens/>
        <w:ind w:firstLine="706"/>
        <w:rPr>
          <w:rFonts w:eastAsia="+mn-ea"/>
          <w:color w:val="000000"/>
          <w:kern w:val="1"/>
          <w:szCs w:val="24"/>
          <w:lang w:eastAsia="ar-SA"/>
        </w:rPr>
      </w:pPr>
    </w:p>
    <w:p w:rsidR="005A5E7D" w:rsidRDefault="005A5E7D" w:rsidP="005A5E7D">
      <w:pPr>
        <w:rPr>
          <w:lang w:eastAsia="ar-SA"/>
        </w:rPr>
      </w:pPr>
      <w:r>
        <w:rPr>
          <w:lang w:eastAsia="ar-SA"/>
        </w:rPr>
        <w:t>De acuerdo con la</w:t>
      </w:r>
      <w:r w:rsidRPr="003A21B9">
        <w:rPr>
          <w:lang w:eastAsia="ar-SA"/>
        </w:rPr>
        <w:t xml:space="preserve"> </w:t>
      </w:r>
      <w:r w:rsidRPr="0076388E">
        <w:rPr>
          <w:i/>
          <w:lang w:eastAsia="ar-SA"/>
        </w:rPr>
        <w:t>Government Accountability Office</w:t>
      </w:r>
      <w:r w:rsidRPr="003A21B9">
        <w:rPr>
          <w:lang w:eastAsia="ar-SA"/>
        </w:rPr>
        <w:t xml:space="preserve"> (GAO, 2006),</w:t>
      </w:r>
      <w:r>
        <w:rPr>
          <w:lang w:eastAsia="ar-SA"/>
        </w:rPr>
        <w:t xml:space="preserve"> </w:t>
      </w:r>
      <w:r w:rsidRPr="003A21B9">
        <w:rPr>
          <w:lang w:eastAsia="ar-SA"/>
        </w:rPr>
        <w:t>al tomar en consideración los impuestos estatales y federales para el</w:t>
      </w:r>
      <w:r>
        <w:rPr>
          <w:lang w:eastAsia="ar-SA"/>
        </w:rPr>
        <w:t xml:space="preserve"> </w:t>
      </w:r>
      <w:r w:rsidRPr="003A21B9">
        <w:rPr>
          <w:lang w:eastAsia="ar-SA"/>
        </w:rPr>
        <w:t>2002,</w:t>
      </w:r>
      <w:r>
        <w:rPr>
          <w:lang w:eastAsia="ar-SA"/>
        </w:rPr>
        <w:t xml:space="preserve"> </w:t>
      </w:r>
      <w:r w:rsidRPr="003A21B9">
        <w:rPr>
          <w:lang w:eastAsia="ar-SA"/>
        </w:rPr>
        <w:t xml:space="preserve">el impuesto per cápita como </w:t>
      </w:r>
      <w:r>
        <w:rPr>
          <w:lang w:eastAsia="ar-SA"/>
        </w:rPr>
        <w:t>porcentaje</w:t>
      </w:r>
      <w:r w:rsidRPr="003A21B9">
        <w:rPr>
          <w:lang w:eastAsia="ar-SA"/>
        </w:rPr>
        <w:t xml:space="preserve"> del ingreso per cápita pagado por los residentes de Puerto Rico (28%) fue similar a</w:t>
      </w:r>
      <w:r>
        <w:rPr>
          <w:lang w:eastAsia="ar-SA"/>
        </w:rPr>
        <w:t>l</w:t>
      </w:r>
      <w:r w:rsidRPr="003A21B9">
        <w:rPr>
          <w:lang w:eastAsia="ar-SA"/>
        </w:rPr>
        <w:t xml:space="preserve"> correspondiente a los re</w:t>
      </w:r>
      <w:r>
        <w:rPr>
          <w:lang w:eastAsia="ar-SA"/>
        </w:rPr>
        <w:t xml:space="preserve">sidentes de los estados (30%). </w:t>
      </w:r>
      <w:r w:rsidRPr="003A21B9">
        <w:rPr>
          <w:lang w:eastAsia="ar-SA"/>
        </w:rPr>
        <w:t>No obstante, el 75% de los impuestos pagados por los residentes de Puerto Rico</w:t>
      </w:r>
      <w:r>
        <w:rPr>
          <w:lang w:eastAsia="ar-SA"/>
        </w:rPr>
        <w:t xml:space="preserve"> corresponden a impuestos del G</w:t>
      </w:r>
      <w:r w:rsidRPr="003A21B9">
        <w:rPr>
          <w:lang w:eastAsia="ar-SA"/>
        </w:rPr>
        <w:t>obierno del ELA o a los gobiernos municipales, mientras que</w:t>
      </w:r>
      <w:r>
        <w:rPr>
          <w:lang w:eastAsia="ar-SA"/>
        </w:rPr>
        <w:t xml:space="preserve"> </w:t>
      </w:r>
      <w:r w:rsidRPr="003A21B9">
        <w:rPr>
          <w:lang w:eastAsia="ar-SA"/>
        </w:rPr>
        <w:t xml:space="preserve">el 25% </w:t>
      </w:r>
      <w:r>
        <w:rPr>
          <w:lang w:eastAsia="ar-SA"/>
        </w:rPr>
        <w:t>restante va al G</w:t>
      </w:r>
      <w:r w:rsidRPr="003A21B9">
        <w:rPr>
          <w:lang w:eastAsia="ar-SA"/>
        </w:rPr>
        <w:t>obierno federal por concepto de impuestos al ingreso personal o de nómina.</w:t>
      </w:r>
    </w:p>
    <w:p w:rsidR="005A5E7D" w:rsidRDefault="005A5E7D" w:rsidP="005A5E7D">
      <w:pPr>
        <w:rPr>
          <w:lang w:eastAsia="ar-SA"/>
        </w:rPr>
      </w:pPr>
      <w:r w:rsidRPr="003A21B9">
        <w:rPr>
          <w:lang w:eastAsia="ar-SA"/>
        </w:rPr>
        <w:t>En contraste, cerca del 60% de los impuestos pagados por los r</w:t>
      </w:r>
      <w:r>
        <w:rPr>
          <w:lang w:eastAsia="ar-SA"/>
        </w:rPr>
        <w:t>esidentes de los estados va al G</w:t>
      </w:r>
      <w:r w:rsidRPr="003A21B9">
        <w:rPr>
          <w:lang w:eastAsia="ar-SA"/>
        </w:rPr>
        <w:t>obierno federal.</w:t>
      </w:r>
      <w:r>
        <w:rPr>
          <w:rFonts w:eastAsia="SimSun"/>
          <w:color w:val="C32D2E"/>
          <w:lang w:eastAsia="ar-SA"/>
        </w:rPr>
        <w:t xml:space="preserve"> </w:t>
      </w:r>
      <w:r w:rsidRPr="003A21B9">
        <w:rPr>
          <w:lang w:eastAsia="ar-SA"/>
        </w:rPr>
        <w:t>Esto presenta un reto importante en caso de que Puerto Rico fuera a incorporarse totalmente al sistema fiscal federal</w:t>
      </w:r>
      <w:r>
        <w:rPr>
          <w:lang w:eastAsia="ar-SA"/>
        </w:rPr>
        <w:t>,</w:t>
      </w:r>
      <w:r w:rsidRPr="003A21B9">
        <w:rPr>
          <w:lang w:eastAsia="ar-SA"/>
        </w:rPr>
        <w:t xml:space="preserve"> ya que en los estados los impuestos se canalizan</w:t>
      </w:r>
      <w:r>
        <w:rPr>
          <w:lang w:eastAsia="ar-SA"/>
        </w:rPr>
        <w:t xml:space="preserve"> </w:t>
      </w:r>
      <w:r w:rsidRPr="003A21B9">
        <w:rPr>
          <w:lang w:eastAsia="ar-SA"/>
        </w:rPr>
        <w:t xml:space="preserve">a través del </w:t>
      </w:r>
      <w:r>
        <w:rPr>
          <w:lang w:eastAsia="ar-SA"/>
        </w:rPr>
        <w:t>Gobierno</w:t>
      </w:r>
      <w:r w:rsidRPr="003A21B9">
        <w:rPr>
          <w:lang w:eastAsia="ar-SA"/>
        </w:rPr>
        <w:t xml:space="preserve"> federal que luego lo revierte a los estados por vía de programas de subvenciones y otras transferencias, que a su vez responden a las prioridades del </w:t>
      </w:r>
      <w:r>
        <w:rPr>
          <w:lang w:eastAsia="ar-SA"/>
        </w:rPr>
        <w:t>Gobierno</w:t>
      </w:r>
      <w:r w:rsidRPr="003A21B9">
        <w:rPr>
          <w:lang w:eastAsia="ar-SA"/>
        </w:rPr>
        <w:t xml:space="preserve"> federal. Por el contrario, Puerto Rico recibe muchas de dichas subvenciones</w:t>
      </w:r>
      <w:r>
        <w:rPr>
          <w:lang w:eastAsia="ar-SA"/>
        </w:rPr>
        <w:t>,</w:t>
      </w:r>
      <w:r w:rsidRPr="003A21B9">
        <w:rPr>
          <w:lang w:eastAsia="ar-SA"/>
        </w:rPr>
        <w:t xml:space="preserve"> pero sin ceder la mayoría de sus recaudos al </w:t>
      </w:r>
      <w:r>
        <w:rPr>
          <w:lang w:eastAsia="ar-SA"/>
        </w:rPr>
        <w:t>Gobierno federal.</w:t>
      </w:r>
    </w:p>
    <w:p w:rsidR="005A5E7D" w:rsidRPr="00B671E5" w:rsidRDefault="005A5E7D" w:rsidP="005A5E7D">
      <w:pPr>
        <w:spacing w:line="240" w:lineRule="auto"/>
        <w:rPr>
          <w:sz w:val="16"/>
          <w:lang w:eastAsia="ar-SA"/>
        </w:rPr>
      </w:pPr>
    </w:p>
    <w:p w:rsidR="00D32F91" w:rsidRDefault="00D32F91" w:rsidP="005A5E7D">
      <w:pPr>
        <w:pStyle w:val="Heading2"/>
        <w:numPr>
          <w:ilvl w:val="0"/>
          <w:numId w:val="0"/>
        </w:numPr>
        <w:rPr>
          <w:lang w:eastAsia="ar-SA"/>
        </w:rPr>
      </w:pPr>
    </w:p>
    <w:p w:rsidR="00D32F91" w:rsidRDefault="00D32F91" w:rsidP="005A5E7D">
      <w:pPr>
        <w:pStyle w:val="Heading2"/>
        <w:numPr>
          <w:ilvl w:val="0"/>
          <w:numId w:val="0"/>
        </w:numPr>
        <w:rPr>
          <w:lang w:eastAsia="ar-SA"/>
        </w:rPr>
      </w:pPr>
    </w:p>
    <w:p w:rsidR="005A5E7D" w:rsidRPr="00CC0CA3" w:rsidRDefault="005A5E7D" w:rsidP="005A5E7D">
      <w:pPr>
        <w:pStyle w:val="Heading2"/>
        <w:numPr>
          <w:ilvl w:val="0"/>
          <w:numId w:val="0"/>
        </w:numPr>
        <w:rPr>
          <w:rFonts w:eastAsia="+mn-ea"/>
          <w:lang w:eastAsia="ar-SA"/>
        </w:rPr>
      </w:pPr>
      <w:bookmarkStart w:id="56" w:name="_Toc384769751"/>
      <w:r w:rsidRPr="00CC0CA3">
        <w:rPr>
          <w:lang w:eastAsia="ar-SA"/>
        </w:rPr>
        <w:t xml:space="preserve">D. </w:t>
      </w:r>
      <w:r>
        <w:rPr>
          <w:rFonts w:eastAsia="+mn-ea"/>
          <w:lang w:eastAsia="ar-SA"/>
        </w:rPr>
        <w:t>Estimaciones del pago de impuestos federales bajo la e</w:t>
      </w:r>
      <w:r w:rsidRPr="00CC0CA3">
        <w:rPr>
          <w:rFonts w:eastAsia="+mn-ea"/>
          <w:lang w:eastAsia="ar-SA"/>
        </w:rPr>
        <w:t>stadidad</w:t>
      </w:r>
      <w:bookmarkEnd w:id="56"/>
    </w:p>
    <w:p w:rsidR="005A5E7D" w:rsidRDefault="005A5E7D" w:rsidP="005A5E7D">
      <w:pPr>
        <w:spacing w:line="240" w:lineRule="auto"/>
        <w:rPr>
          <w:lang w:eastAsia="ar-SA"/>
        </w:rPr>
      </w:pPr>
    </w:p>
    <w:p w:rsidR="005A5E7D" w:rsidRPr="003A21B9" w:rsidRDefault="005A5E7D" w:rsidP="005A5E7D">
      <w:pPr>
        <w:rPr>
          <w:lang w:eastAsia="ar-SA"/>
        </w:rPr>
      </w:pPr>
      <w:r w:rsidRPr="003A21B9">
        <w:rPr>
          <w:lang w:eastAsia="ar-SA"/>
        </w:rPr>
        <w:t>A base de la experiencia de los 50 estados y utilizando los datos que se indican a continuación, presentamos estimados razonables de lo que p</w:t>
      </w:r>
      <w:r>
        <w:rPr>
          <w:lang w:eastAsia="ar-SA"/>
        </w:rPr>
        <w:t>odría</w:t>
      </w:r>
      <w:r w:rsidRPr="003A21B9">
        <w:rPr>
          <w:lang w:eastAsia="ar-SA"/>
        </w:rPr>
        <w:t>n ser las contribuciones al ingreso de los individuos y de las corporaciones en Puerto Rico bajo la estadidad:</w:t>
      </w:r>
    </w:p>
    <w:p w:rsidR="005A5E7D" w:rsidRPr="003A21B9" w:rsidRDefault="005A5E7D" w:rsidP="005A5E7D">
      <w:pPr>
        <w:numPr>
          <w:ilvl w:val="0"/>
          <w:numId w:val="8"/>
        </w:numPr>
        <w:tabs>
          <w:tab w:val="left" w:pos="180"/>
          <w:tab w:val="left" w:pos="360"/>
        </w:tabs>
        <w:suppressAutoHyphens/>
        <w:spacing w:line="240" w:lineRule="auto"/>
        <w:ind w:left="993" w:hanging="284"/>
        <w:rPr>
          <w:rFonts w:eastAsia="+mn-ea"/>
          <w:color w:val="000000"/>
          <w:kern w:val="1"/>
          <w:szCs w:val="24"/>
          <w:lang w:eastAsia="ar-SA"/>
        </w:rPr>
      </w:pPr>
      <w:r>
        <w:rPr>
          <w:rFonts w:eastAsia="+mn-ea"/>
          <w:color w:val="000000"/>
          <w:kern w:val="1"/>
          <w:szCs w:val="24"/>
          <w:lang w:eastAsia="ar-SA"/>
        </w:rPr>
        <w:t>Recaudos de impuestos del G</w:t>
      </w:r>
      <w:r w:rsidRPr="003A21B9">
        <w:rPr>
          <w:rFonts w:eastAsia="+mn-ea"/>
          <w:color w:val="000000"/>
          <w:kern w:val="1"/>
          <w:szCs w:val="24"/>
          <w:lang w:eastAsia="ar-SA"/>
        </w:rPr>
        <w:t>obierno federal por tipo de impuesto y estado de procedencia</w:t>
      </w:r>
      <w:r>
        <w:rPr>
          <w:rFonts w:eastAsia="+mn-ea"/>
          <w:noProof/>
          <w:color w:val="000000"/>
          <w:kern w:val="1"/>
          <w:szCs w:val="24"/>
          <w:lang w:eastAsia="ar-SA"/>
        </w:rPr>
        <w:t xml:space="preserve"> (</w:t>
      </w:r>
      <w:r w:rsidRPr="00E40812">
        <w:rPr>
          <w:rFonts w:eastAsia="+mn-ea"/>
          <w:i/>
          <w:noProof/>
          <w:color w:val="000000"/>
          <w:kern w:val="1"/>
          <w:szCs w:val="24"/>
          <w:lang w:eastAsia="ar-SA"/>
        </w:rPr>
        <w:t>Internal Revenue Service</w:t>
      </w:r>
      <w:r>
        <w:rPr>
          <w:rFonts w:eastAsia="+mn-ea"/>
          <w:noProof/>
          <w:color w:val="000000"/>
          <w:kern w:val="1"/>
          <w:szCs w:val="24"/>
          <w:lang w:eastAsia="ar-SA"/>
        </w:rPr>
        <w:t>, m</w:t>
      </w:r>
      <w:r w:rsidRPr="003A21B9">
        <w:rPr>
          <w:rFonts w:eastAsia="+mn-ea"/>
          <w:noProof/>
          <w:color w:val="000000"/>
          <w:kern w:val="1"/>
          <w:szCs w:val="24"/>
          <w:lang w:eastAsia="ar-SA"/>
        </w:rPr>
        <w:t xml:space="preserve">arzo </w:t>
      </w:r>
      <w:r>
        <w:rPr>
          <w:rFonts w:eastAsia="+mn-ea"/>
          <w:noProof/>
          <w:color w:val="000000"/>
          <w:kern w:val="1"/>
          <w:szCs w:val="24"/>
          <w:lang w:eastAsia="ar-SA"/>
        </w:rPr>
        <w:t xml:space="preserve">de </w:t>
      </w:r>
      <w:r w:rsidRPr="003A21B9">
        <w:rPr>
          <w:rFonts w:eastAsia="+mn-ea"/>
          <w:noProof/>
          <w:color w:val="000000"/>
          <w:kern w:val="1"/>
          <w:szCs w:val="24"/>
          <w:lang w:eastAsia="ar-SA"/>
        </w:rPr>
        <w:t>2013)</w:t>
      </w:r>
      <w:r>
        <w:rPr>
          <w:rFonts w:eastAsia="+mn-ea"/>
          <w:color w:val="000000"/>
          <w:kern w:val="1"/>
          <w:szCs w:val="24"/>
          <w:lang w:eastAsia="ar-SA"/>
        </w:rPr>
        <w:t>.</w:t>
      </w:r>
    </w:p>
    <w:p w:rsidR="005A5E7D" w:rsidRPr="003A21B9" w:rsidRDefault="005A5E7D" w:rsidP="005A5E7D">
      <w:pPr>
        <w:numPr>
          <w:ilvl w:val="0"/>
          <w:numId w:val="8"/>
        </w:numPr>
        <w:tabs>
          <w:tab w:val="left" w:pos="180"/>
          <w:tab w:val="left" w:pos="360"/>
        </w:tabs>
        <w:suppressAutoHyphens/>
        <w:spacing w:before="120" w:line="240" w:lineRule="auto"/>
        <w:ind w:left="993" w:hanging="284"/>
        <w:rPr>
          <w:rFonts w:eastAsia="+mn-ea"/>
          <w:color w:val="000000"/>
          <w:kern w:val="1"/>
          <w:szCs w:val="24"/>
          <w:lang w:eastAsia="ar-SA"/>
        </w:rPr>
      </w:pPr>
      <w:r w:rsidRPr="003A21B9">
        <w:rPr>
          <w:rFonts w:eastAsia="+mn-ea"/>
          <w:color w:val="000000"/>
          <w:kern w:val="1"/>
          <w:szCs w:val="24"/>
          <w:lang w:eastAsia="ar-SA"/>
        </w:rPr>
        <w:t xml:space="preserve">Impuestos federales sobre el ingreso de individuos como </w:t>
      </w:r>
      <w:r>
        <w:rPr>
          <w:rFonts w:eastAsia="+mn-ea"/>
          <w:color w:val="000000"/>
          <w:kern w:val="1"/>
          <w:szCs w:val="24"/>
          <w:lang w:eastAsia="ar-SA"/>
        </w:rPr>
        <w:t>porcentaje</w:t>
      </w:r>
      <w:r w:rsidRPr="003A21B9">
        <w:rPr>
          <w:rFonts w:eastAsia="+mn-ea"/>
          <w:color w:val="000000"/>
          <w:kern w:val="1"/>
          <w:szCs w:val="24"/>
          <w:lang w:eastAsia="ar-SA"/>
        </w:rPr>
        <w:t xml:space="preserve"> del Ingreso Bruto Ajustado por categorías de ingreso </w:t>
      </w:r>
      <w:r>
        <w:rPr>
          <w:rFonts w:eastAsia="+mn-ea"/>
          <w:noProof/>
          <w:color w:val="000000"/>
          <w:kern w:val="1"/>
          <w:szCs w:val="24"/>
          <w:lang w:eastAsia="ar-SA"/>
        </w:rPr>
        <w:t>(</w:t>
      </w:r>
      <w:r w:rsidRPr="00E40812">
        <w:rPr>
          <w:rFonts w:eastAsia="+mn-ea"/>
          <w:i/>
          <w:noProof/>
          <w:color w:val="000000"/>
          <w:kern w:val="1"/>
          <w:szCs w:val="24"/>
          <w:lang w:eastAsia="ar-SA"/>
        </w:rPr>
        <w:t>Internal Revenue Service</w:t>
      </w:r>
      <w:r w:rsidRPr="003A21B9">
        <w:rPr>
          <w:rFonts w:eastAsia="+mn-ea"/>
          <w:noProof/>
          <w:color w:val="000000"/>
          <w:kern w:val="1"/>
          <w:szCs w:val="24"/>
          <w:lang w:eastAsia="ar-SA"/>
        </w:rPr>
        <w:t>, 2013)</w:t>
      </w:r>
      <w:r>
        <w:rPr>
          <w:rFonts w:eastAsia="+mn-ea"/>
          <w:noProof/>
          <w:color w:val="000000"/>
          <w:kern w:val="1"/>
          <w:szCs w:val="24"/>
          <w:lang w:eastAsia="ar-SA"/>
        </w:rPr>
        <w:t>.</w:t>
      </w:r>
    </w:p>
    <w:p w:rsidR="005A5E7D" w:rsidRPr="003A21B9" w:rsidRDefault="005A5E7D" w:rsidP="005A5E7D">
      <w:pPr>
        <w:numPr>
          <w:ilvl w:val="0"/>
          <w:numId w:val="8"/>
        </w:numPr>
        <w:tabs>
          <w:tab w:val="left" w:pos="180"/>
          <w:tab w:val="left" w:pos="360"/>
        </w:tabs>
        <w:suppressAutoHyphens/>
        <w:spacing w:before="120" w:line="240" w:lineRule="auto"/>
        <w:ind w:left="993" w:hanging="284"/>
        <w:rPr>
          <w:rFonts w:eastAsia="+mn-ea"/>
          <w:color w:val="000000"/>
          <w:kern w:val="1"/>
          <w:szCs w:val="24"/>
          <w:lang w:eastAsia="ar-SA"/>
        </w:rPr>
      </w:pPr>
      <w:r w:rsidRPr="003A21B9">
        <w:rPr>
          <w:rFonts w:eastAsia="+mn-ea"/>
          <w:color w:val="000000"/>
          <w:kern w:val="1"/>
          <w:szCs w:val="24"/>
          <w:lang w:eastAsia="ar-SA"/>
        </w:rPr>
        <w:t xml:space="preserve">Total de Ingreso Bruto Ajustado informado en el 2011 en Puerto Rico por niveles de ingresos </w:t>
      </w:r>
      <w:r w:rsidRPr="003A21B9">
        <w:rPr>
          <w:rFonts w:eastAsia="+mn-ea"/>
          <w:noProof/>
          <w:color w:val="000000"/>
          <w:kern w:val="1"/>
          <w:szCs w:val="24"/>
          <w:lang w:eastAsia="ar-SA"/>
        </w:rPr>
        <w:t>(Departamento de Hacienda de Puerto Rico, 2013)</w:t>
      </w:r>
      <w:r w:rsidRPr="003A21B9">
        <w:rPr>
          <w:rFonts w:eastAsia="+mn-ea"/>
          <w:color w:val="000000"/>
          <w:kern w:val="1"/>
          <w:szCs w:val="24"/>
          <w:lang w:eastAsia="ar-SA"/>
        </w:rPr>
        <w:t>.</w:t>
      </w:r>
    </w:p>
    <w:p w:rsidR="005A5E7D" w:rsidRPr="003A21B9" w:rsidRDefault="005A5E7D" w:rsidP="005A5E7D">
      <w:pPr>
        <w:numPr>
          <w:ilvl w:val="0"/>
          <w:numId w:val="8"/>
        </w:numPr>
        <w:tabs>
          <w:tab w:val="left" w:pos="180"/>
          <w:tab w:val="left" w:pos="360"/>
        </w:tabs>
        <w:suppressAutoHyphens/>
        <w:spacing w:before="120" w:line="240" w:lineRule="auto"/>
        <w:ind w:left="993" w:hanging="284"/>
        <w:rPr>
          <w:rFonts w:eastAsia="+mn-ea"/>
          <w:color w:val="000000"/>
          <w:kern w:val="1"/>
          <w:szCs w:val="24"/>
          <w:lang w:eastAsia="ar-SA"/>
        </w:rPr>
      </w:pPr>
      <w:r w:rsidRPr="003A21B9">
        <w:rPr>
          <w:rFonts w:eastAsia="+mn-ea"/>
          <w:color w:val="000000"/>
          <w:kern w:val="1"/>
          <w:szCs w:val="24"/>
          <w:lang w:eastAsia="ar-SA"/>
        </w:rPr>
        <w:t xml:space="preserve">Impuestos federales sobre ingresos de corporaciones como </w:t>
      </w:r>
      <w:r>
        <w:rPr>
          <w:rFonts w:eastAsia="+mn-ea"/>
          <w:color w:val="000000"/>
          <w:kern w:val="1"/>
          <w:szCs w:val="24"/>
          <w:lang w:eastAsia="ar-SA"/>
        </w:rPr>
        <w:t>porcentaje</w:t>
      </w:r>
      <w:r w:rsidRPr="003A21B9">
        <w:rPr>
          <w:rFonts w:eastAsia="+mn-ea"/>
          <w:color w:val="000000"/>
          <w:kern w:val="1"/>
          <w:szCs w:val="24"/>
          <w:lang w:eastAsia="ar-SA"/>
        </w:rPr>
        <w:t xml:space="preserve"> del ingreso bruto (</w:t>
      </w:r>
      <w:r w:rsidRPr="003A21B9">
        <w:rPr>
          <w:rFonts w:eastAsia="+mn-ea"/>
          <w:i/>
          <w:color w:val="000000"/>
          <w:kern w:val="1"/>
          <w:szCs w:val="24"/>
          <w:lang w:eastAsia="ar-SA"/>
        </w:rPr>
        <w:t>business receipts</w:t>
      </w:r>
      <w:r w:rsidRPr="003A21B9">
        <w:rPr>
          <w:rFonts w:eastAsia="+mn-ea"/>
          <w:color w:val="000000"/>
          <w:kern w:val="1"/>
          <w:szCs w:val="24"/>
          <w:lang w:eastAsia="ar-SA"/>
        </w:rPr>
        <w:t xml:space="preserve">) y cómo </w:t>
      </w:r>
      <w:r>
        <w:rPr>
          <w:rFonts w:eastAsia="+mn-ea"/>
          <w:color w:val="000000"/>
          <w:kern w:val="1"/>
          <w:szCs w:val="24"/>
          <w:lang w:eastAsia="ar-SA"/>
        </w:rPr>
        <w:t>porcentaje</w:t>
      </w:r>
      <w:r w:rsidRPr="003A21B9">
        <w:rPr>
          <w:rFonts w:eastAsia="+mn-ea"/>
          <w:color w:val="000000"/>
          <w:kern w:val="1"/>
          <w:szCs w:val="24"/>
          <w:lang w:eastAsia="ar-SA"/>
        </w:rPr>
        <w:t xml:space="preserve"> del ingreso neto sujeto a impuestos por niveles de ingresos brutos</w:t>
      </w:r>
      <w:r>
        <w:rPr>
          <w:rFonts w:eastAsia="+mn-ea"/>
          <w:noProof/>
          <w:color w:val="000000"/>
          <w:kern w:val="1"/>
          <w:szCs w:val="24"/>
          <w:lang w:eastAsia="ar-SA"/>
        </w:rPr>
        <w:t xml:space="preserve"> (</w:t>
      </w:r>
      <w:r w:rsidRPr="00837D17">
        <w:rPr>
          <w:rFonts w:eastAsia="+mn-ea"/>
          <w:i/>
          <w:noProof/>
          <w:color w:val="000000"/>
          <w:kern w:val="1"/>
          <w:szCs w:val="24"/>
          <w:lang w:eastAsia="ar-SA"/>
        </w:rPr>
        <w:t>Internal Revenue Service</w:t>
      </w:r>
      <w:r w:rsidRPr="003A21B9">
        <w:rPr>
          <w:rFonts w:eastAsia="+mn-ea"/>
          <w:noProof/>
          <w:color w:val="000000"/>
          <w:kern w:val="1"/>
          <w:szCs w:val="24"/>
          <w:lang w:eastAsia="ar-SA"/>
        </w:rPr>
        <w:t xml:space="preserve">, </w:t>
      </w:r>
      <w:r w:rsidRPr="00837D17">
        <w:rPr>
          <w:rFonts w:eastAsia="+mn-ea"/>
          <w:i/>
          <w:noProof/>
          <w:color w:val="000000"/>
          <w:kern w:val="1"/>
          <w:szCs w:val="24"/>
          <w:lang w:eastAsia="ar-SA"/>
        </w:rPr>
        <w:t>US Department of Treasury</w:t>
      </w:r>
      <w:r w:rsidRPr="003A21B9">
        <w:rPr>
          <w:rFonts w:eastAsia="+mn-ea"/>
          <w:noProof/>
          <w:color w:val="000000"/>
          <w:kern w:val="1"/>
          <w:szCs w:val="24"/>
          <w:lang w:eastAsia="ar-SA"/>
        </w:rPr>
        <w:t>, 2013)</w:t>
      </w:r>
      <w:r w:rsidRPr="003A21B9">
        <w:rPr>
          <w:rFonts w:eastAsia="+mn-ea"/>
          <w:color w:val="000000"/>
          <w:kern w:val="1"/>
          <w:szCs w:val="24"/>
          <w:lang w:eastAsia="ar-SA"/>
        </w:rPr>
        <w:t>.</w:t>
      </w:r>
    </w:p>
    <w:p w:rsidR="005A5E7D" w:rsidRPr="003A21B9" w:rsidRDefault="005A5E7D" w:rsidP="005A5E7D">
      <w:pPr>
        <w:numPr>
          <w:ilvl w:val="0"/>
          <w:numId w:val="8"/>
        </w:numPr>
        <w:tabs>
          <w:tab w:val="left" w:pos="180"/>
          <w:tab w:val="left" w:pos="360"/>
        </w:tabs>
        <w:suppressAutoHyphens/>
        <w:spacing w:before="120" w:line="240" w:lineRule="auto"/>
        <w:ind w:left="993" w:hanging="284"/>
        <w:rPr>
          <w:rFonts w:eastAsia="+mn-ea"/>
          <w:color w:val="000000"/>
          <w:kern w:val="1"/>
          <w:szCs w:val="24"/>
          <w:lang w:eastAsia="ar-SA"/>
        </w:rPr>
      </w:pPr>
      <w:r w:rsidRPr="003A21B9">
        <w:rPr>
          <w:rFonts w:eastAsia="+mn-ea"/>
          <w:color w:val="000000"/>
          <w:kern w:val="1"/>
          <w:szCs w:val="24"/>
          <w:lang w:eastAsia="ar-SA"/>
        </w:rPr>
        <w:t>Número de planillas corporativas no exentas, ingreso bruto e ingreso neto, 2011</w:t>
      </w:r>
      <w:r w:rsidRPr="003A21B9">
        <w:rPr>
          <w:rFonts w:eastAsia="+mn-ea"/>
          <w:noProof/>
          <w:color w:val="000000"/>
          <w:kern w:val="1"/>
          <w:szCs w:val="24"/>
          <w:lang w:eastAsia="ar-SA"/>
        </w:rPr>
        <w:t xml:space="preserve"> (Departamento de Hacienda de Puerto Rico, 2013)</w:t>
      </w:r>
      <w:r w:rsidRPr="003A21B9">
        <w:rPr>
          <w:rFonts w:eastAsia="+mn-ea"/>
          <w:color w:val="000000"/>
          <w:kern w:val="1"/>
          <w:szCs w:val="24"/>
          <w:lang w:eastAsia="ar-SA"/>
        </w:rPr>
        <w:t>.</w:t>
      </w:r>
    </w:p>
    <w:p w:rsidR="005A5E7D" w:rsidRPr="003A21B9" w:rsidRDefault="005A5E7D" w:rsidP="005A5E7D">
      <w:pPr>
        <w:tabs>
          <w:tab w:val="left" w:pos="180"/>
          <w:tab w:val="left" w:pos="360"/>
        </w:tabs>
        <w:suppressAutoHyphens/>
        <w:spacing w:line="360" w:lineRule="auto"/>
        <w:ind w:firstLine="706"/>
        <w:rPr>
          <w:rFonts w:eastAsia="+mn-ea"/>
          <w:color w:val="000000"/>
          <w:kern w:val="1"/>
          <w:szCs w:val="24"/>
          <w:lang w:eastAsia="ar-SA"/>
        </w:rPr>
      </w:pPr>
    </w:p>
    <w:p w:rsidR="005A5E7D" w:rsidRPr="003A21B9" w:rsidRDefault="005A5E7D" w:rsidP="005A5E7D">
      <w:pPr>
        <w:rPr>
          <w:lang w:eastAsia="ar-SA"/>
        </w:rPr>
      </w:pPr>
      <w:r w:rsidRPr="003A21B9">
        <w:rPr>
          <w:lang w:eastAsia="ar-SA"/>
        </w:rPr>
        <w:t xml:space="preserve">El propósito de este ejercicio es proveer una aproximación a la magnitud de los cambios impositivos bajo la integración de Puerto Rico al sistema tributario de Estados Unidos, suponiendo que no hubiese cambios en el sistema de Puerto Rico, ni respuestas en conductas económicas de los contribuyentes </w:t>
      </w:r>
      <w:r>
        <w:rPr>
          <w:lang w:eastAsia="ar-SA"/>
        </w:rPr>
        <w:t>de la Isla</w:t>
      </w:r>
      <w:r w:rsidRPr="003A21B9">
        <w:rPr>
          <w:lang w:eastAsia="ar-SA"/>
        </w:rPr>
        <w:t xml:space="preserve"> a nivel individual y a nivel corporativo.</w:t>
      </w:r>
      <w:r>
        <w:rPr>
          <w:lang w:eastAsia="ar-SA"/>
        </w:rPr>
        <w:t xml:space="preserve"> </w:t>
      </w:r>
      <w:r w:rsidRPr="003A21B9">
        <w:rPr>
          <w:lang w:eastAsia="ar-SA"/>
        </w:rPr>
        <w:t xml:space="preserve">El ejercicio tiene </w:t>
      </w:r>
      <w:r>
        <w:rPr>
          <w:lang w:eastAsia="ar-SA"/>
        </w:rPr>
        <w:t>el</w:t>
      </w:r>
      <w:r w:rsidRPr="003A21B9">
        <w:rPr>
          <w:lang w:eastAsia="ar-SA"/>
        </w:rPr>
        <w:t xml:space="preserve"> propósito</w:t>
      </w:r>
      <w:r>
        <w:rPr>
          <w:lang w:eastAsia="ar-SA"/>
        </w:rPr>
        <w:t xml:space="preserve"> de</w:t>
      </w:r>
      <w:r w:rsidRPr="003A21B9">
        <w:rPr>
          <w:lang w:eastAsia="ar-SA"/>
        </w:rPr>
        <w:t xml:space="preserve"> explorar la necesidad de posibles cambios a</w:t>
      </w:r>
      <w:r>
        <w:rPr>
          <w:lang w:eastAsia="ar-SA"/>
        </w:rPr>
        <w:t>l</w:t>
      </w:r>
      <w:r w:rsidRPr="003A21B9">
        <w:rPr>
          <w:lang w:eastAsia="ar-SA"/>
        </w:rPr>
        <w:t xml:space="preserve"> sistema contributivo </w:t>
      </w:r>
      <w:r>
        <w:rPr>
          <w:lang w:eastAsia="ar-SA"/>
        </w:rPr>
        <w:t>puertorriqueño</w:t>
      </w:r>
      <w:r w:rsidRPr="003A21B9">
        <w:rPr>
          <w:lang w:eastAsia="ar-SA"/>
        </w:rPr>
        <w:t xml:space="preserve"> para evitar cambios no favorables en la conducta económica de los contribuyentes.</w:t>
      </w:r>
    </w:p>
    <w:p w:rsidR="005A5E7D" w:rsidRPr="003A21B9" w:rsidRDefault="005A5E7D" w:rsidP="005A5E7D">
      <w:pPr>
        <w:rPr>
          <w:lang w:eastAsia="ar-SA"/>
        </w:rPr>
      </w:pPr>
      <w:r w:rsidRPr="003A21B9">
        <w:rPr>
          <w:lang w:eastAsia="ar-SA"/>
        </w:rPr>
        <w:t>La carga tributaria de los impuestos estatales para el 2011 se estim</w:t>
      </w:r>
      <w:r>
        <w:rPr>
          <w:lang w:eastAsia="ar-SA"/>
        </w:rPr>
        <w:t>ó</w:t>
      </w:r>
      <w:r w:rsidRPr="003A21B9">
        <w:rPr>
          <w:lang w:eastAsia="ar-SA"/>
        </w:rPr>
        <w:t xml:space="preserve"> en función de los datos de recaudos señalados anteriormente para Puerto Rico y los estados.</w:t>
      </w:r>
      <w:r>
        <w:rPr>
          <w:lang w:eastAsia="ar-SA"/>
        </w:rPr>
        <w:t xml:space="preserve"> </w:t>
      </w:r>
      <w:r w:rsidRPr="003A21B9">
        <w:rPr>
          <w:lang w:eastAsia="ar-SA"/>
        </w:rPr>
        <w:t>Para efectos del presente análisis, los recaudos del arbitrio a las ventas de las corporaciones foráneas impuesto por la Ley 154 de 2010 se contabilizan dentro de la partida de impuestos corporativos.</w:t>
      </w:r>
      <w:r>
        <w:rPr>
          <w:lang w:eastAsia="ar-SA"/>
        </w:rPr>
        <w:t xml:space="preserve"> D</w:t>
      </w:r>
      <w:r w:rsidRPr="003A21B9">
        <w:rPr>
          <w:lang w:eastAsia="ar-SA"/>
        </w:rPr>
        <w:t>ichos</w:t>
      </w:r>
      <w:r>
        <w:rPr>
          <w:lang w:eastAsia="ar-SA"/>
        </w:rPr>
        <w:t xml:space="preserve"> </w:t>
      </w:r>
      <w:r w:rsidRPr="003A21B9">
        <w:rPr>
          <w:lang w:eastAsia="ar-SA"/>
        </w:rPr>
        <w:t>recaudos totalizaron $677.9 millones</w:t>
      </w:r>
      <w:r>
        <w:rPr>
          <w:lang w:eastAsia="ar-SA"/>
        </w:rPr>
        <w:t xml:space="preserve"> en 2011, </w:t>
      </w:r>
      <w:r w:rsidRPr="003A21B9">
        <w:rPr>
          <w:lang w:eastAsia="ar-SA"/>
        </w:rPr>
        <w:t>mientras los recaudos totales por concepto de impuestos sobre el ingreso de las corporaciones totalizaron $1,673 millones (41% del total).</w:t>
      </w:r>
      <w:r>
        <w:rPr>
          <w:lang w:eastAsia="ar-SA"/>
        </w:rPr>
        <w:t xml:space="preserve"> </w:t>
      </w:r>
      <w:r w:rsidRPr="003A21B9">
        <w:rPr>
          <w:lang w:eastAsia="ar-SA"/>
        </w:rPr>
        <w:t>Los datos sobre las contribuciones federales pagadas por Puerto Rico bajo el estatus actual y para el promedio de los estados se tomaron directamente del</w:t>
      </w:r>
      <w:r>
        <w:rPr>
          <w:lang w:eastAsia="ar-SA"/>
        </w:rPr>
        <w:t xml:space="preserve"> </w:t>
      </w:r>
      <w:r w:rsidRPr="003A21B9">
        <w:rPr>
          <w:i/>
          <w:lang w:eastAsia="ar-SA"/>
        </w:rPr>
        <w:t>IRS Data Book.</w:t>
      </w:r>
      <w:r>
        <w:rPr>
          <w:lang w:eastAsia="ar-SA"/>
        </w:rPr>
        <w:t xml:space="preserve"> </w:t>
      </w:r>
    </w:p>
    <w:p w:rsidR="005A5E7D" w:rsidRDefault="005A5E7D" w:rsidP="005A5E7D">
      <w:pPr>
        <w:rPr>
          <w:rFonts w:eastAsia="SimSun" w:cs="Calibri"/>
          <w:lang w:eastAsia="ar-SA"/>
        </w:rPr>
      </w:pPr>
      <w:r w:rsidRPr="003A21B9">
        <w:rPr>
          <w:lang w:eastAsia="ar-SA"/>
        </w:rPr>
        <w:t>A continuación se presenta una estimación razonable de las contribuciones federales de los individuos y las corporaciones radicadas en Puerto Rico en el 2011, si hubiesen estado sujetos al código federal y en igualdad de condiciones que los demás estados.</w:t>
      </w:r>
      <w:r>
        <w:rPr>
          <w:lang w:eastAsia="ar-SA"/>
        </w:rPr>
        <w:t xml:space="preserve"> </w:t>
      </w:r>
      <w:r w:rsidRPr="003A21B9">
        <w:rPr>
          <w:rFonts w:eastAsia="SimSun" w:cs="Calibri"/>
          <w:lang w:eastAsia="ar-SA"/>
        </w:rPr>
        <w:t>Para estimar los impuestos federales a pagar por los individuos (excluyendo al ingreso de las</w:t>
      </w:r>
      <w:r>
        <w:rPr>
          <w:rFonts w:eastAsia="SimSun" w:cs="Calibri"/>
          <w:lang w:eastAsia="ar-SA"/>
        </w:rPr>
        <w:t xml:space="preserve"> </w:t>
      </w:r>
      <w:r w:rsidRPr="003A21B9">
        <w:rPr>
          <w:rFonts w:eastAsia="SimSun" w:cs="Calibri"/>
          <w:lang w:eastAsia="ar-SA"/>
        </w:rPr>
        <w:t>corporaciones), se procedió a calcular el impuesto federal</w:t>
      </w:r>
      <w:r>
        <w:rPr>
          <w:rFonts w:eastAsia="SimSun" w:cs="Calibri"/>
          <w:lang w:eastAsia="ar-SA"/>
        </w:rPr>
        <w:t xml:space="preserve"> </w:t>
      </w:r>
      <w:r w:rsidRPr="003A21B9">
        <w:rPr>
          <w:rFonts w:eastAsia="SimSun" w:cs="Calibri"/>
          <w:lang w:eastAsia="ar-SA"/>
        </w:rPr>
        <w:t>por concepto del ingreso de individuos que hubiesen pagado los contribuyentes en Puerto Rico.</w:t>
      </w:r>
      <w:r>
        <w:rPr>
          <w:rFonts w:eastAsia="SimSun" w:cs="Calibri"/>
          <w:lang w:eastAsia="ar-SA"/>
        </w:rPr>
        <w:t xml:space="preserve"> </w:t>
      </w:r>
      <w:r w:rsidRPr="003A21B9">
        <w:rPr>
          <w:rFonts w:eastAsia="SimSun" w:cs="Calibri"/>
          <w:lang w:eastAsia="ar-SA"/>
        </w:rPr>
        <w:t xml:space="preserve">Utilizando los datos del Negociado de Contribuciones </w:t>
      </w:r>
      <w:r>
        <w:rPr>
          <w:rFonts w:eastAsia="SimSun" w:cs="Calibri"/>
          <w:lang w:eastAsia="ar-SA"/>
        </w:rPr>
        <w:t>f</w:t>
      </w:r>
      <w:r w:rsidRPr="003A21B9">
        <w:rPr>
          <w:rFonts w:eastAsia="SimSun" w:cs="Calibri"/>
          <w:lang w:eastAsia="ar-SA"/>
        </w:rPr>
        <w:t>ederal</w:t>
      </w:r>
      <w:r>
        <w:rPr>
          <w:rFonts w:eastAsia="SimSun" w:cs="Calibri"/>
          <w:lang w:eastAsia="ar-SA"/>
        </w:rPr>
        <w:t>,</w:t>
      </w:r>
      <w:r w:rsidRPr="003A21B9">
        <w:rPr>
          <w:rFonts w:eastAsia="SimSun" w:cs="Calibri"/>
          <w:lang w:eastAsia="ar-SA"/>
        </w:rPr>
        <w:t xml:space="preserve"> se estimó el impuesto pagado como </w:t>
      </w:r>
      <w:r>
        <w:rPr>
          <w:rFonts w:eastAsia="SimSun" w:cs="Calibri"/>
          <w:lang w:eastAsia="ar-SA"/>
        </w:rPr>
        <w:t>porcentaje</w:t>
      </w:r>
      <w:r w:rsidRPr="003A21B9">
        <w:rPr>
          <w:rFonts w:eastAsia="SimSun" w:cs="Calibri"/>
          <w:lang w:eastAsia="ar-SA"/>
        </w:rPr>
        <w:t xml:space="preserve"> del ingreso bruto ajustado total para cada escala de ingreso en </w:t>
      </w:r>
      <w:r>
        <w:rPr>
          <w:rFonts w:eastAsia="SimSun" w:cs="Calibri"/>
          <w:lang w:eastAsia="ar-SA"/>
        </w:rPr>
        <w:t>Estados Unidos</w:t>
      </w:r>
      <w:r w:rsidRPr="003A21B9">
        <w:rPr>
          <w:rFonts w:eastAsia="SimSun" w:cs="Calibri"/>
          <w:lang w:eastAsia="ar-SA"/>
        </w:rPr>
        <w:t>.</w:t>
      </w:r>
      <w:r>
        <w:rPr>
          <w:rFonts w:eastAsia="SimSun" w:cs="Calibri"/>
          <w:lang w:eastAsia="ar-SA"/>
        </w:rPr>
        <w:t xml:space="preserve"> </w:t>
      </w:r>
      <w:r w:rsidRPr="003A21B9">
        <w:rPr>
          <w:rFonts w:eastAsia="SimSun" w:cs="Calibri"/>
          <w:lang w:eastAsia="ar-SA"/>
        </w:rPr>
        <w:t xml:space="preserve">Estos </w:t>
      </w:r>
      <w:r>
        <w:rPr>
          <w:rFonts w:eastAsia="SimSun" w:cs="Calibri"/>
          <w:lang w:eastAsia="ar-SA"/>
        </w:rPr>
        <w:t>porcentaje</w:t>
      </w:r>
      <w:r w:rsidRPr="003A21B9">
        <w:rPr>
          <w:rFonts w:eastAsia="SimSun" w:cs="Calibri"/>
          <w:lang w:eastAsia="ar-SA"/>
        </w:rPr>
        <w:t>s se aplica</w:t>
      </w:r>
      <w:r>
        <w:rPr>
          <w:rFonts w:eastAsia="SimSun" w:cs="Calibri"/>
          <w:lang w:eastAsia="ar-SA"/>
        </w:rPr>
        <w:t>ro</w:t>
      </w:r>
      <w:r w:rsidRPr="003A21B9">
        <w:rPr>
          <w:rFonts w:eastAsia="SimSun" w:cs="Calibri"/>
          <w:lang w:eastAsia="ar-SA"/>
        </w:rPr>
        <w:t>n al ingreso bruto ajustado (IBA) total informado en las planillas de Puerto Rico, para cada escala de ingreso.</w:t>
      </w:r>
      <w:r>
        <w:rPr>
          <w:rFonts w:eastAsia="SimSun" w:cs="Calibri"/>
          <w:lang w:eastAsia="ar-SA"/>
        </w:rPr>
        <w:t xml:space="preserve"> </w:t>
      </w:r>
      <w:r w:rsidRPr="003A21B9">
        <w:rPr>
          <w:rFonts w:eastAsia="SimSun" w:cs="Calibri"/>
          <w:lang w:eastAsia="ar-SA"/>
        </w:rPr>
        <w:t>De esta manera</w:t>
      </w:r>
      <w:r>
        <w:rPr>
          <w:rFonts w:eastAsia="SimSun" w:cs="Calibri"/>
          <w:lang w:eastAsia="ar-SA"/>
        </w:rPr>
        <w:t>,</w:t>
      </w:r>
      <w:r w:rsidRPr="003A21B9">
        <w:rPr>
          <w:rFonts w:eastAsia="SimSun" w:cs="Calibri"/>
          <w:lang w:eastAsia="ar-SA"/>
        </w:rPr>
        <w:t xml:space="preserve"> se estim</w:t>
      </w:r>
      <w:r>
        <w:rPr>
          <w:rFonts w:eastAsia="SimSun" w:cs="Calibri"/>
          <w:lang w:eastAsia="ar-SA"/>
        </w:rPr>
        <w:t>ó</w:t>
      </w:r>
      <w:r w:rsidRPr="003A21B9">
        <w:rPr>
          <w:rFonts w:eastAsia="SimSun" w:cs="Calibri"/>
          <w:lang w:eastAsia="ar-SA"/>
        </w:rPr>
        <w:t xml:space="preserve"> el impuesto federal a pagar por los individuos residentes en Puerto Rico para cada nivel de ingreso correspondiente.</w:t>
      </w:r>
      <w:r>
        <w:rPr>
          <w:rFonts w:eastAsia="SimSun" w:cs="Calibri"/>
          <w:lang w:eastAsia="ar-SA"/>
        </w:rPr>
        <w:t xml:space="preserve"> </w:t>
      </w:r>
      <w:r w:rsidRPr="003A21B9">
        <w:rPr>
          <w:rFonts w:eastAsia="SimSun" w:cs="Calibri"/>
          <w:lang w:eastAsia="ar-SA"/>
        </w:rPr>
        <w:t xml:space="preserve">La </w:t>
      </w:r>
      <w:r w:rsidRPr="003A21B9">
        <w:rPr>
          <w:rFonts w:eastAsia="SimSun" w:cs="Calibri"/>
          <w:b/>
          <w:lang w:eastAsia="ar-SA"/>
        </w:rPr>
        <w:t xml:space="preserve">Tabla 3 </w:t>
      </w:r>
      <w:r w:rsidRPr="003A21B9">
        <w:rPr>
          <w:rFonts w:eastAsia="SimSun" w:cs="Calibri"/>
          <w:lang w:eastAsia="ar-SA"/>
        </w:rPr>
        <w:t>muestra el cálculo por nivel de ingreso bruto ajustado.</w:t>
      </w:r>
      <w:r>
        <w:rPr>
          <w:rFonts w:eastAsia="SimSun" w:cs="Calibri"/>
          <w:lang w:eastAsia="ar-SA"/>
        </w:rPr>
        <w:t xml:space="preserve"> </w:t>
      </w:r>
    </w:p>
    <w:p w:rsidR="005A5E7D" w:rsidRPr="00385752" w:rsidRDefault="005A5E7D" w:rsidP="005A5E7D">
      <w:pPr>
        <w:spacing w:after="200" w:line="240" w:lineRule="auto"/>
        <w:ind w:firstLine="0"/>
        <w:jc w:val="left"/>
        <w:rPr>
          <w:rFonts w:eastAsia="SimSun" w:cs="Calibri"/>
          <w:sz w:val="16"/>
          <w:lang w:eastAsia="ar-SA"/>
        </w:rPr>
      </w:pPr>
    </w:p>
    <w:tbl>
      <w:tblPr>
        <w:tblW w:w="9729" w:type="dxa"/>
        <w:jc w:val="center"/>
        <w:tblBorders>
          <w:top w:val="single" w:sz="12" w:space="0" w:color="008000"/>
          <w:bottom w:val="single" w:sz="12" w:space="0" w:color="008000"/>
        </w:tblBorders>
        <w:tblLook w:val="04A0"/>
      </w:tblPr>
      <w:tblGrid>
        <w:gridCol w:w="809"/>
        <w:gridCol w:w="809"/>
        <w:gridCol w:w="1262"/>
        <w:gridCol w:w="1413"/>
        <w:gridCol w:w="1827"/>
        <w:gridCol w:w="1706"/>
        <w:gridCol w:w="1538"/>
        <w:gridCol w:w="365"/>
      </w:tblGrid>
      <w:tr w:rsidR="005A5E7D" w:rsidRPr="006C2E2C">
        <w:trPr>
          <w:trHeight w:val="708"/>
          <w:jc w:val="center"/>
        </w:trPr>
        <w:tc>
          <w:tcPr>
            <w:tcW w:w="9729" w:type="dxa"/>
            <w:gridSpan w:val="8"/>
            <w:tcBorders>
              <w:bottom w:val="single" w:sz="6" w:space="0" w:color="008000"/>
            </w:tcBorders>
            <w:shd w:val="clear" w:color="auto" w:fill="auto"/>
          </w:tcPr>
          <w:p w:rsidR="005A5E7D" w:rsidRPr="006C2E2C" w:rsidRDefault="005A5E7D" w:rsidP="005A5E7D">
            <w:pPr>
              <w:suppressAutoHyphens/>
              <w:spacing w:line="240" w:lineRule="auto"/>
              <w:ind w:firstLine="0"/>
              <w:jc w:val="center"/>
              <w:rPr>
                <w:rFonts w:ascii="Arial Narrow" w:eastAsia="Times New Roman" w:hAnsi="Arial Narrow"/>
                <w:b/>
                <w:color w:val="000000"/>
                <w:sz w:val="20"/>
                <w:szCs w:val="20"/>
                <w:lang w:eastAsia="es-PR"/>
              </w:rPr>
            </w:pPr>
            <w:r w:rsidRPr="00385752">
              <w:rPr>
                <w:rFonts w:ascii="Arial Narrow" w:eastAsia="Times New Roman" w:hAnsi="Arial Narrow"/>
                <w:b/>
                <w:color w:val="000000"/>
                <w:sz w:val="22"/>
                <w:szCs w:val="20"/>
                <w:lang w:eastAsia="es-PR"/>
              </w:rPr>
              <w:t>Tabla 3</w:t>
            </w:r>
            <w:r w:rsidRPr="00385752">
              <w:rPr>
                <w:rFonts w:ascii="Arial Narrow" w:eastAsia="Times New Roman" w:hAnsi="Arial Narrow"/>
                <w:b/>
                <w:color w:val="000000"/>
                <w:sz w:val="22"/>
                <w:szCs w:val="20"/>
                <w:lang w:eastAsia="es-PR"/>
              </w:rPr>
              <w:br/>
            </w:r>
            <w:r w:rsidRPr="006C2E2C">
              <w:rPr>
                <w:rFonts w:ascii="Arial Narrow" w:eastAsia="Times New Roman" w:hAnsi="Arial Narrow"/>
                <w:b/>
                <w:color w:val="000000"/>
                <w:sz w:val="20"/>
                <w:szCs w:val="20"/>
                <w:lang w:eastAsia="es-PR"/>
              </w:rPr>
              <w:t>Estimación de Pago del Impuesto Federal Sobre el Ingreso Personal por nivel de Ingreso Bruto Ajustado (IBA) 2011</w:t>
            </w:r>
          </w:p>
        </w:tc>
      </w:tr>
      <w:tr w:rsidR="005A5E7D" w:rsidRPr="006C2E2C">
        <w:trPr>
          <w:trHeight w:val="1083"/>
          <w:jc w:val="center"/>
        </w:trPr>
        <w:tc>
          <w:tcPr>
            <w:tcW w:w="1618" w:type="dxa"/>
            <w:gridSpan w:val="2"/>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Escalas de </w:t>
            </w:r>
            <w:r>
              <w:rPr>
                <w:rFonts w:ascii="Arial Narrow" w:eastAsia="Times New Roman" w:hAnsi="Arial Narrow"/>
                <w:b/>
                <w:bCs/>
                <w:color w:val="000000"/>
                <w:sz w:val="20"/>
                <w:szCs w:val="20"/>
                <w:lang w:eastAsia="es-PR"/>
              </w:rPr>
              <w:t>Ingreso Bruto Ajustado (</w:t>
            </w:r>
            <w:r w:rsidRPr="006C2E2C">
              <w:rPr>
                <w:rFonts w:ascii="Arial Narrow" w:eastAsia="Times New Roman" w:hAnsi="Arial Narrow"/>
                <w:b/>
                <w:bCs/>
                <w:color w:val="000000"/>
                <w:sz w:val="20"/>
                <w:szCs w:val="20"/>
                <w:lang w:eastAsia="es-PR"/>
              </w:rPr>
              <w:t>IBA</w:t>
            </w:r>
            <w:r>
              <w:rPr>
                <w:rFonts w:ascii="Arial Narrow" w:eastAsia="Times New Roman" w:hAnsi="Arial Narrow"/>
                <w:b/>
                <w:bCs/>
                <w:color w:val="000000"/>
                <w:sz w:val="20"/>
                <w:szCs w:val="20"/>
                <w:lang w:eastAsia="es-PR"/>
              </w:rPr>
              <w:t>)</w:t>
            </w:r>
            <w:r w:rsidRPr="006C2E2C">
              <w:rPr>
                <w:rFonts w:ascii="Arial Narrow" w:eastAsia="Times New Roman" w:hAnsi="Arial Narrow"/>
                <w:b/>
                <w:bCs/>
                <w:color w:val="000000"/>
                <w:sz w:val="20"/>
                <w:szCs w:val="20"/>
                <w:lang w:eastAsia="es-PR"/>
              </w:rPr>
              <w:t xml:space="preserve"> (Puerto Rico)</w:t>
            </w:r>
          </w:p>
        </w:tc>
        <w:tc>
          <w:tcPr>
            <w:tcW w:w="1262"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Número de Planillas Informadas</w:t>
            </w:r>
          </w:p>
          <w:p w:rsidR="005A5E7D" w:rsidRPr="006C2E2C" w:rsidRDefault="005A5E7D" w:rsidP="005A5E7D">
            <w:pPr>
              <w:spacing w:line="240" w:lineRule="auto"/>
              <w:ind w:right="-198"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(Puerto Rico) </w:t>
            </w:r>
          </w:p>
        </w:tc>
        <w:tc>
          <w:tcPr>
            <w:tcW w:w="1413"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Total IBA </w:t>
            </w:r>
            <w:r w:rsidRPr="006C2E2C">
              <w:rPr>
                <w:rFonts w:ascii="Arial Narrow" w:eastAsia="Times New Roman" w:hAnsi="Arial Narrow"/>
                <w:b/>
                <w:bCs/>
                <w:color w:val="000000"/>
                <w:sz w:val="20"/>
                <w:szCs w:val="20"/>
                <w:lang w:eastAsia="es-PR"/>
              </w:rPr>
              <w:br/>
              <w:t>Puerto Rico         (en miles de $)</w:t>
            </w:r>
          </w:p>
        </w:tc>
        <w:tc>
          <w:tcPr>
            <w:tcW w:w="1827"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Tasa</w:t>
            </w:r>
            <w:r>
              <w:rPr>
                <w:rFonts w:ascii="Arial Narrow" w:eastAsia="Times New Roman" w:hAnsi="Arial Narrow"/>
                <w:b/>
                <w:bCs/>
                <w:color w:val="000000"/>
                <w:sz w:val="20"/>
                <w:szCs w:val="20"/>
                <w:lang w:eastAsia="es-PR"/>
              </w:rPr>
              <w:t xml:space="preserve"> </w:t>
            </w:r>
            <w:r w:rsidRPr="006C2E2C">
              <w:rPr>
                <w:rFonts w:ascii="Arial Narrow" w:eastAsia="Times New Roman" w:hAnsi="Arial Narrow"/>
                <w:b/>
                <w:bCs/>
                <w:color w:val="000000"/>
                <w:sz w:val="20"/>
                <w:szCs w:val="20"/>
                <w:lang w:eastAsia="es-PR"/>
              </w:rPr>
              <w:t>Efectiva Impuesto Federal sobre Ingreso de Individuos (EE</w:t>
            </w:r>
            <w:r>
              <w:rPr>
                <w:rFonts w:ascii="Arial Narrow" w:eastAsia="Times New Roman" w:hAnsi="Arial Narrow"/>
                <w:b/>
                <w:bCs/>
                <w:color w:val="000000"/>
                <w:sz w:val="20"/>
                <w:szCs w:val="20"/>
                <w:lang w:eastAsia="es-PR"/>
              </w:rPr>
              <w:t xml:space="preserve">. </w:t>
            </w:r>
            <w:r w:rsidRPr="006C2E2C">
              <w:rPr>
                <w:rFonts w:ascii="Arial Narrow" w:eastAsia="Times New Roman" w:hAnsi="Arial Narrow"/>
                <w:b/>
                <w:bCs/>
                <w:color w:val="000000"/>
                <w:sz w:val="20"/>
                <w:szCs w:val="20"/>
                <w:lang w:eastAsia="es-PR"/>
              </w:rPr>
              <w:t>UU</w:t>
            </w:r>
            <w:r>
              <w:rPr>
                <w:rFonts w:ascii="Arial Narrow" w:eastAsia="Times New Roman" w:hAnsi="Arial Narrow"/>
                <w:b/>
                <w:bCs/>
                <w:color w:val="000000"/>
                <w:sz w:val="20"/>
                <w:szCs w:val="20"/>
                <w:lang w:eastAsia="es-PR"/>
              </w:rPr>
              <w:t>.</w:t>
            </w:r>
            <w:r w:rsidRPr="006C2E2C">
              <w:rPr>
                <w:rFonts w:ascii="Arial Narrow" w:eastAsia="Times New Roman" w:hAnsi="Arial Narrow"/>
                <w:b/>
                <w:bCs/>
                <w:color w:val="000000"/>
                <w:sz w:val="20"/>
                <w:szCs w:val="20"/>
                <w:lang w:eastAsia="es-PR"/>
              </w:rPr>
              <w:t xml:space="preserve">) </w:t>
            </w:r>
          </w:p>
        </w:tc>
        <w:tc>
          <w:tcPr>
            <w:tcW w:w="1706"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 Impuestos Federales Estimados </w:t>
            </w:r>
          </w:p>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(Puerto Rico)  </w:t>
            </w:r>
          </w:p>
        </w:tc>
        <w:tc>
          <w:tcPr>
            <w:tcW w:w="1903" w:type="dxa"/>
            <w:gridSpan w:val="2"/>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Estimado de Impuestos Federales por Contribuyente</w:t>
            </w:r>
          </w:p>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(Puerto Rico)</w:t>
            </w:r>
          </w:p>
        </w:tc>
      </w:tr>
      <w:tr w:rsidR="005A5E7D" w:rsidRPr="006C2E2C">
        <w:trPr>
          <w:gridAfter w:val="1"/>
          <w:wAfter w:w="365" w:type="dxa"/>
          <w:trHeight w:val="252"/>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69,496</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29,240</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5.1%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1,491,240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19,109</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47,900</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5.1%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2,442,900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128</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20,566</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71,959</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5.1%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3,669,909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178</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21,975</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99,224</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5.1%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5,060,424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230</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22,983</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126,691</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5.1%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6,461,241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281</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8,000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47,217</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331,477</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5.1%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16,905,327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358</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8,001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47,913</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430,917</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5.1%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21,976,767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459</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12,500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59,777</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673,666</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2.5%</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16,841,650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282</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12,501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15,000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65,720</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906,910</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2.5%</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22,672,750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345</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15,001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158,445</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2,733,588</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2.7%</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73,806,876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466</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25,000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103,096</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2,313,416</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4.2%</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97,163,472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942</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25,001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77,424</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2,122,863</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5.3%</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112,511,739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1,453</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33,333</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50,750</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1,606,449</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6.1%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97,993,389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1,931</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33,334</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72,705</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2,639,320</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6.1%</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160,998,520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2,214</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58,855</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2,622,204</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6.8%</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178,309,872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3,030</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35,606</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1,944,440</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7.4%</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143,888,560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4,041</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75,000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32,000</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2,134,941</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7.4%</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157,985,634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4,937</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75,001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17,392</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1,423,060</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8.6%</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122,383,160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7,037</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100,000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7,776</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736,657</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8.6%</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63,352,502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8,147</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100,001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150,000</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15,906</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1,904,160</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9.5%</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180,895,200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11,373</w:t>
            </w: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150,001</w:t>
            </w:r>
          </w:p>
        </w:tc>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11,124</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3,405,737</w:t>
            </w:r>
          </w:p>
        </w:tc>
        <w:tc>
          <w:tcPr>
            <w:tcW w:w="1827" w:type="dxa"/>
            <w:shd w:val="clear" w:color="auto" w:fill="auto"/>
            <w:noWrap/>
          </w:tcPr>
          <w:p w:rsidR="005A5E7D" w:rsidRPr="006C2E2C" w:rsidRDefault="005A5E7D" w:rsidP="005A5E7D">
            <w:pPr>
              <w:spacing w:line="240" w:lineRule="auto"/>
              <w:ind w:firstLine="0"/>
              <w:jc w:val="center"/>
              <w:rPr>
                <w:rFonts w:ascii="Arial Narrow" w:hAnsi="Arial Narrow"/>
                <w:color w:val="000000"/>
                <w:sz w:val="20"/>
                <w:lang w:eastAsia="es-PR"/>
              </w:rPr>
            </w:pPr>
            <w:r w:rsidRPr="006C2E2C">
              <w:rPr>
                <w:rFonts w:ascii="Arial Narrow" w:eastAsia="Times New Roman" w:hAnsi="Arial Narrow"/>
                <w:color w:val="000000"/>
                <w:sz w:val="20"/>
                <w:szCs w:val="20"/>
                <w:lang w:eastAsia="es-PR"/>
              </w:rPr>
              <w:t>12.7%</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432,528,599 </w:t>
            </w:r>
          </w:p>
        </w:tc>
        <w:tc>
          <w:tcPr>
            <w:tcW w:w="153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38,882</w:t>
            </w:r>
          </w:p>
        </w:tc>
      </w:tr>
      <w:tr w:rsidR="005A5E7D" w:rsidRPr="006C2E2C">
        <w:trPr>
          <w:gridAfter w:val="1"/>
          <w:wAfter w:w="365" w:type="dxa"/>
          <w:trHeight w:val="153"/>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p>
        </w:tc>
        <w:tc>
          <w:tcPr>
            <w:tcW w:w="809" w:type="dxa"/>
            <w:shd w:val="clear" w:color="auto" w:fill="auto"/>
            <w:noWrap/>
          </w:tcPr>
          <w:p w:rsidR="005A5E7D" w:rsidRPr="006C2E2C" w:rsidRDefault="005A5E7D" w:rsidP="005A5E7D">
            <w:pPr>
              <w:spacing w:line="240" w:lineRule="auto"/>
              <w:ind w:firstLine="0"/>
              <w:jc w:val="left"/>
              <w:rPr>
                <w:sz w:val="20"/>
                <w:lang w:eastAsia="es-PR"/>
              </w:rPr>
            </w:pPr>
          </w:p>
        </w:tc>
        <w:tc>
          <w:tcPr>
            <w:tcW w:w="1262" w:type="dxa"/>
            <w:shd w:val="clear" w:color="auto" w:fill="auto"/>
            <w:noWrap/>
          </w:tcPr>
          <w:p w:rsidR="005A5E7D" w:rsidRPr="006C2E2C" w:rsidRDefault="005A5E7D" w:rsidP="005A5E7D">
            <w:pPr>
              <w:spacing w:line="240" w:lineRule="auto"/>
              <w:ind w:firstLine="0"/>
              <w:jc w:val="left"/>
              <w:rPr>
                <w:sz w:val="20"/>
                <w:lang w:eastAsia="es-PR"/>
              </w:rPr>
            </w:pPr>
          </w:p>
        </w:tc>
        <w:tc>
          <w:tcPr>
            <w:tcW w:w="1413" w:type="dxa"/>
            <w:shd w:val="clear" w:color="auto" w:fill="auto"/>
            <w:noWrap/>
          </w:tcPr>
          <w:p w:rsidR="005A5E7D" w:rsidRPr="006C2E2C" w:rsidRDefault="005A5E7D" w:rsidP="005A5E7D">
            <w:pPr>
              <w:spacing w:line="240" w:lineRule="auto"/>
              <w:ind w:firstLine="0"/>
              <w:jc w:val="right"/>
              <w:rPr>
                <w:sz w:val="20"/>
                <w:lang w:eastAsia="es-PR"/>
              </w:rPr>
            </w:pPr>
          </w:p>
        </w:tc>
        <w:tc>
          <w:tcPr>
            <w:tcW w:w="1827" w:type="dxa"/>
            <w:shd w:val="clear" w:color="auto" w:fill="auto"/>
            <w:noWrap/>
          </w:tcPr>
          <w:p w:rsidR="005A5E7D" w:rsidRPr="006C2E2C" w:rsidRDefault="005A5E7D" w:rsidP="005A5E7D">
            <w:pPr>
              <w:spacing w:line="240" w:lineRule="auto"/>
              <w:ind w:firstLine="0"/>
              <w:jc w:val="left"/>
              <w:rPr>
                <w:sz w:val="20"/>
                <w:lang w:eastAsia="es-PR"/>
              </w:rPr>
            </w:pPr>
          </w:p>
        </w:tc>
        <w:tc>
          <w:tcPr>
            <w:tcW w:w="1706" w:type="dxa"/>
            <w:shd w:val="clear" w:color="auto" w:fill="auto"/>
            <w:noWrap/>
          </w:tcPr>
          <w:p w:rsidR="005A5E7D" w:rsidRPr="006C2E2C" w:rsidRDefault="005A5E7D" w:rsidP="005A5E7D">
            <w:pPr>
              <w:spacing w:line="240" w:lineRule="auto"/>
              <w:ind w:firstLine="0"/>
              <w:jc w:val="left"/>
              <w:rPr>
                <w:sz w:val="20"/>
                <w:lang w:eastAsia="es-PR"/>
              </w:rPr>
            </w:pPr>
          </w:p>
        </w:tc>
        <w:tc>
          <w:tcPr>
            <w:tcW w:w="1538" w:type="dxa"/>
            <w:shd w:val="clear" w:color="auto" w:fill="auto"/>
            <w:noWrap/>
          </w:tcPr>
          <w:p w:rsidR="005A5E7D" w:rsidRPr="006C2E2C" w:rsidRDefault="005A5E7D" w:rsidP="005A5E7D">
            <w:pPr>
              <w:spacing w:line="240" w:lineRule="auto"/>
              <w:ind w:firstLine="0"/>
              <w:jc w:val="left"/>
              <w:rPr>
                <w:sz w:val="20"/>
                <w:lang w:eastAsia="es-PR"/>
              </w:rPr>
            </w:pPr>
          </w:p>
        </w:tc>
      </w:tr>
      <w:tr w:rsidR="005A5E7D" w:rsidRPr="006C2E2C">
        <w:trPr>
          <w:gridAfter w:val="1"/>
          <w:wAfter w:w="365" w:type="dxa"/>
          <w:trHeight w:val="255"/>
          <w:jc w:val="center"/>
        </w:trPr>
        <w:tc>
          <w:tcPr>
            <w:tcW w:w="809"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TOTAL</w:t>
            </w:r>
          </w:p>
        </w:tc>
        <w:tc>
          <w:tcPr>
            <w:tcW w:w="809" w:type="dxa"/>
            <w:shd w:val="clear" w:color="auto" w:fill="auto"/>
            <w:noWrap/>
          </w:tcPr>
          <w:p w:rsidR="005A5E7D" w:rsidRPr="006C2E2C" w:rsidRDefault="005A5E7D" w:rsidP="005A5E7D">
            <w:pPr>
              <w:spacing w:line="240" w:lineRule="auto"/>
              <w:ind w:firstLine="0"/>
              <w:jc w:val="lef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w:t>
            </w:r>
          </w:p>
        </w:tc>
        <w:tc>
          <w:tcPr>
            <w:tcW w:w="1262"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1,015,835</w:t>
            </w:r>
          </w:p>
        </w:tc>
        <w:tc>
          <w:tcPr>
            <w:tcW w:w="1413"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 $     28,304,818 </w:t>
            </w:r>
          </w:p>
        </w:tc>
        <w:tc>
          <w:tcPr>
            <w:tcW w:w="1827" w:type="dxa"/>
            <w:shd w:val="clear" w:color="auto" w:fill="auto"/>
            <w:noWrap/>
          </w:tcPr>
          <w:p w:rsidR="005A5E7D" w:rsidRPr="006C2E2C" w:rsidRDefault="005A5E7D" w:rsidP="005A5E7D">
            <w:pPr>
              <w:spacing w:line="240" w:lineRule="auto"/>
              <w:ind w:firstLine="0"/>
              <w:jc w:val="lef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w:t>
            </w:r>
          </w:p>
        </w:tc>
        <w:tc>
          <w:tcPr>
            <w:tcW w:w="1706" w:type="dxa"/>
            <w:shd w:val="clear" w:color="auto" w:fill="auto"/>
            <w:noWrap/>
          </w:tcPr>
          <w:p w:rsidR="005A5E7D" w:rsidRPr="006C2E2C" w:rsidRDefault="005A5E7D" w:rsidP="005A5E7D">
            <w:pPr>
              <w:spacing w:line="240" w:lineRule="auto"/>
              <w:ind w:firstLine="0"/>
              <w:jc w:val="lef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 $      1,919,339,731 </w:t>
            </w:r>
          </w:p>
        </w:tc>
        <w:tc>
          <w:tcPr>
            <w:tcW w:w="1538" w:type="dxa"/>
            <w:shd w:val="clear" w:color="auto" w:fill="auto"/>
            <w:noWrap/>
          </w:tcPr>
          <w:p w:rsidR="005A5E7D" w:rsidRPr="006C2E2C" w:rsidRDefault="005A5E7D" w:rsidP="005A5E7D">
            <w:pPr>
              <w:spacing w:line="240" w:lineRule="auto"/>
              <w:ind w:firstLine="0"/>
              <w:jc w:val="lef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 $             </w:t>
            </w:r>
            <w:r>
              <w:rPr>
                <w:rFonts w:ascii="Arial Narrow" w:eastAsia="Times New Roman" w:hAnsi="Arial Narrow"/>
                <w:b/>
                <w:bCs/>
                <w:color w:val="000000"/>
                <w:sz w:val="20"/>
                <w:szCs w:val="20"/>
                <w:lang w:eastAsia="es-PR"/>
              </w:rPr>
              <w:t xml:space="preserve">   </w:t>
            </w:r>
            <w:r w:rsidRPr="006C2E2C">
              <w:rPr>
                <w:rFonts w:ascii="Arial Narrow" w:eastAsia="Times New Roman" w:hAnsi="Arial Narrow"/>
                <w:b/>
                <w:bCs/>
                <w:color w:val="000000"/>
                <w:sz w:val="20"/>
                <w:szCs w:val="20"/>
                <w:lang w:eastAsia="es-PR"/>
              </w:rPr>
              <w:t xml:space="preserve">1,889 </w:t>
            </w:r>
          </w:p>
        </w:tc>
      </w:tr>
    </w:tbl>
    <w:p w:rsidR="005A5E7D" w:rsidRDefault="005A5E7D" w:rsidP="005A5E7D">
      <w:pPr>
        <w:rPr>
          <w:lang w:eastAsia="ar-SA"/>
        </w:rPr>
      </w:pPr>
    </w:p>
    <w:p w:rsidR="00344E15" w:rsidRDefault="00344E15" w:rsidP="005A5E7D">
      <w:pPr>
        <w:rPr>
          <w:lang w:eastAsia="ar-SA"/>
        </w:rPr>
      </w:pPr>
    </w:p>
    <w:p w:rsidR="005A5E7D" w:rsidRPr="003A21B9" w:rsidRDefault="005A5E7D" w:rsidP="005A5E7D">
      <w:pPr>
        <w:rPr>
          <w:lang w:eastAsia="ar-SA"/>
        </w:rPr>
      </w:pPr>
      <w:r w:rsidRPr="003A21B9">
        <w:rPr>
          <w:lang w:eastAsia="ar-SA"/>
        </w:rPr>
        <w:t>Se estim</w:t>
      </w:r>
      <w:r>
        <w:rPr>
          <w:lang w:eastAsia="ar-SA"/>
        </w:rPr>
        <w:t>ó</w:t>
      </w:r>
      <w:r w:rsidRPr="003A21B9">
        <w:rPr>
          <w:lang w:eastAsia="ar-SA"/>
        </w:rPr>
        <w:t xml:space="preserve"> que los indivi</w:t>
      </w:r>
      <w:r>
        <w:rPr>
          <w:lang w:eastAsia="ar-SA"/>
        </w:rPr>
        <w:t>duos en Puerto Rico pagarían $1,</w:t>
      </w:r>
      <w:r w:rsidRPr="003A21B9">
        <w:rPr>
          <w:lang w:eastAsia="ar-SA"/>
        </w:rPr>
        <w:t>92</w:t>
      </w:r>
      <w:r>
        <w:rPr>
          <w:lang w:eastAsia="ar-SA"/>
        </w:rPr>
        <w:t>0 m</w:t>
      </w:r>
      <w:r w:rsidRPr="003A21B9">
        <w:rPr>
          <w:lang w:eastAsia="ar-SA"/>
        </w:rPr>
        <w:t>illones adicionales en contribuciones federales por concepto del ingreso de individuos.</w:t>
      </w:r>
      <w:r>
        <w:rPr>
          <w:lang w:eastAsia="ar-SA"/>
        </w:rPr>
        <w:t xml:space="preserve"> </w:t>
      </w:r>
      <w:r w:rsidRPr="003A21B9">
        <w:rPr>
          <w:lang w:eastAsia="ar-SA"/>
        </w:rPr>
        <w:t>A este total se le suma</w:t>
      </w:r>
      <w:r>
        <w:rPr>
          <w:lang w:eastAsia="ar-SA"/>
        </w:rPr>
        <w:t>ro</w:t>
      </w:r>
      <w:r w:rsidRPr="003A21B9">
        <w:rPr>
          <w:lang w:eastAsia="ar-SA"/>
        </w:rPr>
        <w:t xml:space="preserve">n los </w:t>
      </w:r>
      <w:r>
        <w:rPr>
          <w:lang w:eastAsia="ar-SA"/>
        </w:rPr>
        <w:t>$3,</w:t>
      </w:r>
      <w:r w:rsidRPr="003A21B9">
        <w:rPr>
          <w:lang w:eastAsia="ar-SA"/>
        </w:rPr>
        <w:t>14</w:t>
      </w:r>
      <w:r>
        <w:rPr>
          <w:lang w:eastAsia="ar-SA"/>
        </w:rPr>
        <w:t>0 m</w:t>
      </w:r>
      <w:r w:rsidRPr="003A21B9">
        <w:rPr>
          <w:lang w:eastAsia="ar-SA"/>
        </w:rPr>
        <w:t>illones que se pagan actualment</w:t>
      </w:r>
      <w:r>
        <w:rPr>
          <w:lang w:eastAsia="ar-SA"/>
        </w:rPr>
        <w:t>e, resultando en un total de $5,</w:t>
      </w:r>
      <w:r w:rsidRPr="003A21B9">
        <w:rPr>
          <w:lang w:eastAsia="ar-SA"/>
        </w:rPr>
        <w:t>06</w:t>
      </w:r>
      <w:r>
        <w:rPr>
          <w:lang w:eastAsia="ar-SA"/>
        </w:rPr>
        <w:t>0 m</w:t>
      </w:r>
      <w:r w:rsidRPr="003A21B9">
        <w:rPr>
          <w:lang w:eastAsia="ar-SA"/>
        </w:rPr>
        <w:t>illones en contribuciones federales (excluyendo los impuestos al ingreso corporativo).</w:t>
      </w:r>
      <w:r>
        <w:rPr>
          <w:lang w:eastAsia="ar-SA"/>
        </w:rPr>
        <w:t xml:space="preserve"> </w:t>
      </w:r>
      <w:r w:rsidRPr="003A21B9">
        <w:rPr>
          <w:lang w:eastAsia="ar-SA"/>
        </w:rPr>
        <w:t>Esto equivale a un pago per cápita de $1,355.</w:t>
      </w:r>
      <w:r>
        <w:rPr>
          <w:lang w:eastAsia="ar-SA"/>
        </w:rPr>
        <w:t xml:space="preserve"> </w:t>
      </w:r>
      <w:r w:rsidRPr="003A21B9">
        <w:rPr>
          <w:lang w:eastAsia="ar-SA"/>
        </w:rPr>
        <w:t xml:space="preserve">La </w:t>
      </w:r>
      <w:r w:rsidRPr="003A21B9">
        <w:rPr>
          <w:b/>
          <w:lang w:eastAsia="ar-SA"/>
        </w:rPr>
        <w:t>Tabla 3</w:t>
      </w:r>
      <w:r w:rsidRPr="003A21B9">
        <w:rPr>
          <w:lang w:eastAsia="ar-SA"/>
        </w:rPr>
        <w:t xml:space="preserve"> también presenta una aproximación al impuesto federal por contribuyente, para cada nivel de IBA. La contribución promedio por contribuyente aumentaría en $1,899, con respecto a la contribución promedio federal actual.</w:t>
      </w:r>
      <w:r>
        <w:rPr>
          <w:lang w:eastAsia="ar-SA"/>
        </w:rPr>
        <w:t xml:space="preserve"> </w:t>
      </w:r>
      <w:r w:rsidRPr="003A21B9">
        <w:rPr>
          <w:lang w:eastAsia="ar-SA"/>
        </w:rPr>
        <w:t>Valga señalar que este estimado no incluye posibles cambios en los impuestos a pagarse a nivel federal por concepto de impuestos sobre la propiedad, regalos, herencias o arbitrios.</w:t>
      </w:r>
    </w:p>
    <w:p w:rsidR="005A5E7D" w:rsidRPr="003A21B9" w:rsidRDefault="005A5E7D" w:rsidP="005A5E7D">
      <w:pPr>
        <w:rPr>
          <w:lang w:eastAsia="ar-SA"/>
        </w:rPr>
      </w:pPr>
      <w:r w:rsidRPr="003A21B9">
        <w:rPr>
          <w:lang w:eastAsia="ar-SA"/>
        </w:rPr>
        <w:t>Para estimar los impuestos federales a las corporaciones, se estima</w:t>
      </w:r>
      <w:r>
        <w:rPr>
          <w:lang w:eastAsia="ar-SA"/>
        </w:rPr>
        <w:t>ro</w:t>
      </w:r>
      <w:r w:rsidRPr="003A21B9">
        <w:rPr>
          <w:lang w:eastAsia="ar-SA"/>
        </w:rPr>
        <w:t>n por separado las contribuciones que pagarían las corporaciones radicadas en Puerto Rico sujetas a contribución regular y las que pagarían las corporaciones exentas.</w:t>
      </w:r>
      <w:r w:rsidRPr="003A21B9">
        <w:rPr>
          <w:vertAlign w:val="superscript"/>
          <w:lang w:eastAsia="ar-SA"/>
        </w:rPr>
        <w:footnoteReference w:id="36"/>
      </w:r>
      <w:r>
        <w:rPr>
          <w:lang w:eastAsia="ar-SA"/>
        </w:rPr>
        <w:t xml:space="preserve"> </w:t>
      </w:r>
      <w:r w:rsidRPr="003A21B9">
        <w:rPr>
          <w:lang w:eastAsia="ar-SA"/>
        </w:rPr>
        <w:t>Para las corporaciones</w:t>
      </w:r>
      <w:r>
        <w:rPr>
          <w:lang w:eastAsia="ar-SA"/>
        </w:rPr>
        <w:t xml:space="preserve"> </w:t>
      </w:r>
      <w:r>
        <w:t>radicadas en Puerto Rico</w:t>
      </w:r>
      <w:r w:rsidRPr="003A21B9">
        <w:rPr>
          <w:lang w:eastAsia="ar-SA"/>
        </w:rPr>
        <w:t xml:space="preserve"> sujetas a contribución r</w:t>
      </w:r>
      <w:r>
        <w:rPr>
          <w:lang w:eastAsia="ar-SA"/>
        </w:rPr>
        <w:t>egular se utilizó</w:t>
      </w:r>
      <w:r w:rsidRPr="003A21B9">
        <w:rPr>
          <w:lang w:eastAsia="ar-SA"/>
        </w:rPr>
        <w:t xml:space="preserve"> el ingreso neto sujeto a</w:t>
      </w:r>
      <w:r>
        <w:rPr>
          <w:lang w:eastAsia="ar-SA"/>
        </w:rPr>
        <w:t xml:space="preserve"> impuestos, según informados </w:t>
      </w:r>
      <w:r w:rsidRPr="003A21B9">
        <w:rPr>
          <w:lang w:eastAsia="ar-SA"/>
        </w:rPr>
        <w:t>al Departamento de Hacienda.</w:t>
      </w:r>
      <w:r>
        <w:rPr>
          <w:lang w:eastAsia="ar-SA"/>
        </w:rPr>
        <w:t xml:space="preserve"> </w:t>
      </w:r>
      <w:r w:rsidRPr="003A21B9">
        <w:rPr>
          <w:lang w:eastAsia="ar-SA"/>
        </w:rPr>
        <w:t xml:space="preserve">Dado que el último año </w:t>
      </w:r>
      <w:r>
        <w:rPr>
          <w:lang w:eastAsia="ar-SA"/>
        </w:rPr>
        <w:t>disponible es el 2010, se estimó</w:t>
      </w:r>
      <w:r w:rsidRPr="003A21B9">
        <w:rPr>
          <w:lang w:eastAsia="ar-SA"/>
        </w:rPr>
        <w:t xml:space="preserve"> el valor correspondiente a cada tamaño de empresa para el 2011, en función de la tasa de crecimiento promedio anual entre el 2001 y el 2010.</w:t>
      </w:r>
      <w:r>
        <w:rPr>
          <w:rStyle w:val="FootnoteReference"/>
          <w:lang w:eastAsia="ar-SA"/>
        </w:rPr>
        <w:footnoteReference w:id="37"/>
      </w:r>
      <w:r>
        <w:rPr>
          <w:lang w:eastAsia="ar-SA"/>
        </w:rPr>
        <w:t xml:space="preserve"> </w:t>
      </w:r>
      <w:r w:rsidRPr="003A21B9">
        <w:rPr>
          <w:lang w:eastAsia="ar-SA"/>
        </w:rPr>
        <w:t>Al ingreso neto sujeto a contribución, est</w:t>
      </w:r>
      <w:r>
        <w:rPr>
          <w:lang w:eastAsia="ar-SA"/>
        </w:rPr>
        <w:t>imado para el 2011, se le aplicó</w:t>
      </w:r>
      <w:r w:rsidRPr="003A21B9">
        <w:rPr>
          <w:lang w:eastAsia="ar-SA"/>
        </w:rPr>
        <w:t xml:space="preserve"> la tasa efectiva en E</w:t>
      </w:r>
      <w:r>
        <w:rPr>
          <w:lang w:eastAsia="ar-SA"/>
        </w:rPr>
        <w:t>stados Unidos</w:t>
      </w:r>
      <w:r w:rsidRPr="003A21B9">
        <w:rPr>
          <w:lang w:eastAsia="ar-SA"/>
        </w:rPr>
        <w:t xml:space="preserve"> que corresponde al nivel de tamaño de empresa a nivel federal.</w:t>
      </w:r>
      <w:r w:rsidRPr="003A21B9">
        <w:rPr>
          <w:vertAlign w:val="superscript"/>
          <w:lang w:eastAsia="ar-SA"/>
        </w:rPr>
        <w:footnoteReference w:id="38"/>
      </w:r>
      <w:r>
        <w:rPr>
          <w:lang w:eastAsia="ar-SA"/>
        </w:rPr>
        <w:t xml:space="preserve"> </w:t>
      </w:r>
      <w:r w:rsidRPr="003A21B9">
        <w:rPr>
          <w:lang w:eastAsia="ar-SA"/>
        </w:rPr>
        <w:t>En total, las corporaciones no exentas radicadas en Puerto Rico pagarían $758 millones</w:t>
      </w:r>
      <w:r>
        <w:rPr>
          <w:lang w:eastAsia="ar-SA"/>
        </w:rPr>
        <w:t xml:space="preserve"> </w:t>
      </w:r>
      <w:r w:rsidRPr="00A25B96">
        <w:rPr>
          <w:lang w:eastAsia="ar-SA"/>
        </w:rPr>
        <w:t xml:space="preserve">al </w:t>
      </w:r>
      <w:r>
        <w:rPr>
          <w:lang w:eastAsia="ar-SA"/>
        </w:rPr>
        <w:t>fisco</w:t>
      </w:r>
      <w:r w:rsidRPr="00A25B96">
        <w:rPr>
          <w:lang w:eastAsia="ar-SA"/>
        </w:rPr>
        <w:t xml:space="preserve"> federal</w:t>
      </w:r>
      <w:r w:rsidRPr="003A21B9">
        <w:rPr>
          <w:lang w:eastAsia="ar-SA"/>
        </w:rPr>
        <w:t>.</w:t>
      </w:r>
      <w:r w:rsidRPr="003A21B9">
        <w:rPr>
          <w:vertAlign w:val="superscript"/>
          <w:lang w:eastAsia="ar-SA"/>
        </w:rPr>
        <w:footnoteReference w:id="39"/>
      </w:r>
      <w:r>
        <w:rPr>
          <w:lang w:eastAsia="ar-SA"/>
        </w:rPr>
        <w:t xml:space="preserve"> E</w:t>
      </w:r>
      <w:r w:rsidRPr="003A21B9">
        <w:rPr>
          <w:lang w:eastAsia="ar-SA"/>
        </w:rPr>
        <w:t xml:space="preserve">l estimado </w:t>
      </w:r>
      <w:r>
        <w:rPr>
          <w:lang w:eastAsia="ar-SA"/>
        </w:rPr>
        <w:t xml:space="preserve">se presenta </w:t>
      </w:r>
      <w:r w:rsidRPr="003A21B9">
        <w:rPr>
          <w:lang w:eastAsia="ar-SA"/>
        </w:rPr>
        <w:t xml:space="preserve">en la </w:t>
      </w:r>
      <w:r w:rsidRPr="003A21B9">
        <w:rPr>
          <w:b/>
          <w:lang w:eastAsia="ar-SA"/>
        </w:rPr>
        <w:t>Tabla 4</w:t>
      </w:r>
      <w:r w:rsidRPr="00B32EB1">
        <w:rPr>
          <w:lang w:eastAsia="ar-SA"/>
        </w:rPr>
        <w:t>.</w:t>
      </w:r>
      <w:r>
        <w:rPr>
          <w:b/>
          <w:lang w:eastAsia="ar-SA"/>
        </w:rPr>
        <w:t xml:space="preserve"> </w:t>
      </w:r>
      <w:r>
        <w:rPr>
          <w:lang w:eastAsia="ar-SA"/>
        </w:rPr>
        <w:t>De acuerdo con e</w:t>
      </w:r>
      <w:r w:rsidRPr="003A21B9">
        <w:rPr>
          <w:lang w:eastAsia="ar-SA"/>
        </w:rPr>
        <w:t>l Departamento de Hacienda, 42,310 empresas no exentas radicaron planillas en el 2011, lo que implica que</w:t>
      </w:r>
      <w:r>
        <w:rPr>
          <w:lang w:eastAsia="ar-SA"/>
        </w:rPr>
        <w:t>,</w:t>
      </w:r>
      <w:r w:rsidRPr="003A21B9">
        <w:rPr>
          <w:lang w:eastAsia="ar-SA"/>
        </w:rPr>
        <w:t xml:space="preserve"> en promedio, c</w:t>
      </w:r>
      <w:r>
        <w:rPr>
          <w:lang w:eastAsia="ar-SA"/>
        </w:rPr>
        <w:t>ada una de ell</w:t>
      </w:r>
      <w:r w:rsidRPr="003A21B9">
        <w:rPr>
          <w:lang w:eastAsia="ar-SA"/>
        </w:rPr>
        <w:t>as pagaría $17,914 en impuestos federales.</w:t>
      </w:r>
    </w:p>
    <w:p w:rsidR="005A5E7D" w:rsidRPr="003B2C58" w:rsidRDefault="005A5E7D" w:rsidP="005A5E7D">
      <w:pPr>
        <w:rPr>
          <w:lang w:eastAsia="ar-SA"/>
        </w:rPr>
      </w:pPr>
      <w:r w:rsidRPr="003A21B9">
        <w:rPr>
          <w:lang w:eastAsia="ar-SA"/>
        </w:rPr>
        <w:t>Para calcular los impuestos de las corporaciones exentas</w:t>
      </w:r>
      <w:r>
        <w:rPr>
          <w:lang w:eastAsia="ar-SA"/>
        </w:rPr>
        <w:t>,</w:t>
      </w:r>
      <w:r w:rsidRPr="003A21B9">
        <w:rPr>
          <w:lang w:eastAsia="ar-SA"/>
        </w:rPr>
        <w:t xml:space="preserve"> se utiliza</w:t>
      </w:r>
      <w:r>
        <w:rPr>
          <w:lang w:eastAsia="ar-SA"/>
        </w:rPr>
        <w:t>ro</w:t>
      </w:r>
      <w:r w:rsidRPr="003A21B9">
        <w:rPr>
          <w:lang w:eastAsia="ar-SA"/>
        </w:rPr>
        <w:t>n datos provistos directamente del Departamento de Hacienda</w:t>
      </w:r>
      <w:r>
        <w:rPr>
          <w:lang w:eastAsia="ar-SA"/>
        </w:rPr>
        <w:t>, pero</w:t>
      </w:r>
      <w:r w:rsidRPr="003A21B9">
        <w:rPr>
          <w:lang w:eastAsia="ar-SA"/>
        </w:rPr>
        <w:t xml:space="preserve"> aparecen englobado</w:t>
      </w:r>
      <w:r>
        <w:rPr>
          <w:lang w:eastAsia="ar-SA"/>
        </w:rPr>
        <w:t>s</w:t>
      </w:r>
      <w:r w:rsidRPr="003A21B9">
        <w:rPr>
          <w:lang w:eastAsia="ar-SA"/>
        </w:rPr>
        <w:t xml:space="preserve"> por lo que no permiten el análisis por tamaño de empresa.</w:t>
      </w:r>
      <w:r>
        <w:rPr>
          <w:lang w:eastAsia="ar-SA"/>
        </w:rPr>
        <w:t xml:space="preserve"> </w:t>
      </w:r>
      <w:r w:rsidRPr="003A21B9">
        <w:rPr>
          <w:lang w:eastAsia="ar-SA"/>
        </w:rPr>
        <w:t>Aplicando la tasa efectiva experimentada a nivel federal en el 2011 con relación al ingreso neto (</w:t>
      </w:r>
      <w:r w:rsidRPr="003A21B9">
        <w:rPr>
          <w:i/>
          <w:lang w:eastAsia="ar-SA"/>
        </w:rPr>
        <w:t>net income less deficit)</w:t>
      </w:r>
      <w:r w:rsidRPr="003A21B9">
        <w:rPr>
          <w:lang w:eastAsia="ar-SA"/>
        </w:rPr>
        <w:t xml:space="preserve"> al ingreso neto de las corporaciones </w:t>
      </w:r>
      <w:r w:rsidRPr="003B2C58">
        <w:rPr>
          <w:lang w:eastAsia="ar-SA"/>
        </w:rPr>
        <w:t>exentas en Puerto Rico para el 2011</w:t>
      </w:r>
      <w:r>
        <w:rPr>
          <w:lang w:eastAsia="ar-SA"/>
        </w:rPr>
        <w:t>,</w:t>
      </w:r>
      <w:r w:rsidRPr="003B2C58">
        <w:rPr>
          <w:lang w:eastAsia="ar-SA"/>
        </w:rPr>
        <w:t xml:space="preserve"> se estim</w:t>
      </w:r>
      <w:r>
        <w:rPr>
          <w:lang w:eastAsia="ar-SA"/>
        </w:rPr>
        <w:t>ó</w:t>
      </w:r>
      <w:r w:rsidRPr="003B2C58">
        <w:rPr>
          <w:lang w:eastAsia="ar-SA"/>
        </w:rPr>
        <w:t xml:space="preserve"> que estas empresas pagarían</w:t>
      </w:r>
      <w:r>
        <w:rPr>
          <w:lang w:eastAsia="ar-SA"/>
        </w:rPr>
        <w:t xml:space="preserve"> $5,</w:t>
      </w:r>
      <w:r w:rsidRPr="003B2C58">
        <w:rPr>
          <w:lang w:eastAsia="ar-SA"/>
        </w:rPr>
        <w:t>48</w:t>
      </w:r>
      <w:r>
        <w:rPr>
          <w:lang w:eastAsia="ar-SA"/>
        </w:rPr>
        <w:t>0 m</w:t>
      </w:r>
      <w:r w:rsidRPr="003B2C58">
        <w:rPr>
          <w:lang w:eastAsia="ar-SA"/>
        </w:rPr>
        <w:t xml:space="preserve">illones en contribuciones federales provenientes de sus operaciones en Puerto Rico, </w:t>
      </w:r>
      <w:r>
        <w:rPr>
          <w:lang w:eastAsia="ar-SA"/>
        </w:rPr>
        <w:t xml:space="preserve">si </w:t>
      </w:r>
      <w:r w:rsidRPr="003B2C58">
        <w:rPr>
          <w:lang w:eastAsia="ar-SA"/>
        </w:rPr>
        <w:t>permanec</w:t>
      </w:r>
      <w:r>
        <w:rPr>
          <w:lang w:eastAsia="ar-SA"/>
        </w:rPr>
        <w:t>i</w:t>
      </w:r>
      <w:r w:rsidRPr="003B2C58">
        <w:rPr>
          <w:lang w:eastAsia="ar-SA"/>
        </w:rPr>
        <w:t>er</w:t>
      </w:r>
      <w:r>
        <w:rPr>
          <w:lang w:eastAsia="ar-SA"/>
        </w:rPr>
        <w:t>an</w:t>
      </w:r>
      <w:r w:rsidRPr="003B2C58">
        <w:rPr>
          <w:lang w:eastAsia="ar-SA"/>
        </w:rPr>
        <w:t xml:space="preserve"> operando en la Isla y en la ausencia de concesiones especiales.</w:t>
      </w:r>
      <w:r w:rsidRPr="003B2C58">
        <w:rPr>
          <w:vertAlign w:val="superscript"/>
          <w:lang w:eastAsia="ar-SA"/>
        </w:rPr>
        <w:footnoteReference w:id="40"/>
      </w:r>
    </w:p>
    <w:p w:rsidR="005A5E7D" w:rsidRPr="003A21B9" w:rsidRDefault="005A5E7D" w:rsidP="005A5E7D">
      <w:pPr>
        <w:tabs>
          <w:tab w:val="left" w:pos="180"/>
          <w:tab w:val="left" w:pos="360"/>
        </w:tabs>
        <w:suppressAutoHyphens/>
        <w:ind w:firstLine="706"/>
        <w:rPr>
          <w:rFonts w:eastAsia="SimSun" w:cs="Calibri"/>
          <w:kern w:val="1"/>
          <w:lang w:eastAsia="ar-SA"/>
        </w:rPr>
        <w:sectPr w:rsidR="005A5E7D" w:rsidRPr="003A21B9">
          <w:headerReference w:type="default" r:id="rId95"/>
          <w:pgSz w:w="12240" w:h="15840"/>
          <w:pgMar w:top="1440" w:right="1440" w:bottom="1440" w:left="1418" w:gutter="0"/>
          <w:titlePg/>
          <w:docGrid w:linePitch="360" w:charSpace="-2049"/>
        </w:sectPr>
      </w:pPr>
    </w:p>
    <w:tbl>
      <w:tblPr>
        <w:tblW w:w="12870" w:type="dxa"/>
        <w:jc w:val="center"/>
        <w:tblBorders>
          <w:top w:val="single" w:sz="12" w:space="0" w:color="008000"/>
          <w:bottom w:val="single" w:sz="12" w:space="0" w:color="008000"/>
        </w:tblBorders>
        <w:tblLook w:val="04A0"/>
      </w:tblPr>
      <w:tblGrid>
        <w:gridCol w:w="1037"/>
        <w:gridCol w:w="1037"/>
        <w:gridCol w:w="1526"/>
        <w:gridCol w:w="1530"/>
        <w:gridCol w:w="1980"/>
        <w:gridCol w:w="1710"/>
        <w:gridCol w:w="2340"/>
        <w:gridCol w:w="1710"/>
      </w:tblGrid>
      <w:tr w:rsidR="005A5E7D" w:rsidRPr="006C2E2C">
        <w:trPr>
          <w:trHeight w:val="649"/>
          <w:jc w:val="center"/>
        </w:trPr>
        <w:tc>
          <w:tcPr>
            <w:tcW w:w="12870" w:type="dxa"/>
            <w:gridSpan w:val="8"/>
            <w:tcBorders>
              <w:bottom w:val="single" w:sz="6" w:space="0" w:color="008000"/>
            </w:tcBorders>
            <w:shd w:val="clear" w:color="auto" w:fill="auto"/>
          </w:tcPr>
          <w:p w:rsidR="005A5E7D" w:rsidRPr="004A3696" w:rsidRDefault="005A5E7D" w:rsidP="005A5E7D">
            <w:pPr>
              <w:suppressAutoHyphens/>
              <w:spacing w:line="240" w:lineRule="auto"/>
              <w:ind w:firstLine="0"/>
              <w:jc w:val="center"/>
              <w:rPr>
                <w:rFonts w:ascii="Arial Narrow" w:eastAsia="Times New Roman" w:hAnsi="Arial Narrow"/>
                <w:b/>
                <w:color w:val="000000"/>
                <w:sz w:val="22"/>
                <w:szCs w:val="20"/>
                <w:lang w:eastAsia="es-PR"/>
              </w:rPr>
            </w:pPr>
            <w:r w:rsidRPr="004A3696">
              <w:rPr>
                <w:rFonts w:ascii="Arial Narrow" w:eastAsia="Times New Roman" w:hAnsi="Arial Narrow"/>
                <w:b/>
                <w:color w:val="000000"/>
                <w:sz w:val="22"/>
                <w:szCs w:val="20"/>
                <w:lang w:eastAsia="es-PR"/>
              </w:rPr>
              <w:t>Tabla 4</w:t>
            </w:r>
            <w:r w:rsidRPr="004A3696">
              <w:rPr>
                <w:rFonts w:ascii="Arial Narrow" w:eastAsia="Times New Roman" w:hAnsi="Arial Narrow"/>
                <w:b/>
                <w:color w:val="000000"/>
                <w:sz w:val="22"/>
                <w:szCs w:val="20"/>
                <w:lang w:eastAsia="es-PR"/>
              </w:rPr>
              <w:br/>
              <w:t>Estimación del Pago de Impuesto Federal Sobre el Ingreso Corporativo por Tamaño del Negocio (2011)</w:t>
            </w:r>
          </w:p>
        </w:tc>
      </w:tr>
      <w:tr w:rsidR="005A5E7D" w:rsidRPr="006C2E2C">
        <w:trPr>
          <w:trHeight w:val="1281"/>
          <w:jc w:val="center"/>
        </w:trPr>
        <w:tc>
          <w:tcPr>
            <w:tcW w:w="2074" w:type="dxa"/>
            <w:gridSpan w:val="2"/>
            <w:shd w:val="clear" w:color="auto" w:fill="auto"/>
          </w:tcPr>
          <w:p w:rsidR="005A5E7D" w:rsidRPr="006C2E2C" w:rsidRDefault="005A5E7D" w:rsidP="005A5E7D">
            <w:pPr>
              <w:spacing w:line="240" w:lineRule="auto"/>
              <w:ind w:firstLine="0"/>
              <w:jc w:val="lef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Ta</w:t>
            </w:r>
            <w:r>
              <w:rPr>
                <w:rFonts w:ascii="Arial Narrow" w:eastAsia="Times New Roman" w:hAnsi="Arial Narrow"/>
                <w:b/>
                <w:bCs/>
                <w:color w:val="000000"/>
                <w:sz w:val="20"/>
                <w:szCs w:val="20"/>
                <w:lang w:eastAsia="es-PR"/>
              </w:rPr>
              <w:t xml:space="preserve">maño de Empresa </w:t>
            </w:r>
            <w:r>
              <w:rPr>
                <w:rFonts w:ascii="Arial Narrow" w:eastAsia="Times New Roman" w:hAnsi="Arial Narrow"/>
                <w:b/>
                <w:bCs/>
                <w:color w:val="000000"/>
                <w:sz w:val="20"/>
                <w:szCs w:val="20"/>
                <w:lang w:eastAsia="es-PR"/>
              </w:rPr>
              <w:br/>
              <w:t>(Escalas de Ingreso B</w:t>
            </w:r>
            <w:r w:rsidRPr="006C2E2C">
              <w:rPr>
                <w:rFonts w:ascii="Arial Narrow" w:eastAsia="Times New Roman" w:hAnsi="Arial Narrow"/>
                <w:b/>
                <w:bCs/>
                <w:color w:val="000000"/>
                <w:sz w:val="20"/>
                <w:szCs w:val="20"/>
                <w:lang w:eastAsia="es-PR"/>
              </w:rPr>
              <w:t>ruto) PR</w:t>
            </w:r>
          </w:p>
        </w:tc>
        <w:tc>
          <w:tcPr>
            <w:tcW w:w="1526"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Ingreso Neto Sujeto a Contribución PR</w:t>
            </w:r>
            <w:r w:rsidRPr="006C2E2C">
              <w:rPr>
                <w:rFonts w:ascii="Arial Narrow" w:eastAsia="Times New Roman" w:hAnsi="Arial Narrow"/>
                <w:b/>
                <w:bCs/>
                <w:color w:val="000000"/>
                <w:sz w:val="20"/>
                <w:szCs w:val="20"/>
                <w:lang w:eastAsia="es-PR"/>
              </w:rPr>
              <w:br/>
              <w:t xml:space="preserve">2001 </w:t>
            </w:r>
          </w:p>
        </w:tc>
        <w:tc>
          <w:tcPr>
            <w:tcW w:w="1530"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Ingreso Neto Sujeto a Contribución PR</w:t>
            </w:r>
            <w:r w:rsidRPr="006C2E2C">
              <w:rPr>
                <w:rFonts w:ascii="Arial Narrow" w:eastAsia="Times New Roman" w:hAnsi="Arial Narrow"/>
                <w:b/>
                <w:bCs/>
                <w:color w:val="000000"/>
                <w:sz w:val="20"/>
                <w:szCs w:val="20"/>
                <w:lang w:eastAsia="es-PR"/>
              </w:rPr>
              <w:br/>
              <w:t xml:space="preserve">2010 </w:t>
            </w:r>
          </w:p>
        </w:tc>
        <w:tc>
          <w:tcPr>
            <w:tcW w:w="1980"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Tasa de Crecimiento Anual Promedio PR (2001-2010)</w:t>
            </w:r>
          </w:p>
        </w:tc>
        <w:tc>
          <w:tcPr>
            <w:tcW w:w="1710"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Ingreso Neto Sujeto a Contribución </w:t>
            </w:r>
            <w:r w:rsidRPr="006C2E2C">
              <w:rPr>
                <w:rFonts w:ascii="Arial Narrow" w:eastAsia="Times New Roman" w:hAnsi="Arial Narrow"/>
                <w:b/>
                <w:bCs/>
                <w:color w:val="000000"/>
                <w:sz w:val="20"/>
                <w:szCs w:val="20"/>
                <w:lang w:eastAsia="es-PR"/>
              </w:rPr>
              <w:br/>
              <w:t>Estimado PR 2011</w:t>
            </w:r>
          </w:p>
        </w:tc>
        <w:tc>
          <w:tcPr>
            <w:tcW w:w="2340"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Tasa Efectiva Impuesto Federal sobre Ingresos Corporativos con relación a Ingreso Neto Sujeto a Contribución EEUU (2010)</w:t>
            </w:r>
          </w:p>
        </w:tc>
        <w:tc>
          <w:tcPr>
            <w:tcW w:w="1710" w:type="dxa"/>
            <w:shd w:val="clear" w:color="auto" w:fill="auto"/>
          </w:tcPr>
          <w:p w:rsidR="005A5E7D" w:rsidRPr="006C2E2C" w:rsidRDefault="005A5E7D" w:rsidP="005A5E7D">
            <w:pPr>
              <w:spacing w:line="240" w:lineRule="auto"/>
              <w:ind w:firstLine="0"/>
              <w:jc w:val="center"/>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 Contribución Federal Estimada para PR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690</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973</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3.9%</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1,011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220,504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25,000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2,333</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3,139</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3.4%</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3,244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707,668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25,001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50,000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6,626</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8,324</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8,538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28.8%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2,461,342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50,001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75,000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9,146</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10,579</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10,751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28.8%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3,099,555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75,001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125,000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18,954</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24,186</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2.7%</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24,850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24.8%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6,166,504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125,001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175,000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20,620</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23,851</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24,240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5,042,065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175,001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225,000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18,985</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24,785</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25,530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5,310,444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225,001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275,000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20,109</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22,824</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1.4%</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23,147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19.2%</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4,444,280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275,001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400,000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47,241</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52,226</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1.1%</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52,811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17.6%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9,294,312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400,001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550,000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43,416</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54,162</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2.5%</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55,509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19.0%</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10,550,067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550,001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750,000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53,246</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64,173</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65,518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14,295,748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750,001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1,000,000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67,674</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62,463</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-0.9%</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61,909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21.8%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13,508,389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1,000,001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1,500,000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73,524</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93,443</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2.7%</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95,966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23.1%</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22,163,841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1,500,001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2,250,000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90,938</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80,510</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-1.3%</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79,428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23.1%</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18,344,344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2,250,001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3,250,000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84,102</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80,215</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-0.5%</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79,794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24.8%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19,791,772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3,250,001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4,250,000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41,749</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55,118</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3.1%</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56,846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25.4%</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14,423,358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4,250,001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5,500,000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71,090</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48,651</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-4.1%</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46,643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26.3%</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12,251,798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5,500,001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7,000,000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46,390</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32,400</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-3.9%</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31,133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27.6%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8,595,368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7,000,001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9,000,000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57,420</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58,963</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0.3%</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59,137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27.6%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16,326,705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9,000,001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12,000,000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51,209</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66,914</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68,933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30.3%</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20,890,602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12,000,001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17,000,000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56,453</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48,244</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-1.7%</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47,409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31.7%</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15,007,124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17,000,001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25,000,000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114,784</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73,382</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-4.8%</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69,823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31.7%</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22,102,345 </w:t>
            </w:r>
          </w:p>
        </w:tc>
      </w:tr>
      <w:tr w:rsidR="005A5E7D" w:rsidRPr="006C2E2C">
        <w:trPr>
          <w:trHeight w:val="255"/>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25,000,001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50,000,000</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179,875</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208,243</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211,659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31.7%</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66,999,850 </w:t>
            </w:r>
          </w:p>
        </w:tc>
      </w:tr>
      <w:tr w:rsidR="005A5E7D" w:rsidRPr="006C2E2C">
        <w:trPr>
          <w:trHeight w:val="522"/>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50,000,001</w:t>
            </w:r>
          </w:p>
        </w:tc>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o más</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1,021,757</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1,406,742</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1,457,619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30.6%</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xml:space="preserve">           445,943,074 </w:t>
            </w:r>
          </w:p>
        </w:tc>
      </w:tr>
      <w:tr w:rsidR="005A5E7D" w:rsidRPr="006C2E2C">
        <w:trPr>
          <w:trHeight w:val="279"/>
          <w:jc w:val="center"/>
        </w:trPr>
        <w:tc>
          <w:tcPr>
            <w:tcW w:w="1037"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eastAsia="es-PR"/>
              </w:rPr>
            </w:pPr>
            <w:r w:rsidRPr="006C2E2C">
              <w:rPr>
                <w:rFonts w:ascii="Arial Narrow" w:eastAsia="Times New Roman" w:hAnsi="Arial Narrow"/>
                <w:color w:val="000000"/>
                <w:sz w:val="20"/>
                <w:szCs w:val="20"/>
                <w:lang w:eastAsia="es-PR"/>
              </w:rPr>
              <w:t> </w:t>
            </w:r>
          </w:p>
        </w:tc>
        <w:tc>
          <w:tcPr>
            <w:tcW w:w="1037" w:type="dxa"/>
            <w:shd w:val="clear" w:color="auto" w:fill="auto"/>
            <w:noWrap/>
          </w:tcPr>
          <w:p w:rsidR="005A5E7D" w:rsidRPr="006C2E2C" w:rsidRDefault="005A5E7D" w:rsidP="005A5E7D">
            <w:pPr>
              <w:spacing w:line="240" w:lineRule="auto"/>
              <w:ind w:firstLine="0"/>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Total</w:t>
            </w:r>
          </w:p>
        </w:tc>
        <w:tc>
          <w:tcPr>
            <w:tcW w:w="1526"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 </w:t>
            </w:r>
          </w:p>
        </w:tc>
        <w:tc>
          <w:tcPr>
            <w:tcW w:w="1530"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 </w:t>
            </w:r>
          </w:p>
        </w:tc>
        <w:tc>
          <w:tcPr>
            <w:tcW w:w="198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w:t>
            </w:r>
          </w:p>
        </w:tc>
        <w:tc>
          <w:tcPr>
            <w:tcW w:w="2340"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eastAsia="es-PR"/>
              </w:rPr>
            </w:pPr>
            <w:r w:rsidRPr="006C2E2C">
              <w:rPr>
                <w:rFonts w:ascii="Arial Narrow" w:eastAsia="Times New Roman" w:hAnsi="Arial Narrow"/>
                <w:color w:val="000000"/>
                <w:sz w:val="20"/>
                <w:szCs w:val="20"/>
                <w:lang w:eastAsia="es-PR"/>
              </w:rPr>
              <w:t> </w:t>
            </w:r>
          </w:p>
        </w:tc>
        <w:tc>
          <w:tcPr>
            <w:tcW w:w="1710"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eastAsia="es-PR"/>
              </w:rPr>
            </w:pPr>
            <w:r w:rsidRPr="006C2E2C">
              <w:rPr>
                <w:rFonts w:ascii="Arial Narrow" w:eastAsia="Times New Roman" w:hAnsi="Arial Narrow"/>
                <w:b/>
                <w:bCs/>
                <w:color w:val="000000"/>
                <w:sz w:val="20"/>
                <w:szCs w:val="20"/>
                <w:lang w:eastAsia="es-PR"/>
              </w:rPr>
              <w:t xml:space="preserve">          $757,941,062 </w:t>
            </w:r>
          </w:p>
        </w:tc>
      </w:tr>
    </w:tbl>
    <w:p w:rsidR="005A5E7D" w:rsidRPr="003A21B9" w:rsidRDefault="005A5E7D" w:rsidP="005A5E7D">
      <w:pPr>
        <w:tabs>
          <w:tab w:val="left" w:pos="180"/>
          <w:tab w:val="left" w:pos="360"/>
        </w:tabs>
        <w:suppressAutoHyphens/>
        <w:ind w:firstLine="706"/>
        <w:rPr>
          <w:rFonts w:eastAsia="SimSun" w:cs="Calibri"/>
          <w:kern w:val="1"/>
          <w:lang w:eastAsia="ar-SA"/>
        </w:rPr>
        <w:sectPr w:rsidR="005A5E7D" w:rsidRPr="003A21B9">
          <w:pgSz w:w="15840" w:h="12240" w:orient="landscape"/>
          <w:pgMar w:top="1440" w:right="1440" w:bottom="1440" w:left="1440" w:gutter="0"/>
          <w:docGrid w:linePitch="360" w:charSpace="-2049"/>
        </w:sectPr>
      </w:pPr>
    </w:p>
    <w:p w:rsidR="00D32F91" w:rsidRDefault="00D32F91" w:rsidP="005A5E7D">
      <w:pPr>
        <w:rPr>
          <w:lang w:eastAsia="ar-SA"/>
        </w:rPr>
      </w:pPr>
      <w:r w:rsidRPr="003B2C58">
        <w:rPr>
          <w:lang w:eastAsia="ar-SA"/>
        </w:rPr>
        <w:t>Nuestr</w:t>
      </w:r>
      <w:r>
        <w:rPr>
          <w:lang w:eastAsia="ar-SA"/>
        </w:rPr>
        <w:t>a</w:t>
      </w:r>
      <w:r w:rsidRPr="003B2C58">
        <w:rPr>
          <w:lang w:eastAsia="ar-SA"/>
        </w:rPr>
        <w:t>s estima</w:t>
      </w:r>
      <w:r>
        <w:rPr>
          <w:lang w:eastAsia="ar-SA"/>
        </w:rPr>
        <w:t>ciones podrían estar sobre</w:t>
      </w:r>
      <w:r w:rsidRPr="003B2C58">
        <w:rPr>
          <w:lang w:eastAsia="ar-SA"/>
        </w:rPr>
        <w:t>stimad</w:t>
      </w:r>
      <w:r>
        <w:rPr>
          <w:lang w:eastAsia="ar-SA"/>
        </w:rPr>
        <w:t>a</w:t>
      </w:r>
      <w:r w:rsidRPr="003B2C58">
        <w:rPr>
          <w:lang w:eastAsia="ar-SA"/>
        </w:rPr>
        <w:t>s debido a que bajo la premisa de que las</w:t>
      </w:r>
      <w:r w:rsidRPr="003A21B9">
        <w:rPr>
          <w:lang w:eastAsia="ar-SA"/>
        </w:rPr>
        <w:t xml:space="preserve"> tasas impositivas en Puerto Rico son más altas que en los estados, los contribuyentes residentes en Puerto Rico que utilicen las deducciones detalladas podrían recibir créditos más altos al rendir la planilla federal.</w:t>
      </w:r>
      <w:r>
        <w:rPr>
          <w:lang w:eastAsia="ar-SA"/>
        </w:rPr>
        <w:t xml:space="preserve"> </w:t>
      </w:r>
      <w:r w:rsidRPr="003A21B9">
        <w:rPr>
          <w:lang w:eastAsia="ar-SA"/>
        </w:rPr>
        <w:t>Por otra parte, dado que en Puerto Rico existe la percepción de que hay una tasa alta de evasión contributiva, los ingresos informados al Departamento de Hacienda p</w:t>
      </w:r>
      <w:r>
        <w:rPr>
          <w:lang w:eastAsia="ar-SA"/>
        </w:rPr>
        <w:t>odrían estar sub</w:t>
      </w:r>
      <w:r w:rsidRPr="003A21B9">
        <w:rPr>
          <w:lang w:eastAsia="ar-SA"/>
        </w:rPr>
        <w:t>estimados.</w:t>
      </w:r>
      <w:r>
        <w:rPr>
          <w:lang w:eastAsia="ar-SA"/>
        </w:rPr>
        <w:t xml:space="preserve"> </w:t>
      </w:r>
      <w:r w:rsidRPr="003A21B9">
        <w:rPr>
          <w:lang w:eastAsia="ar-SA"/>
        </w:rPr>
        <w:t xml:space="preserve">En la medida </w:t>
      </w:r>
      <w:r>
        <w:rPr>
          <w:lang w:eastAsia="ar-SA"/>
        </w:rPr>
        <w:t xml:space="preserve">en </w:t>
      </w:r>
      <w:r w:rsidRPr="003A21B9">
        <w:rPr>
          <w:lang w:eastAsia="ar-SA"/>
        </w:rPr>
        <w:t>que el IRS tenga mayores recursos para la fiscalización de la evasión contributiva, tanto los ingresos informados como los recaudos deberían aumentar.</w:t>
      </w:r>
      <w:r>
        <w:rPr>
          <w:lang w:eastAsia="ar-SA"/>
        </w:rPr>
        <w:t xml:space="preserve"> </w:t>
      </w:r>
      <w:r w:rsidRPr="003A21B9">
        <w:rPr>
          <w:lang w:eastAsia="ar-SA"/>
        </w:rPr>
        <w:t>Por tanto, el efecto neto dependerá de cuál de los dos efectos anteriores es mayor.</w:t>
      </w:r>
      <w:r>
        <w:rPr>
          <w:lang w:eastAsia="ar-SA"/>
        </w:rPr>
        <w:t xml:space="preserve"> </w:t>
      </w:r>
    </w:p>
    <w:p w:rsidR="005A5E7D" w:rsidRDefault="005A5E7D" w:rsidP="005A5E7D">
      <w:pPr>
        <w:rPr>
          <w:lang w:eastAsia="ar-SA"/>
        </w:rPr>
      </w:pPr>
      <w:r w:rsidRPr="003A21B9">
        <w:rPr>
          <w:lang w:eastAsia="ar-SA"/>
        </w:rPr>
        <w:t xml:space="preserve">La </w:t>
      </w:r>
      <w:r w:rsidRPr="003A21B9">
        <w:rPr>
          <w:b/>
          <w:lang w:eastAsia="ar-SA"/>
        </w:rPr>
        <w:t>Tabla 5</w:t>
      </w:r>
      <w:r w:rsidRPr="003A21B9">
        <w:rPr>
          <w:lang w:eastAsia="ar-SA"/>
        </w:rPr>
        <w:t xml:space="preserve"> presenta las conclusiones más relevantes de nuestro análisis.</w:t>
      </w:r>
      <w:r>
        <w:rPr>
          <w:lang w:eastAsia="ar-SA"/>
        </w:rPr>
        <w:t xml:space="preserve"> </w:t>
      </w:r>
      <w:r w:rsidRPr="003A21B9">
        <w:rPr>
          <w:lang w:eastAsia="ar-SA"/>
        </w:rPr>
        <w:t>Bajo la estadidad y en ausencia de ajustes a nuestro sistema contributivo, la carga tributaria de los impuestos estatales y federales sobre los individuos en Puerto Ri</w:t>
      </w:r>
      <w:r>
        <w:rPr>
          <w:lang w:eastAsia="ar-SA"/>
        </w:rPr>
        <w:t>co probablemente serían menor co</w:t>
      </w:r>
      <w:r w:rsidRPr="003A21B9">
        <w:rPr>
          <w:lang w:eastAsia="ar-SA"/>
        </w:rPr>
        <w:t>n relación al promedio para los residentes de otros estados.</w:t>
      </w:r>
      <w:r>
        <w:rPr>
          <w:lang w:eastAsia="ar-SA"/>
        </w:rPr>
        <w:t xml:space="preserve"> </w:t>
      </w:r>
      <w:r w:rsidRPr="003A21B9">
        <w:rPr>
          <w:lang w:eastAsia="ar-SA"/>
        </w:rPr>
        <w:t>Esto se debe a la progresividad del sistema impositivo y al hecho de que el ingreso personal en la Isla es sustancialmente más bajo que para el prom</w:t>
      </w:r>
      <w:r>
        <w:rPr>
          <w:lang w:eastAsia="ar-SA"/>
        </w:rPr>
        <w:t xml:space="preserve">edio de los estados (el 40%). </w:t>
      </w:r>
    </w:p>
    <w:p w:rsidR="005A5E7D" w:rsidRPr="004A3696" w:rsidRDefault="005A5E7D" w:rsidP="005A5E7D">
      <w:pPr>
        <w:spacing w:line="240" w:lineRule="auto"/>
        <w:rPr>
          <w:sz w:val="16"/>
          <w:lang w:eastAsia="ar-SA"/>
        </w:rPr>
      </w:pPr>
    </w:p>
    <w:tbl>
      <w:tblPr>
        <w:tblW w:w="0" w:type="auto"/>
        <w:jc w:val="center"/>
        <w:tblBorders>
          <w:top w:val="single" w:sz="12" w:space="0" w:color="008000"/>
          <w:bottom w:val="single" w:sz="12" w:space="0" w:color="008000"/>
        </w:tblBorders>
        <w:tblLook w:val="04A0"/>
      </w:tblPr>
      <w:tblGrid>
        <w:gridCol w:w="5310"/>
        <w:gridCol w:w="1327"/>
        <w:gridCol w:w="1242"/>
        <w:gridCol w:w="1697"/>
      </w:tblGrid>
      <w:tr w:rsidR="005A5E7D" w:rsidRPr="00D32F91">
        <w:trPr>
          <w:trHeight w:val="612"/>
          <w:jc w:val="center"/>
        </w:trPr>
        <w:tc>
          <w:tcPr>
            <w:tcW w:w="0" w:type="auto"/>
            <w:gridSpan w:val="4"/>
            <w:tcBorders>
              <w:bottom w:val="single" w:sz="6" w:space="0" w:color="008000"/>
            </w:tcBorders>
            <w:shd w:val="clear" w:color="auto" w:fill="auto"/>
          </w:tcPr>
          <w:p w:rsidR="005A5E7D" w:rsidRPr="00D32F91" w:rsidRDefault="005A5E7D" w:rsidP="005A5E7D">
            <w:pPr>
              <w:suppressAutoHyphens/>
              <w:spacing w:line="240" w:lineRule="auto"/>
              <w:ind w:firstLine="0"/>
              <w:jc w:val="center"/>
              <w:rPr>
                <w:rFonts w:ascii="Arial Narrow" w:eastAsia="Times New Roman" w:hAnsi="Arial Narrow"/>
                <w:b/>
                <w:color w:val="000000"/>
                <w:sz w:val="22"/>
                <w:szCs w:val="20"/>
                <w:lang w:eastAsia="es-PR"/>
              </w:rPr>
            </w:pPr>
            <w:bookmarkStart w:id="57" w:name="RANGE!A4:E23"/>
            <w:r w:rsidRPr="00D32F91">
              <w:rPr>
                <w:rFonts w:ascii="Arial Narrow" w:eastAsia="Times New Roman" w:hAnsi="Arial Narrow"/>
                <w:b/>
                <w:color w:val="000000"/>
                <w:sz w:val="22"/>
                <w:szCs w:val="20"/>
                <w:lang w:eastAsia="es-PR"/>
              </w:rPr>
              <w:t xml:space="preserve">Tabla 5 </w:t>
            </w:r>
            <w:r w:rsidRPr="00D32F91">
              <w:rPr>
                <w:rFonts w:ascii="Arial Narrow" w:eastAsia="Times New Roman" w:hAnsi="Arial Narrow"/>
                <w:b/>
                <w:color w:val="000000"/>
                <w:sz w:val="22"/>
                <w:szCs w:val="20"/>
                <w:lang w:eastAsia="es-PR"/>
              </w:rPr>
              <w:br/>
              <w:t>Estimación de la Carga Tributaria en Puerto Rico bajo la Estadidad</w:t>
            </w:r>
            <w:bookmarkEnd w:id="57"/>
            <w:r w:rsidRPr="00D32F91">
              <w:rPr>
                <w:rFonts w:ascii="Arial Narrow" w:eastAsia="Times New Roman" w:hAnsi="Arial Narrow"/>
                <w:b/>
                <w:color w:val="000000"/>
                <w:sz w:val="22"/>
                <w:szCs w:val="20"/>
                <w:lang w:eastAsia="es-PR"/>
              </w:rPr>
              <w:t>, por Tipo Ingreso (2011)</w:t>
            </w:r>
          </w:p>
        </w:tc>
      </w:tr>
      <w:tr w:rsidR="005A5E7D" w:rsidRPr="00D32F91">
        <w:trPr>
          <w:trHeight w:val="453"/>
          <w:jc w:val="center"/>
        </w:trPr>
        <w:tc>
          <w:tcPr>
            <w:tcW w:w="0" w:type="auto"/>
            <w:shd w:val="clear" w:color="auto" w:fill="auto"/>
            <w:noWrap/>
          </w:tcPr>
          <w:p w:rsidR="005A5E7D" w:rsidRPr="00D32F91" w:rsidRDefault="005A5E7D" w:rsidP="005A5E7D">
            <w:pPr>
              <w:spacing w:line="240" w:lineRule="auto"/>
              <w:ind w:firstLine="0"/>
              <w:jc w:val="center"/>
              <w:rPr>
                <w:rFonts w:ascii="Arial Narrow" w:hAnsi="Arial Narrow"/>
                <w:b/>
                <w:bCs/>
                <w:color w:val="000000"/>
                <w:sz w:val="20"/>
                <w:lang w:eastAsia="es-PR"/>
              </w:rPr>
            </w:pPr>
          </w:p>
        </w:tc>
        <w:tc>
          <w:tcPr>
            <w:tcW w:w="0" w:type="auto"/>
            <w:shd w:val="clear" w:color="auto" w:fill="auto"/>
          </w:tcPr>
          <w:p w:rsidR="005A5E7D" w:rsidRPr="00D32F91" w:rsidRDefault="005A5E7D" w:rsidP="005A5E7D">
            <w:pPr>
              <w:spacing w:line="240" w:lineRule="auto"/>
              <w:ind w:firstLine="0"/>
              <w:jc w:val="center"/>
              <w:rPr>
                <w:rFonts w:ascii="Arial Narrow" w:hAnsi="Arial Narrow"/>
                <w:b/>
                <w:bCs/>
                <w:color w:val="000000"/>
                <w:sz w:val="20"/>
                <w:lang w:eastAsia="es-PR"/>
              </w:rPr>
            </w:pPr>
            <w:r w:rsidRPr="00D32F91">
              <w:rPr>
                <w:rFonts w:ascii="Arial Narrow" w:eastAsia="Times New Roman" w:hAnsi="Arial Narrow"/>
                <w:b/>
                <w:bCs/>
                <w:color w:val="000000"/>
                <w:sz w:val="20"/>
                <w:szCs w:val="20"/>
                <w:lang w:eastAsia="es-PR"/>
              </w:rPr>
              <w:t>Puerto Rico    E.L.A.</w:t>
            </w:r>
          </w:p>
        </w:tc>
        <w:tc>
          <w:tcPr>
            <w:tcW w:w="0" w:type="auto"/>
            <w:shd w:val="clear" w:color="auto" w:fill="auto"/>
          </w:tcPr>
          <w:p w:rsidR="005A5E7D" w:rsidRPr="00D32F91" w:rsidRDefault="005A5E7D" w:rsidP="005A5E7D">
            <w:pPr>
              <w:spacing w:line="240" w:lineRule="auto"/>
              <w:ind w:firstLine="0"/>
              <w:jc w:val="center"/>
              <w:rPr>
                <w:rFonts w:ascii="Arial Narrow" w:hAnsi="Arial Narrow"/>
                <w:b/>
                <w:bCs/>
                <w:color w:val="000000"/>
                <w:sz w:val="20"/>
                <w:lang w:eastAsia="es-PR"/>
              </w:rPr>
            </w:pPr>
            <w:r w:rsidRPr="00D32F91">
              <w:rPr>
                <w:rFonts w:ascii="Arial Narrow" w:eastAsia="Times New Roman" w:hAnsi="Arial Narrow"/>
                <w:b/>
                <w:bCs/>
                <w:color w:val="000000"/>
                <w:sz w:val="20"/>
                <w:szCs w:val="20"/>
                <w:lang w:eastAsia="es-PR"/>
              </w:rPr>
              <w:t>Puerto Rico</w:t>
            </w:r>
            <w:r w:rsidRPr="00D32F91">
              <w:rPr>
                <w:rFonts w:ascii="Arial Narrow" w:eastAsia="Times New Roman" w:hAnsi="Arial Narrow"/>
                <w:b/>
                <w:bCs/>
                <w:color w:val="000000"/>
                <w:sz w:val="20"/>
                <w:szCs w:val="20"/>
                <w:lang w:eastAsia="es-PR"/>
              </w:rPr>
              <w:br/>
              <w:t xml:space="preserve"> bajo Estadidad </w:t>
            </w:r>
          </w:p>
        </w:tc>
        <w:tc>
          <w:tcPr>
            <w:tcW w:w="0" w:type="auto"/>
            <w:shd w:val="clear" w:color="auto" w:fill="auto"/>
          </w:tcPr>
          <w:p w:rsidR="005A5E7D" w:rsidRPr="00D32F91" w:rsidRDefault="005A5E7D" w:rsidP="005A5E7D">
            <w:pPr>
              <w:spacing w:line="240" w:lineRule="auto"/>
              <w:ind w:firstLine="0"/>
              <w:jc w:val="center"/>
              <w:rPr>
                <w:rFonts w:ascii="Arial Narrow" w:hAnsi="Arial Narrow"/>
                <w:b/>
                <w:bCs/>
                <w:color w:val="000000"/>
                <w:sz w:val="20"/>
                <w:lang w:eastAsia="es-PR"/>
              </w:rPr>
            </w:pPr>
            <w:r w:rsidRPr="00D32F91">
              <w:rPr>
                <w:rFonts w:ascii="Arial Narrow" w:eastAsia="Times New Roman" w:hAnsi="Arial Narrow"/>
                <w:b/>
                <w:bCs/>
                <w:color w:val="000000"/>
                <w:sz w:val="20"/>
                <w:szCs w:val="20"/>
                <w:lang w:eastAsia="es-PR"/>
              </w:rPr>
              <w:t>Promedio Estados Unidos</w:t>
            </w:r>
          </w:p>
        </w:tc>
      </w:tr>
      <w:tr w:rsidR="005A5E7D" w:rsidRPr="00D32F91">
        <w:trPr>
          <w:trHeight w:val="255"/>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estatales per cápita (excluyendo corporativos)</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1,369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1,369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2,498 </w:t>
            </w:r>
          </w:p>
        </w:tc>
      </w:tr>
      <w:tr w:rsidR="005A5E7D" w:rsidRPr="00D32F91">
        <w:trPr>
          <w:trHeight w:val="255"/>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federales per cápita (excluyendo corporativos)</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855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b/>
                <w:color w:val="000000"/>
                <w:sz w:val="20"/>
                <w:lang w:eastAsia="es-PR"/>
              </w:rPr>
            </w:pPr>
            <w:r w:rsidRPr="00D32F91">
              <w:rPr>
                <w:rFonts w:ascii="Arial Narrow" w:eastAsia="Times New Roman" w:hAnsi="Arial Narrow"/>
                <w:b/>
                <w:color w:val="000000"/>
                <w:sz w:val="20"/>
                <w:szCs w:val="20"/>
                <w:lang w:eastAsia="es-PR"/>
              </w:rPr>
              <w:t xml:space="preserve">                1,379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6,337 </w:t>
            </w:r>
          </w:p>
        </w:tc>
      </w:tr>
      <w:tr w:rsidR="005A5E7D" w:rsidRPr="00D32F91">
        <w:trPr>
          <w:trHeight w:val="255"/>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estatales per cápita (corporativos)</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642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642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133 </w:t>
            </w:r>
          </w:p>
        </w:tc>
      </w:tr>
      <w:tr w:rsidR="005A5E7D" w:rsidRPr="00D32F91">
        <w:trPr>
          <w:trHeight w:val="171"/>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federales per cápita (corporativos)</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48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b/>
                <w:color w:val="000000"/>
                <w:sz w:val="20"/>
                <w:lang w:eastAsia="es-PR"/>
              </w:rPr>
            </w:pPr>
            <w:r w:rsidRPr="00D32F91">
              <w:rPr>
                <w:rFonts w:ascii="Arial Narrow" w:eastAsia="Times New Roman" w:hAnsi="Arial Narrow"/>
                <w:color w:val="000000"/>
                <w:sz w:val="20"/>
                <w:szCs w:val="20"/>
                <w:lang w:eastAsia="es-PR"/>
              </w:rPr>
              <w:t xml:space="preserve">                </w:t>
            </w:r>
            <w:r w:rsidRPr="00D32F91">
              <w:rPr>
                <w:rFonts w:ascii="Arial Narrow" w:eastAsia="Times New Roman" w:hAnsi="Arial Narrow"/>
                <w:b/>
                <w:color w:val="000000"/>
                <w:sz w:val="20"/>
                <w:szCs w:val="20"/>
                <w:lang w:eastAsia="es-PR"/>
              </w:rPr>
              <w:t xml:space="preserve">1,701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779 </w:t>
            </w:r>
          </w:p>
        </w:tc>
      </w:tr>
      <w:tr w:rsidR="005A5E7D" w:rsidRPr="00D32F91">
        <w:trPr>
          <w:trHeight w:val="255"/>
          <w:jc w:val="center"/>
        </w:trPr>
        <w:tc>
          <w:tcPr>
            <w:tcW w:w="0" w:type="auto"/>
            <w:shd w:val="clear" w:color="auto" w:fill="auto"/>
            <w:noWrap/>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Ingreso Personal per cápita</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16,611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16,611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41,474 </w:t>
            </w:r>
          </w:p>
        </w:tc>
      </w:tr>
      <w:tr w:rsidR="005A5E7D" w:rsidRPr="00D32F91">
        <w:trPr>
          <w:trHeight w:val="119"/>
          <w:jc w:val="center"/>
        </w:trPr>
        <w:tc>
          <w:tcPr>
            <w:tcW w:w="0" w:type="auto"/>
            <w:shd w:val="clear" w:color="auto" w:fill="auto"/>
            <w:noWrap/>
          </w:tcPr>
          <w:p w:rsidR="005A5E7D" w:rsidRPr="00D32F91" w:rsidRDefault="005A5E7D" w:rsidP="00D32F91">
            <w:pPr>
              <w:spacing w:line="240" w:lineRule="auto"/>
              <w:ind w:firstLine="0"/>
              <w:jc w:val="left"/>
              <w:rPr>
                <w:rFonts w:ascii="Arial Narrow" w:hAnsi="Arial Narrow"/>
                <w:color w:val="000000"/>
                <w:sz w:val="16"/>
                <w:lang w:eastAsia="es-PR"/>
              </w:rPr>
            </w:pP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sz w:val="16"/>
                <w:lang w:eastAsia="es-PR"/>
              </w:rPr>
            </w:pP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sz w:val="16"/>
                <w:lang w:eastAsia="es-PR"/>
              </w:rPr>
            </w:pP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sz w:val="16"/>
                <w:lang w:eastAsia="es-PR"/>
              </w:rPr>
            </w:pPr>
          </w:p>
        </w:tc>
      </w:tr>
      <w:tr w:rsidR="005A5E7D" w:rsidRPr="00D32F91">
        <w:trPr>
          <w:trHeight w:val="510"/>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per cápita totales  (federal y estatal) como % del ingreso personal per cápita (excluyendo corporativos)</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13.4%</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b/>
                <w:color w:val="000000"/>
                <w:sz w:val="20"/>
                <w:lang w:eastAsia="es-PR"/>
              </w:rPr>
            </w:pPr>
            <w:r w:rsidRPr="00D32F91">
              <w:rPr>
                <w:rFonts w:ascii="Arial Narrow" w:eastAsia="Times New Roman" w:hAnsi="Arial Narrow"/>
                <w:b/>
                <w:color w:val="000000"/>
                <w:sz w:val="20"/>
                <w:szCs w:val="20"/>
                <w:lang w:eastAsia="es-PR"/>
              </w:rPr>
              <w:t>16.5%</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21.3%</w:t>
            </w:r>
          </w:p>
        </w:tc>
      </w:tr>
      <w:tr w:rsidR="005A5E7D" w:rsidRPr="00D32F91">
        <w:trPr>
          <w:trHeight w:val="510"/>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estatales  per cápita como % del ingreso personal per cápita (excluyendo corporativos)</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8.2%</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8.2%</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6.0%</w:t>
            </w:r>
          </w:p>
        </w:tc>
      </w:tr>
      <w:tr w:rsidR="005A5E7D" w:rsidRPr="00D32F91">
        <w:trPr>
          <w:trHeight w:val="387"/>
          <w:jc w:val="center"/>
        </w:trPr>
        <w:tc>
          <w:tcPr>
            <w:tcW w:w="0" w:type="auto"/>
            <w:shd w:val="clear" w:color="auto" w:fill="auto"/>
          </w:tcPr>
          <w:p w:rsidR="005A5E7D" w:rsidRPr="00D32F91" w:rsidRDefault="005A5E7D" w:rsidP="008964A4">
            <w:pPr>
              <w:spacing w:line="240" w:lineRule="auto"/>
              <w:ind w:leftChars="-7" w:left="-3" w:hangingChars="9" w:hanging="14"/>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federales  per cápita como % del ingreso personal per cápita (excluyendo corporativos)</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5.1%</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b/>
                <w:color w:val="000000"/>
                <w:sz w:val="20"/>
                <w:lang w:eastAsia="es-PR"/>
              </w:rPr>
            </w:pPr>
            <w:r w:rsidRPr="00D32F91">
              <w:rPr>
                <w:rFonts w:ascii="Arial Narrow" w:eastAsia="Times New Roman" w:hAnsi="Arial Narrow"/>
                <w:b/>
                <w:color w:val="000000"/>
                <w:sz w:val="20"/>
                <w:szCs w:val="20"/>
                <w:lang w:eastAsia="es-PR"/>
              </w:rPr>
              <w:t>8.3%</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15.3%</w:t>
            </w:r>
          </w:p>
        </w:tc>
      </w:tr>
      <w:tr w:rsidR="005A5E7D" w:rsidRPr="00D32F91">
        <w:trPr>
          <w:trHeight w:val="74"/>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16"/>
                <w:lang w:eastAsia="es-PR"/>
              </w:rPr>
            </w:pPr>
            <w:r w:rsidRPr="00D32F91">
              <w:rPr>
                <w:rFonts w:ascii="Arial Narrow" w:eastAsia="Times New Roman" w:hAnsi="Arial Narrow"/>
                <w:color w:val="000000"/>
                <w:sz w:val="16"/>
                <w:szCs w:val="20"/>
                <w:lang w:eastAsia="es-PR"/>
              </w:rPr>
              <w:t xml:space="preserve">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16"/>
                <w:lang w:eastAsia="es-PR"/>
              </w:rPr>
            </w:pPr>
            <w:r w:rsidRPr="00D32F91">
              <w:rPr>
                <w:rFonts w:ascii="Arial Narrow" w:eastAsia="Times New Roman" w:hAnsi="Arial Narrow"/>
                <w:color w:val="000000"/>
                <w:sz w:val="16"/>
                <w:szCs w:val="20"/>
                <w:lang w:eastAsia="es-PR"/>
              </w:rPr>
              <w:t xml:space="preserve">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16"/>
                <w:lang w:eastAsia="es-PR"/>
              </w:rPr>
            </w:pP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16"/>
                <w:lang w:eastAsia="es-PR"/>
              </w:rPr>
            </w:pPr>
            <w:r w:rsidRPr="00D32F91">
              <w:rPr>
                <w:rFonts w:ascii="Arial Narrow" w:eastAsia="Times New Roman" w:hAnsi="Arial Narrow"/>
                <w:color w:val="000000"/>
                <w:sz w:val="16"/>
                <w:szCs w:val="20"/>
                <w:lang w:eastAsia="es-PR"/>
              </w:rPr>
              <w:t xml:space="preserve"> </w:t>
            </w:r>
          </w:p>
        </w:tc>
      </w:tr>
      <w:tr w:rsidR="005A5E7D" w:rsidRPr="00D32F91">
        <w:trPr>
          <w:trHeight w:val="510"/>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per  cápita  totales (federal y estatal) como % del ingreso personal per cápita (corporativos)</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4.2%</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b/>
                <w:color w:val="000000"/>
                <w:sz w:val="20"/>
                <w:lang w:eastAsia="es-PR"/>
              </w:rPr>
            </w:pPr>
            <w:r w:rsidRPr="00D32F91">
              <w:rPr>
                <w:rFonts w:ascii="Arial Narrow" w:eastAsia="Times New Roman" w:hAnsi="Arial Narrow"/>
                <w:b/>
                <w:color w:val="000000"/>
                <w:sz w:val="20"/>
                <w:szCs w:val="20"/>
                <w:lang w:eastAsia="es-PR"/>
              </w:rPr>
              <w:t>14.1%</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2.2%</w:t>
            </w:r>
          </w:p>
        </w:tc>
      </w:tr>
      <w:tr w:rsidR="005A5E7D" w:rsidRPr="00D32F91">
        <w:trPr>
          <w:trHeight w:val="510"/>
          <w:jc w:val="center"/>
        </w:trPr>
        <w:tc>
          <w:tcPr>
            <w:tcW w:w="0" w:type="auto"/>
            <w:shd w:val="clear" w:color="auto" w:fill="auto"/>
          </w:tcPr>
          <w:p w:rsidR="005A5E7D" w:rsidRPr="00D32F91" w:rsidRDefault="005A5E7D" w:rsidP="008964A4">
            <w:pPr>
              <w:spacing w:line="240" w:lineRule="auto"/>
              <w:ind w:leftChars="-7" w:left="-3" w:hangingChars="9" w:hanging="14"/>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estatales  per cápita como % del ingreso personal per cápita (corporativos)</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3.9%</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3.9%</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0.3%</w:t>
            </w:r>
          </w:p>
        </w:tc>
      </w:tr>
      <w:tr w:rsidR="005A5E7D" w:rsidRPr="00D32F91">
        <w:trPr>
          <w:trHeight w:val="510"/>
          <w:jc w:val="center"/>
        </w:trPr>
        <w:tc>
          <w:tcPr>
            <w:tcW w:w="0" w:type="auto"/>
            <w:shd w:val="clear" w:color="auto" w:fill="auto"/>
          </w:tcPr>
          <w:p w:rsidR="005A5E7D" w:rsidRPr="00D32F91" w:rsidRDefault="005A5E7D" w:rsidP="008964A4">
            <w:pPr>
              <w:spacing w:line="240" w:lineRule="auto"/>
              <w:ind w:leftChars="-7" w:left="-3" w:hangingChars="9" w:hanging="14"/>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federales  per cápita como % del ingreso personal per cápita (corporativos)</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0.3%</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b/>
                <w:color w:val="000000"/>
                <w:sz w:val="20"/>
                <w:lang w:eastAsia="es-PR"/>
              </w:rPr>
            </w:pPr>
            <w:r w:rsidRPr="00D32F91">
              <w:rPr>
                <w:rFonts w:ascii="Arial Narrow" w:eastAsia="Times New Roman" w:hAnsi="Arial Narrow"/>
                <w:b/>
                <w:color w:val="000000"/>
                <w:sz w:val="20"/>
                <w:szCs w:val="20"/>
                <w:lang w:eastAsia="es-PR"/>
              </w:rPr>
              <w:t>10.2%</w:t>
            </w:r>
          </w:p>
        </w:tc>
        <w:tc>
          <w:tcPr>
            <w:tcW w:w="0" w:type="auto"/>
            <w:shd w:val="clear" w:color="auto" w:fill="auto"/>
            <w:noWrap/>
          </w:tcPr>
          <w:p w:rsidR="005A5E7D" w:rsidRPr="00D32F91" w:rsidRDefault="005A5E7D" w:rsidP="00D32F91">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1.9%</w:t>
            </w:r>
          </w:p>
        </w:tc>
      </w:tr>
      <w:tr w:rsidR="005A5E7D" w:rsidRPr="00D32F91">
        <w:trPr>
          <w:trHeight w:val="119"/>
          <w:jc w:val="center"/>
        </w:trPr>
        <w:tc>
          <w:tcPr>
            <w:tcW w:w="0" w:type="auto"/>
            <w:shd w:val="clear" w:color="auto" w:fill="auto"/>
          </w:tcPr>
          <w:p w:rsidR="005A5E7D" w:rsidRPr="00D32F91" w:rsidRDefault="005A5E7D" w:rsidP="00D32F91">
            <w:pPr>
              <w:spacing w:line="240" w:lineRule="auto"/>
              <w:ind w:firstLine="0"/>
              <w:jc w:val="right"/>
              <w:rPr>
                <w:rFonts w:ascii="Arial Narrow" w:hAnsi="Arial Narrow"/>
                <w:color w:val="000000"/>
                <w:sz w:val="16"/>
                <w:lang w:eastAsia="es-PR"/>
              </w:rPr>
            </w:pP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sz w:val="16"/>
                <w:lang w:eastAsia="es-PR"/>
              </w:rPr>
            </w:pP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sz w:val="16"/>
                <w:lang w:eastAsia="es-PR"/>
              </w:rPr>
            </w:pP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sz w:val="16"/>
                <w:lang w:eastAsia="es-PR"/>
              </w:rPr>
            </w:pPr>
          </w:p>
        </w:tc>
      </w:tr>
      <w:tr w:rsidR="005A5E7D" w:rsidRPr="00D32F91">
        <w:trPr>
          <w:trHeight w:val="255"/>
          <w:jc w:val="center"/>
        </w:trPr>
        <w:tc>
          <w:tcPr>
            <w:tcW w:w="0" w:type="auto"/>
            <w:shd w:val="clear" w:color="auto" w:fill="auto"/>
          </w:tcPr>
          <w:p w:rsidR="005A5E7D" w:rsidRPr="00D32F91" w:rsidRDefault="005A5E7D" w:rsidP="00D32F91">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Totales per cápita</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2,914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b/>
                <w:color w:val="000000"/>
                <w:sz w:val="20"/>
                <w:lang w:eastAsia="es-PR"/>
              </w:rPr>
            </w:pPr>
            <w:r w:rsidRPr="00D32F91">
              <w:rPr>
                <w:rFonts w:ascii="Arial Narrow" w:eastAsia="Times New Roman" w:hAnsi="Arial Narrow"/>
                <w:b/>
                <w:color w:val="000000"/>
                <w:sz w:val="20"/>
                <w:szCs w:val="20"/>
                <w:lang w:eastAsia="es-PR"/>
              </w:rPr>
              <w:t xml:space="preserve">                5,091 </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 xml:space="preserve">                9,747 </w:t>
            </w:r>
          </w:p>
        </w:tc>
      </w:tr>
      <w:tr w:rsidR="005A5E7D" w:rsidRPr="00D32F91">
        <w:trPr>
          <w:trHeight w:val="360"/>
          <w:jc w:val="center"/>
        </w:trPr>
        <w:tc>
          <w:tcPr>
            <w:tcW w:w="0" w:type="auto"/>
            <w:shd w:val="clear" w:color="auto" w:fill="auto"/>
          </w:tcPr>
          <w:p w:rsidR="005A5E7D" w:rsidRPr="00D32F91" w:rsidRDefault="005A5E7D" w:rsidP="005A5E7D">
            <w:pPr>
              <w:spacing w:line="240" w:lineRule="auto"/>
              <w:ind w:firstLine="0"/>
              <w:jc w:val="left"/>
              <w:rPr>
                <w:rFonts w:ascii="Arial Narrow" w:hAnsi="Arial Narrow"/>
                <w:color w:val="000000"/>
                <w:sz w:val="20"/>
                <w:lang w:eastAsia="es-PR"/>
              </w:rPr>
            </w:pPr>
            <w:r w:rsidRPr="00D32F91">
              <w:rPr>
                <w:rFonts w:ascii="Arial Narrow" w:eastAsia="Times New Roman" w:hAnsi="Arial Narrow"/>
                <w:color w:val="000000"/>
                <w:sz w:val="20"/>
                <w:szCs w:val="20"/>
                <w:lang w:eastAsia="es-PR"/>
              </w:rPr>
              <w:t>Impuestos Totales per c</w:t>
            </w:r>
            <w:r w:rsidR="00D32F91">
              <w:rPr>
                <w:rFonts w:ascii="Arial Narrow" w:eastAsia="Times New Roman" w:hAnsi="Arial Narrow"/>
                <w:color w:val="000000"/>
                <w:sz w:val="20"/>
                <w:szCs w:val="20"/>
                <w:lang w:eastAsia="es-PR"/>
              </w:rPr>
              <w:t>ápita /</w:t>
            </w:r>
            <w:r w:rsidRPr="00D32F91">
              <w:rPr>
                <w:rFonts w:ascii="Arial Narrow" w:eastAsia="Times New Roman" w:hAnsi="Arial Narrow"/>
                <w:color w:val="000000"/>
                <w:sz w:val="20"/>
                <w:szCs w:val="20"/>
                <w:lang w:eastAsia="es-PR"/>
              </w:rPr>
              <w:t>ingreso personal per cápita</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17.5%</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b/>
                <w:color w:val="000000"/>
                <w:sz w:val="20"/>
                <w:lang w:eastAsia="es-PR"/>
              </w:rPr>
            </w:pPr>
            <w:r w:rsidRPr="00D32F91">
              <w:rPr>
                <w:rFonts w:ascii="Arial Narrow" w:eastAsia="Times New Roman" w:hAnsi="Arial Narrow"/>
                <w:b/>
                <w:color w:val="000000"/>
                <w:sz w:val="20"/>
                <w:szCs w:val="20"/>
                <w:lang w:eastAsia="es-PR"/>
              </w:rPr>
              <w:t>30.6%</w:t>
            </w:r>
          </w:p>
        </w:tc>
        <w:tc>
          <w:tcPr>
            <w:tcW w:w="0" w:type="auto"/>
            <w:shd w:val="clear" w:color="auto" w:fill="auto"/>
            <w:noWrap/>
          </w:tcPr>
          <w:p w:rsidR="005A5E7D" w:rsidRPr="00D32F91" w:rsidRDefault="005A5E7D" w:rsidP="005A5E7D">
            <w:pPr>
              <w:spacing w:line="240" w:lineRule="auto"/>
              <w:ind w:firstLine="0"/>
              <w:jc w:val="right"/>
              <w:rPr>
                <w:rFonts w:ascii="Arial Narrow" w:hAnsi="Arial Narrow"/>
                <w:color w:val="000000"/>
                <w:sz w:val="20"/>
                <w:lang w:eastAsia="es-PR"/>
              </w:rPr>
            </w:pPr>
            <w:r w:rsidRPr="00D32F91">
              <w:rPr>
                <w:rFonts w:ascii="Arial Narrow" w:eastAsia="Times New Roman" w:hAnsi="Arial Narrow"/>
                <w:color w:val="000000"/>
                <w:sz w:val="20"/>
                <w:szCs w:val="20"/>
                <w:lang w:eastAsia="es-PR"/>
              </w:rPr>
              <w:t>23.5%</w:t>
            </w:r>
          </w:p>
        </w:tc>
      </w:tr>
    </w:tbl>
    <w:p w:rsidR="005A5E7D" w:rsidRPr="008E18A2" w:rsidRDefault="005A5E7D" w:rsidP="005A5E7D">
      <w:pPr>
        <w:spacing w:line="240" w:lineRule="auto"/>
        <w:rPr>
          <w:sz w:val="16"/>
          <w:lang w:eastAsia="ar-SA"/>
        </w:rPr>
      </w:pPr>
    </w:p>
    <w:p w:rsidR="00885659" w:rsidRDefault="00885659" w:rsidP="005A5E7D">
      <w:pPr>
        <w:rPr>
          <w:lang w:eastAsia="ar-SA"/>
        </w:rPr>
      </w:pPr>
      <w:r w:rsidRPr="003A21B9">
        <w:rPr>
          <w:lang w:eastAsia="ar-SA"/>
        </w:rPr>
        <w:t>Los impuestos federales per cápita serían $1,379 versus</w:t>
      </w:r>
      <w:r>
        <w:rPr>
          <w:lang w:eastAsia="ar-SA"/>
        </w:rPr>
        <w:t xml:space="preserve"> los $2,498 </w:t>
      </w:r>
      <w:r w:rsidRPr="003A21B9">
        <w:rPr>
          <w:lang w:eastAsia="ar-SA"/>
        </w:rPr>
        <w:t>promedio en los estados.</w:t>
      </w:r>
      <w:r>
        <w:rPr>
          <w:lang w:eastAsia="ar-SA"/>
        </w:rPr>
        <w:t xml:space="preserve"> </w:t>
      </w:r>
      <w:r w:rsidRPr="003A21B9">
        <w:rPr>
          <w:lang w:eastAsia="ar-SA"/>
        </w:rPr>
        <w:t>Por otro lado, partiendo de la</w:t>
      </w:r>
      <w:r>
        <w:rPr>
          <w:lang w:eastAsia="ar-SA"/>
        </w:rPr>
        <w:t xml:space="preserve"> </w:t>
      </w:r>
      <w:r w:rsidRPr="003A21B9">
        <w:rPr>
          <w:lang w:eastAsia="ar-SA"/>
        </w:rPr>
        <w:t>mayor importancia que tienen los impuestos corporativos para el fisco de Puerto Rico actualmente (13% versus 3% en E</w:t>
      </w:r>
      <w:r>
        <w:rPr>
          <w:lang w:eastAsia="ar-SA"/>
        </w:rPr>
        <w:t>stados Unidos</w:t>
      </w:r>
      <w:r w:rsidRPr="003A21B9">
        <w:rPr>
          <w:lang w:eastAsia="ar-SA"/>
        </w:rPr>
        <w:t>), la carga contributiva a las corporaciones aumentaría con impuestos federales per cápita de $1,701</w:t>
      </w:r>
      <w:r>
        <w:rPr>
          <w:lang w:eastAsia="ar-SA"/>
        </w:rPr>
        <w:t>,</w:t>
      </w:r>
      <w:r w:rsidRPr="003A21B9">
        <w:rPr>
          <w:lang w:eastAsia="ar-SA"/>
        </w:rPr>
        <w:t xml:space="preserve"> en comparación con $779 para el promedio de los estados. </w:t>
      </w:r>
    </w:p>
    <w:p w:rsidR="005A5E7D" w:rsidRPr="003A21B9" w:rsidRDefault="005A5E7D" w:rsidP="005A5E7D">
      <w:pPr>
        <w:rPr>
          <w:lang w:eastAsia="ar-SA"/>
        </w:rPr>
      </w:pPr>
      <w:r w:rsidRPr="003A21B9">
        <w:rPr>
          <w:lang w:eastAsia="ar-SA"/>
        </w:rPr>
        <w:t xml:space="preserve">Según se presentó en la </w:t>
      </w:r>
      <w:r w:rsidRPr="003A21B9">
        <w:rPr>
          <w:b/>
          <w:lang w:eastAsia="ar-SA"/>
        </w:rPr>
        <w:t>Tabla 4</w:t>
      </w:r>
      <w:r w:rsidRPr="003A21B9">
        <w:rPr>
          <w:lang w:eastAsia="ar-SA"/>
        </w:rPr>
        <w:t xml:space="preserve">, las corporaciones </w:t>
      </w:r>
      <w:r>
        <w:t>radicadas en Puerto Rico</w:t>
      </w:r>
      <w:r w:rsidRPr="003A21B9">
        <w:rPr>
          <w:lang w:eastAsia="ar-SA"/>
        </w:rPr>
        <w:t xml:space="preserve"> sujetas a </w:t>
      </w:r>
      <w:r>
        <w:rPr>
          <w:lang w:eastAsia="ar-SA"/>
        </w:rPr>
        <w:t xml:space="preserve">contribución regular </w:t>
      </w:r>
      <w:r w:rsidRPr="003A21B9">
        <w:rPr>
          <w:lang w:eastAsia="ar-SA"/>
        </w:rPr>
        <w:t>podrían pagar $758 millones</w:t>
      </w:r>
      <w:r>
        <w:rPr>
          <w:lang w:eastAsia="ar-SA"/>
        </w:rPr>
        <w:t xml:space="preserve"> </w:t>
      </w:r>
      <w:r w:rsidRPr="00A25B96">
        <w:rPr>
          <w:lang w:eastAsia="ar-SA"/>
        </w:rPr>
        <w:t xml:space="preserve">al </w:t>
      </w:r>
      <w:r>
        <w:rPr>
          <w:lang w:eastAsia="ar-SA"/>
        </w:rPr>
        <w:t>fisco</w:t>
      </w:r>
      <w:r w:rsidRPr="00A25B96">
        <w:rPr>
          <w:lang w:eastAsia="ar-SA"/>
        </w:rPr>
        <w:t xml:space="preserve"> federal</w:t>
      </w:r>
      <w:r w:rsidRPr="003A21B9">
        <w:rPr>
          <w:lang w:eastAsia="ar-SA"/>
        </w:rPr>
        <w:t>.</w:t>
      </w:r>
      <w:r>
        <w:rPr>
          <w:lang w:eastAsia="ar-SA"/>
        </w:rPr>
        <w:t xml:space="preserve"> </w:t>
      </w:r>
      <w:r w:rsidRPr="003A21B9">
        <w:rPr>
          <w:lang w:eastAsia="ar-SA"/>
        </w:rPr>
        <w:t>Por otro lado</w:t>
      </w:r>
      <w:r>
        <w:rPr>
          <w:lang w:eastAsia="ar-SA"/>
        </w:rPr>
        <w:t>,</w:t>
      </w:r>
      <w:r w:rsidRPr="003A21B9">
        <w:rPr>
          <w:lang w:eastAsia="ar-SA"/>
        </w:rPr>
        <w:t xml:space="preserve"> las empresas radicadas en Puerto Rico que hoy día reciben incentivos contributivos tendrían que pagar impuestos sustanciales al </w:t>
      </w:r>
      <w:r>
        <w:rPr>
          <w:lang w:eastAsia="ar-SA"/>
        </w:rPr>
        <w:t>Gobierno</w:t>
      </w:r>
      <w:r w:rsidRPr="003A21B9">
        <w:rPr>
          <w:lang w:eastAsia="ar-SA"/>
        </w:rPr>
        <w:t xml:space="preserve"> federal, lo que deja sin efecto la estrategia de atracción </w:t>
      </w:r>
      <w:r>
        <w:rPr>
          <w:lang w:eastAsia="ar-SA"/>
        </w:rPr>
        <w:t xml:space="preserve">de </w:t>
      </w:r>
      <w:r w:rsidRPr="003A21B9">
        <w:rPr>
          <w:lang w:eastAsia="ar-SA"/>
        </w:rPr>
        <w:t xml:space="preserve">inversión utilizada en Puerto Rico </w:t>
      </w:r>
      <w:r>
        <w:rPr>
          <w:lang w:eastAsia="ar-SA"/>
        </w:rPr>
        <w:t>durante</w:t>
      </w:r>
      <w:r w:rsidRPr="003A21B9">
        <w:rPr>
          <w:lang w:eastAsia="ar-SA"/>
        </w:rPr>
        <w:t xml:space="preserve"> muchos años de ser un paraíso fiscal.</w:t>
      </w:r>
      <w:r>
        <w:rPr>
          <w:lang w:eastAsia="ar-SA"/>
        </w:rPr>
        <w:t xml:space="preserve"> </w:t>
      </w:r>
      <w:r w:rsidRPr="003A21B9">
        <w:rPr>
          <w:lang w:eastAsia="ar-SA"/>
        </w:rPr>
        <w:t>Dichas empresas aportaron al fisco de Puerto Rico $306 millones en el 2011, los cuales probablemente dejarían de recibirse si se relocalizan fuera de la Isla.</w:t>
      </w:r>
      <w:r>
        <w:rPr>
          <w:lang w:eastAsia="ar-SA"/>
        </w:rPr>
        <w:t xml:space="preserve"> </w:t>
      </w:r>
      <w:r w:rsidRPr="003A21B9">
        <w:rPr>
          <w:lang w:eastAsia="ar-SA"/>
        </w:rPr>
        <w:t>La diferencia mayor en el impuesto corporativo federal que pagarían las em</w:t>
      </w:r>
      <w:r>
        <w:rPr>
          <w:lang w:eastAsia="ar-SA"/>
        </w:rPr>
        <w:t>presas radicadas en Puerto Rico</w:t>
      </w:r>
      <w:r w:rsidRPr="003A21B9">
        <w:rPr>
          <w:lang w:eastAsia="ar-SA"/>
        </w:rPr>
        <w:t xml:space="preserve"> surge precisamente del pago que tendrían que </w:t>
      </w:r>
      <w:r>
        <w:rPr>
          <w:lang w:eastAsia="ar-SA"/>
        </w:rPr>
        <w:t>hace</w:t>
      </w:r>
      <w:r w:rsidRPr="003A21B9">
        <w:rPr>
          <w:lang w:eastAsia="ar-SA"/>
        </w:rPr>
        <w:t>r las empresas que actualmente se consideran exentas.</w:t>
      </w:r>
      <w:r>
        <w:rPr>
          <w:lang w:eastAsia="ar-SA"/>
        </w:rPr>
        <w:t xml:space="preserve"> </w:t>
      </w:r>
      <w:r w:rsidRPr="003A21B9">
        <w:rPr>
          <w:lang w:eastAsia="ar-SA"/>
        </w:rPr>
        <w:t>Se evidencia que</w:t>
      </w:r>
      <w:r>
        <w:rPr>
          <w:lang w:eastAsia="ar-SA"/>
        </w:rPr>
        <w:t>,</w:t>
      </w:r>
      <w:r w:rsidRPr="003A21B9">
        <w:rPr>
          <w:lang w:eastAsia="ar-SA"/>
        </w:rPr>
        <w:t xml:space="preserve"> una vez dichas empresas estén sujetas al pago de contribuciones</w:t>
      </w:r>
      <w:r>
        <w:rPr>
          <w:lang w:eastAsia="ar-SA"/>
        </w:rPr>
        <w:t xml:space="preserve"> </w:t>
      </w:r>
      <w:r w:rsidRPr="003A21B9">
        <w:rPr>
          <w:lang w:eastAsia="ar-SA"/>
        </w:rPr>
        <w:t>federales, la ventaja competitiva de Puerto Rico para retenerlas se afectaría de manera significativa.</w:t>
      </w:r>
    </w:p>
    <w:p w:rsidR="005A5E7D" w:rsidRPr="00F6305D" w:rsidRDefault="005A5E7D" w:rsidP="005A5E7D">
      <w:pPr>
        <w:rPr>
          <w:lang w:eastAsia="ar-SA"/>
        </w:rPr>
      </w:pPr>
      <w:r>
        <w:rPr>
          <w:lang w:eastAsia="ar-SA"/>
        </w:rPr>
        <w:t>L</w:t>
      </w:r>
      <w:r w:rsidRPr="003A21B9">
        <w:rPr>
          <w:lang w:eastAsia="ar-SA"/>
        </w:rPr>
        <w:t>a aplicabilidad de la Ley 154 a las empresas estadounidenses</w:t>
      </w:r>
      <w:r>
        <w:rPr>
          <w:lang w:eastAsia="ar-SA"/>
        </w:rPr>
        <w:t xml:space="preserve"> </w:t>
      </w:r>
      <w:r w:rsidRPr="008B456C">
        <w:t>—</w:t>
      </w:r>
      <w:r>
        <w:rPr>
          <w:color w:val="000000"/>
          <w:szCs w:val="24"/>
        </w:rPr>
        <w:t>sujetas a este impuesto</w:t>
      </w:r>
      <w:r w:rsidRPr="008B456C">
        <w:t>—</w:t>
      </w:r>
      <w:r w:rsidRPr="003A21B9">
        <w:rPr>
          <w:lang w:eastAsia="ar-SA"/>
        </w:rPr>
        <w:t xml:space="preserve"> quedaría anulada con la estadidad, obligando al </w:t>
      </w:r>
      <w:r>
        <w:rPr>
          <w:lang w:eastAsia="ar-SA"/>
        </w:rPr>
        <w:t>Gobierno</w:t>
      </w:r>
      <w:r w:rsidRPr="003A21B9">
        <w:rPr>
          <w:lang w:eastAsia="ar-SA"/>
        </w:rPr>
        <w:t xml:space="preserve"> a buscar formas alternas y efectivas de sustituir dicho ingreso.</w:t>
      </w:r>
      <w:r>
        <w:rPr>
          <w:lang w:eastAsia="ar-SA"/>
        </w:rPr>
        <w:t xml:space="preserve"> </w:t>
      </w:r>
      <w:r w:rsidRPr="003A21B9">
        <w:rPr>
          <w:lang w:eastAsia="ar-SA"/>
        </w:rPr>
        <w:t>La Ley 154 aplica a individuos no residentes y a corporaciones o sociedades extranjeras.</w:t>
      </w:r>
      <w:r>
        <w:rPr>
          <w:lang w:eastAsia="ar-SA"/>
        </w:rPr>
        <w:t xml:space="preserve"> El arbitrio se implantó</w:t>
      </w:r>
      <w:r w:rsidRPr="003A21B9">
        <w:rPr>
          <w:lang w:eastAsia="ar-SA"/>
        </w:rPr>
        <w:t xml:space="preserve"> como sustituto </w:t>
      </w:r>
      <w:r>
        <w:rPr>
          <w:lang w:eastAsia="ar-SA"/>
        </w:rPr>
        <w:t>(</w:t>
      </w:r>
      <w:r w:rsidRPr="003A21B9">
        <w:rPr>
          <w:i/>
          <w:lang w:eastAsia="ar-SA"/>
        </w:rPr>
        <w:t xml:space="preserve">in lieu of) </w:t>
      </w:r>
      <w:r w:rsidRPr="003A21B9">
        <w:rPr>
          <w:lang w:eastAsia="ar-SA"/>
        </w:rPr>
        <w:t>de un impuesto al ingreso.</w:t>
      </w:r>
      <w:r>
        <w:rPr>
          <w:lang w:eastAsia="ar-SA"/>
        </w:rPr>
        <w:t xml:space="preserve"> El 30 de marzo de</w:t>
      </w:r>
      <w:r w:rsidRPr="003A21B9">
        <w:rPr>
          <w:lang w:eastAsia="ar-SA"/>
        </w:rPr>
        <w:t xml:space="preserve"> 2011, el IRS hizo un pronunciamiento tempor</w:t>
      </w:r>
      <w:r>
        <w:rPr>
          <w:lang w:eastAsia="ar-SA"/>
        </w:rPr>
        <w:t>al</w:t>
      </w:r>
      <w:r w:rsidRPr="003A21B9">
        <w:rPr>
          <w:lang w:eastAsia="ar-SA"/>
        </w:rPr>
        <w:t xml:space="preserve"> </w:t>
      </w:r>
      <w:r>
        <w:rPr>
          <w:lang w:eastAsia="ar-SA"/>
        </w:rPr>
        <w:t xml:space="preserve">de que </w:t>
      </w:r>
      <w:r w:rsidRPr="003A21B9">
        <w:rPr>
          <w:lang w:eastAsia="ar-SA"/>
        </w:rPr>
        <w:t>se acreditará a las empresas afiliadas el pago de arbitrios en Puerto Rico bajo el amparo de las secciones 901 y 903 del Código de Rentas I</w:t>
      </w:r>
      <w:r>
        <w:rPr>
          <w:lang w:eastAsia="ar-SA"/>
        </w:rPr>
        <w:t xml:space="preserve">nternas federal. </w:t>
      </w:r>
      <w:r w:rsidRPr="003A21B9">
        <w:rPr>
          <w:lang w:eastAsia="ar-SA"/>
        </w:rPr>
        <w:t>Mientras la aplicabilidad y constitucionalidad de la Ley es evaluada, se otorgan créditos contributivos por impuestos pagados en países extranjeros.</w:t>
      </w:r>
      <w:r>
        <w:rPr>
          <w:lang w:eastAsia="ar-SA"/>
        </w:rPr>
        <w:t xml:space="preserve"> </w:t>
      </w:r>
      <w:r w:rsidRPr="003A21B9">
        <w:rPr>
          <w:lang w:eastAsia="ar-SA"/>
        </w:rPr>
        <w:t>Sin embargo, aún no se ha hecho un pronunciamiento permanente al respecto</w:t>
      </w:r>
      <w:r w:rsidRPr="003A21B9">
        <w:rPr>
          <w:noProof/>
          <w:lang w:eastAsia="ar-SA"/>
        </w:rPr>
        <w:t xml:space="preserve"> (Sullivan, 2014)</w:t>
      </w:r>
      <w:r w:rsidRPr="003A21B9">
        <w:rPr>
          <w:lang w:eastAsia="ar-SA"/>
        </w:rPr>
        <w:t>.</w:t>
      </w:r>
      <w:r>
        <w:rPr>
          <w:lang w:eastAsia="ar-SA"/>
        </w:rPr>
        <w:t xml:space="preserve"> </w:t>
      </w:r>
      <w:r w:rsidRPr="003A21B9">
        <w:rPr>
          <w:lang w:eastAsia="ar-SA"/>
        </w:rPr>
        <w:t>La estadidad elimina la posibilidad de que las empresas estadounidenses que operan en Puerto Rico se definan como corporaciones foráneas bajo la Sección 901, lo que las exime de la aplicación de la Ley 154 de 2010 de Puerto Rico.</w:t>
      </w:r>
      <w:r>
        <w:rPr>
          <w:lang w:eastAsia="ar-SA"/>
        </w:rPr>
        <w:t xml:space="preserve"> </w:t>
      </w:r>
      <w:r w:rsidRPr="003A21B9">
        <w:rPr>
          <w:lang w:eastAsia="ar-SA"/>
        </w:rPr>
        <w:t xml:space="preserve">Consecuentemente, la estadidad limitaría que dichas empresas puedan reducir su carga tributaria a </w:t>
      </w:r>
      <w:r w:rsidRPr="00F6305D">
        <w:rPr>
          <w:lang w:eastAsia="ar-SA"/>
        </w:rPr>
        <w:t>nivel federal y aumentaría la posibilidad de que se relocalicen.</w:t>
      </w:r>
      <w:r>
        <w:rPr>
          <w:lang w:eastAsia="ar-SA"/>
        </w:rPr>
        <w:t xml:space="preserve"> </w:t>
      </w:r>
      <w:r w:rsidRPr="00F6305D">
        <w:rPr>
          <w:lang w:eastAsia="ar-SA"/>
        </w:rPr>
        <w:t>Todas vez que las empresas foráneas se concentran en el sector manufacturero, su relocalización provocaría una reducción significativa en el empleo de dicho sector</w:t>
      </w:r>
      <w:r w:rsidRPr="00F6305D">
        <w:rPr>
          <w:noProof/>
          <w:lang w:eastAsia="ar-SA"/>
        </w:rPr>
        <w:t xml:space="preserve"> </w:t>
      </w:r>
      <w:r w:rsidRPr="00B671E5">
        <w:rPr>
          <w:i/>
          <w:noProof/>
          <w:lang w:eastAsia="ar-SA"/>
        </w:rPr>
        <w:t>(US Government Accountability Office</w:t>
      </w:r>
      <w:r w:rsidRPr="00F6305D">
        <w:rPr>
          <w:noProof/>
          <w:lang w:eastAsia="ar-SA"/>
        </w:rPr>
        <w:t>, 2006)</w:t>
      </w:r>
      <w:r w:rsidRPr="00F6305D">
        <w:rPr>
          <w:lang w:eastAsia="ar-SA"/>
        </w:rPr>
        <w:t>.</w:t>
      </w:r>
      <w:r w:rsidRPr="00F6305D">
        <w:rPr>
          <w:rStyle w:val="FootnoteReference"/>
          <w:lang w:eastAsia="ar-SA"/>
        </w:rPr>
        <w:footnoteReference w:id="41"/>
      </w:r>
      <w:r>
        <w:rPr>
          <w:lang w:eastAsia="ar-SA"/>
        </w:rPr>
        <w:t xml:space="preserve"> </w:t>
      </w:r>
      <w:r w:rsidRPr="00F6305D">
        <w:rPr>
          <w:lang w:eastAsia="ar-SA"/>
        </w:rPr>
        <w:t xml:space="preserve">La pérdida de empleos en el sector privado podría agudizarse por la mayor incidencia que tendrían los impuestos corporativos a nivel federal sobre las empresas </w:t>
      </w:r>
      <w:r>
        <w:rPr>
          <w:lang w:eastAsia="ar-SA"/>
        </w:rPr>
        <w:t>puertorriqueña</w:t>
      </w:r>
      <w:r w:rsidRPr="00F6305D">
        <w:rPr>
          <w:lang w:eastAsia="ar-SA"/>
        </w:rPr>
        <w:t>s.</w:t>
      </w:r>
    </w:p>
    <w:p w:rsidR="005A5E7D" w:rsidRPr="003A21B9" w:rsidRDefault="005A5E7D" w:rsidP="005A5E7D">
      <w:pPr>
        <w:rPr>
          <w:lang w:eastAsia="ar-SA"/>
        </w:rPr>
      </w:pPr>
      <w:r w:rsidRPr="00F6305D">
        <w:rPr>
          <w:lang w:eastAsia="ar-SA"/>
        </w:rPr>
        <w:t xml:space="preserve">La </w:t>
      </w:r>
      <w:r>
        <w:rPr>
          <w:lang w:eastAsia="ar-SA"/>
        </w:rPr>
        <w:t xml:space="preserve">potencial </w:t>
      </w:r>
      <w:r w:rsidRPr="00F6305D">
        <w:rPr>
          <w:lang w:eastAsia="ar-SA"/>
        </w:rPr>
        <w:t xml:space="preserve">eliminación de los recaudos por concepto de la Ley 154 es sumamente importante ya que los arbitrios por concepto de esta ley han ido en aumento, y ante la situación recesionaria actual, el </w:t>
      </w:r>
      <w:r>
        <w:rPr>
          <w:lang w:eastAsia="ar-SA"/>
        </w:rPr>
        <w:t>Gobierno</w:t>
      </w:r>
      <w:r w:rsidRPr="00F6305D">
        <w:rPr>
          <w:lang w:eastAsia="ar-SA"/>
        </w:rPr>
        <w:t xml:space="preserve"> ha pospuesto la disminución gradual de dicho arbitrio tal y cómo fue concebido originalmente.</w:t>
      </w:r>
      <w:r>
        <w:rPr>
          <w:lang w:eastAsia="ar-SA"/>
        </w:rPr>
        <w:t xml:space="preserve"> </w:t>
      </w:r>
      <w:r w:rsidRPr="00F6305D">
        <w:rPr>
          <w:lang w:eastAsia="ar-SA"/>
        </w:rPr>
        <w:t xml:space="preserve">De $677.9 millones en el 2011, los recaudos de las corporaciones foráneas aumentaron a $1,883 millones en el 2012, lo que equivale al 23.5% de los recaudos de impuestos del </w:t>
      </w:r>
      <w:r>
        <w:rPr>
          <w:lang w:eastAsia="ar-SA"/>
        </w:rPr>
        <w:t>Gobierno</w:t>
      </w:r>
      <w:r w:rsidRPr="00F6305D">
        <w:rPr>
          <w:lang w:eastAsia="ar-SA"/>
        </w:rPr>
        <w:t xml:space="preserve"> en dicho año.</w:t>
      </w:r>
      <w:r>
        <w:rPr>
          <w:lang w:eastAsia="ar-SA"/>
        </w:rPr>
        <w:t xml:space="preserve"> </w:t>
      </w:r>
      <w:r w:rsidRPr="00F6305D">
        <w:rPr>
          <w:lang w:eastAsia="ar-SA"/>
        </w:rPr>
        <w:t>Por tanto, la probable reducción en los recaudos de las corporaciones foráneas</w:t>
      </w:r>
      <w:r>
        <w:rPr>
          <w:lang w:eastAsia="ar-SA"/>
        </w:rPr>
        <w:t>,</w:t>
      </w:r>
      <w:r w:rsidRPr="00F6305D">
        <w:rPr>
          <w:lang w:eastAsia="ar-SA"/>
        </w:rPr>
        <w:t xml:space="preserve"> bajo la opción de la estadidad, tendría un efecto detrimental en los ingresos fiscales.</w:t>
      </w:r>
      <w:r>
        <w:rPr>
          <w:lang w:eastAsia="ar-SA"/>
        </w:rPr>
        <w:t xml:space="preserve"> </w:t>
      </w:r>
    </w:p>
    <w:p w:rsidR="005A5E7D" w:rsidRPr="003A21B9" w:rsidRDefault="005A5E7D" w:rsidP="005A5E7D">
      <w:pPr>
        <w:rPr>
          <w:lang w:eastAsia="ar-SA"/>
        </w:rPr>
      </w:pPr>
      <w:r w:rsidRPr="005322AE">
        <w:rPr>
          <w:lang w:eastAsia="ar-SA"/>
        </w:rPr>
        <w:t>Queda claro que la incorporación de Puerto Rico al sistema fiscal federal representa un reto</w:t>
      </w:r>
      <w:r>
        <w:rPr>
          <w:lang w:eastAsia="ar-SA"/>
        </w:rPr>
        <w:t>,</w:t>
      </w:r>
      <w:r w:rsidRPr="005322AE">
        <w:rPr>
          <w:lang w:eastAsia="ar-SA"/>
        </w:rPr>
        <w:t xml:space="preserve"> en la medida en que </w:t>
      </w:r>
      <w:r>
        <w:rPr>
          <w:lang w:eastAsia="ar-SA"/>
        </w:rPr>
        <w:t xml:space="preserve">tendría que reformularse </w:t>
      </w:r>
      <w:r w:rsidRPr="005322AE">
        <w:rPr>
          <w:lang w:eastAsia="ar-SA"/>
        </w:rPr>
        <w:t>la estructura contributiva</w:t>
      </w:r>
      <w:r>
        <w:rPr>
          <w:lang w:eastAsia="ar-SA"/>
        </w:rPr>
        <w:t xml:space="preserve"> de la Isla y</w:t>
      </w:r>
      <w:r w:rsidRPr="005322AE">
        <w:rPr>
          <w:lang w:eastAsia="ar-SA"/>
        </w:rPr>
        <w:t xml:space="preserve"> en particular los impuestos corporativos</w:t>
      </w:r>
      <w:r>
        <w:rPr>
          <w:lang w:eastAsia="ar-SA"/>
        </w:rPr>
        <w:t xml:space="preserve">. </w:t>
      </w:r>
      <w:r w:rsidRPr="003A21B9">
        <w:rPr>
          <w:lang w:eastAsia="ar-SA"/>
        </w:rPr>
        <w:t xml:space="preserve">Mientras mayor sea el efecto sobre las corporaciones, mayor es la probabilidad de que el </w:t>
      </w:r>
      <w:r>
        <w:rPr>
          <w:lang w:eastAsia="ar-SA"/>
        </w:rPr>
        <w:t>Gobierno</w:t>
      </w:r>
      <w:r w:rsidRPr="003A21B9">
        <w:rPr>
          <w:lang w:eastAsia="ar-SA"/>
        </w:rPr>
        <w:t xml:space="preserve"> de Puerto Rico se vea presionado a reducir la proporción del ingreso que proviene de contribuciones a corporaciones; asemejándose más a la norma entre los estados.</w:t>
      </w:r>
      <w:r>
        <w:rPr>
          <w:lang w:eastAsia="ar-SA"/>
        </w:rPr>
        <w:t xml:space="preserve"> </w:t>
      </w:r>
      <w:r w:rsidRPr="005322AE">
        <w:rPr>
          <w:lang w:eastAsia="ar-SA"/>
        </w:rPr>
        <w:t xml:space="preserve">La necesidad de reducir el impuesto corporativo llevaría a reducir el alcance del </w:t>
      </w:r>
      <w:r>
        <w:rPr>
          <w:lang w:eastAsia="ar-SA"/>
        </w:rPr>
        <w:t>Gobierno</w:t>
      </w:r>
      <w:r w:rsidRPr="005322AE">
        <w:rPr>
          <w:lang w:eastAsia="ar-SA"/>
        </w:rPr>
        <w:t>, especial</w:t>
      </w:r>
      <w:r>
        <w:rPr>
          <w:lang w:eastAsia="ar-SA"/>
        </w:rPr>
        <w:t>mente</w:t>
      </w:r>
      <w:r w:rsidRPr="005322AE">
        <w:rPr>
          <w:lang w:eastAsia="ar-SA"/>
        </w:rPr>
        <w:t xml:space="preserve"> con relación a los programas no subvencionados por el </w:t>
      </w:r>
      <w:r>
        <w:rPr>
          <w:lang w:eastAsia="ar-SA"/>
        </w:rPr>
        <w:t>Gobierno federal, o incluso a</w:t>
      </w:r>
      <w:r w:rsidRPr="005322AE">
        <w:rPr>
          <w:lang w:eastAsia="ar-SA"/>
        </w:rPr>
        <w:t xml:space="preserve"> tener que aumentar las co</w:t>
      </w:r>
      <w:r>
        <w:rPr>
          <w:lang w:eastAsia="ar-SA"/>
        </w:rPr>
        <w:t>ntribuciones a los individuos</w:t>
      </w:r>
      <w:r w:rsidRPr="003A21B9">
        <w:rPr>
          <w:lang w:eastAsia="ar-SA"/>
        </w:rPr>
        <w:t>.</w:t>
      </w:r>
      <w:r>
        <w:rPr>
          <w:lang w:eastAsia="ar-SA"/>
        </w:rPr>
        <w:t xml:space="preserve"> </w:t>
      </w:r>
    </w:p>
    <w:p w:rsidR="005A5E7D" w:rsidRDefault="005A5E7D" w:rsidP="005A5E7D">
      <w:pPr>
        <w:rPr>
          <w:lang w:eastAsia="ar-SA"/>
        </w:rPr>
      </w:pPr>
      <w:r w:rsidRPr="003A21B9">
        <w:rPr>
          <w:lang w:eastAsia="ar-SA"/>
        </w:rPr>
        <w:t>A</w:t>
      </w:r>
      <w:r>
        <w:rPr>
          <w:lang w:eastAsia="ar-SA"/>
        </w:rPr>
        <w:t>u</w:t>
      </w:r>
      <w:r w:rsidRPr="003A21B9">
        <w:rPr>
          <w:lang w:eastAsia="ar-SA"/>
        </w:rPr>
        <w:t>n sin aumentar los impuestos al ingreso de individuos a nivel estatal, la extensión del impuesto federal a la Isla aumentaría la carga impositiva</w:t>
      </w:r>
      <w:r>
        <w:rPr>
          <w:lang w:eastAsia="ar-SA"/>
        </w:rPr>
        <w:t xml:space="preserve"> </w:t>
      </w:r>
      <w:r w:rsidRPr="003A21B9">
        <w:rPr>
          <w:lang w:eastAsia="ar-SA"/>
        </w:rPr>
        <w:t xml:space="preserve">para los contribuyentes con ingresos medianos y altos (como se aprecia en las </w:t>
      </w:r>
      <w:r w:rsidRPr="003A21B9">
        <w:rPr>
          <w:b/>
          <w:lang w:eastAsia="ar-SA"/>
        </w:rPr>
        <w:t>Tablas 3 y 4</w:t>
      </w:r>
      <w:r w:rsidRPr="003A21B9">
        <w:rPr>
          <w:lang w:eastAsia="ar-SA"/>
        </w:rPr>
        <w:t>).</w:t>
      </w:r>
      <w:r>
        <w:rPr>
          <w:lang w:eastAsia="ar-SA"/>
        </w:rPr>
        <w:t xml:space="preserve"> </w:t>
      </w:r>
      <w:r w:rsidRPr="003A21B9">
        <w:rPr>
          <w:lang w:eastAsia="ar-SA"/>
        </w:rPr>
        <w:t>Este efecto contributivo adverso p</w:t>
      </w:r>
      <w:r>
        <w:rPr>
          <w:lang w:eastAsia="ar-SA"/>
        </w:rPr>
        <w:t>odría</w:t>
      </w:r>
      <w:r w:rsidRPr="003A21B9">
        <w:rPr>
          <w:lang w:eastAsia="ar-SA"/>
        </w:rPr>
        <w:t xml:space="preserve"> aumentar aún más las tendencias emigratorias y la fuga de cerebros.</w:t>
      </w:r>
    </w:p>
    <w:p w:rsidR="005A5E7D" w:rsidRDefault="005A5E7D" w:rsidP="005A5E7D">
      <w:pPr>
        <w:rPr>
          <w:lang w:eastAsia="ar-SA"/>
        </w:rPr>
      </w:pPr>
      <w:r>
        <w:rPr>
          <w:lang w:eastAsia="ar-SA"/>
        </w:rPr>
        <w:t>Hay dos aspectos que afectarían los recaudos contributivos bajo la estadidad:</w:t>
      </w:r>
      <w:r w:rsidRPr="003A21B9">
        <w:rPr>
          <w:lang w:eastAsia="ar-SA"/>
        </w:rPr>
        <w:t xml:space="preserve"> la pérdida de recaudos por concepto de la Ley 154 y la presión para reducir el impuesto corporat</w:t>
      </w:r>
      <w:r>
        <w:rPr>
          <w:lang w:eastAsia="ar-SA"/>
        </w:rPr>
        <w:t xml:space="preserve">ivo. Paradójicamente, </w:t>
      </w:r>
      <w:r w:rsidRPr="003A21B9">
        <w:rPr>
          <w:lang w:eastAsia="ar-SA"/>
        </w:rPr>
        <w:t>la actual situación de deuda pública en la Isla y los comp</w:t>
      </w:r>
      <w:r>
        <w:rPr>
          <w:lang w:eastAsia="ar-SA"/>
        </w:rPr>
        <w:t>r</w:t>
      </w:r>
      <w:r w:rsidRPr="003A21B9">
        <w:rPr>
          <w:lang w:eastAsia="ar-SA"/>
        </w:rPr>
        <w:t>omisos contraídos por COFINA</w:t>
      </w:r>
      <w:r>
        <w:rPr>
          <w:lang w:eastAsia="ar-SA"/>
        </w:rPr>
        <w:t xml:space="preserve"> limitan </w:t>
      </w:r>
      <w:r w:rsidRPr="003A21B9">
        <w:rPr>
          <w:lang w:eastAsia="ar-SA"/>
        </w:rPr>
        <w:t>la posibilidad de reducir los impuestos en el corto plazo.</w:t>
      </w:r>
      <w:r w:rsidRPr="003A21B9">
        <w:rPr>
          <w:vertAlign w:val="superscript"/>
          <w:lang w:eastAsia="ar-SA"/>
        </w:rPr>
        <w:footnoteReference w:id="42"/>
      </w:r>
      <w:r>
        <w:rPr>
          <w:lang w:eastAsia="ar-SA"/>
        </w:rPr>
        <w:t xml:space="preserve"> L</w:t>
      </w:r>
      <w:r w:rsidRPr="003A21B9">
        <w:rPr>
          <w:lang w:eastAsia="ar-SA"/>
        </w:rPr>
        <w:t xml:space="preserve">as alternativas restantes serían aumentar los impuestos a los individuos o reducir el tamaño y alcance del </w:t>
      </w:r>
      <w:r>
        <w:rPr>
          <w:lang w:eastAsia="ar-SA"/>
        </w:rPr>
        <w:t>Gobierno</w:t>
      </w:r>
      <w:r w:rsidRPr="003A21B9">
        <w:rPr>
          <w:lang w:eastAsia="ar-SA"/>
        </w:rPr>
        <w:t xml:space="preserve">. </w:t>
      </w:r>
    </w:p>
    <w:p w:rsidR="005A5E7D" w:rsidRDefault="005A5E7D" w:rsidP="005A5E7D">
      <w:pPr>
        <w:rPr>
          <w:lang w:eastAsia="ar-SA"/>
        </w:rPr>
      </w:pPr>
      <w:r>
        <w:rPr>
          <w:lang w:eastAsia="ar-SA"/>
        </w:rPr>
        <w:t xml:space="preserve">Se concluye que, bajo la opción de la estadidad, Puerto Rico perdería la autonomía fiscal de la cual disfruta hoy día. La misma hace posible que se eximan individuos y corporaciones, tanto locales como foráneas, del pago de contribuciones sobre ingresos cuya fuente se deriva en la Isla. </w:t>
      </w:r>
      <w:r w:rsidRPr="005322AE">
        <w:rPr>
          <w:lang w:eastAsia="ar-SA"/>
        </w:rPr>
        <w:t>En consecuencia, sería imperativo un cambio en la estructura fiscal</w:t>
      </w:r>
      <w:r>
        <w:rPr>
          <w:lang w:eastAsia="ar-SA"/>
        </w:rPr>
        <w:t>,</w:t>
      </w:r>
      <w:r w:rsidRPr="005322AE">
        <w:rPr>
          <w:lang w:eastAsia="ar-SA"/>
        </w:rPr>
        <w:t xml:space="preserve"> con ajus</w:t>
      </w:r>
      <w:r>
        <w:rPr>
          <w:lang w:eastAsia="ar-SA"/>
        </w:rPr>
        <w:t>tes que dependerán de</w:t>
      </w:r>
      <w:r w:rsidRPr="005322AE">
        <w:rPr>
          <w:lang w:eastAsia="ar-SA"/>
        </w:rPr>
        <w:t xml:space="preserve"> los cambios en las transferencias y</w:t>
      </w:r>
      <w:r>
        <w:rPr>
          <w:lang w:eastAsia="ar-SA"/>
        </w:rPr>
        <w:t xml:space="preserve"> tributos federales a imponerse;</w:t>
      </w:r>
      <w:r w:rsidRPr="005322AE">
        <w:rPr>
          <w:lang w:eastAsia="ar-SA"/>
        </w:rPr>
        <w:t xml:space="preserve"> </w:t>
      </w:r>
      <w:r>
        <w:rPr>
          <w:lang w:eastAsia="ar-SA"/>
        </w:rPr>
        <w:t>d</w:t>
      </w:r>
      <w:r w:rsidRPr="005322AE">
        <w:rPr>
          <w:lang w:eastAsia="ar-SA"/>
        </w:rPr>
        <w:t>el período de transición otorgado, los objetivos con respecto al cumplimiento de neutralidad fiscal federal</w:t>
      </w:r>
      <w:r>
        <w:rPr>
          <w:lang w:eastAsia="ar-SA"/>
        </w:rPr>
        <w:t>;</w:t>
      </w:r>
      <w:r w:rsidRPr="005322AE">
        <w:rPr>
          <w:lang w:eastAsia="ar-SA"/>
        </w:rPr>
        <w:t xml:space="preserve"> y de cualesquiera </w:t>
      </w:r>
      <w:r>
        <w:rPr>
          <w:lang w:eastAsia="ar-SA"/>
        </w:rPr>
        <w:t>subvenciones de estadidad (</w:t>
      </w:r>
      <w:r w:rsidRPr="00A43106">
        <w:rPr>
          <w:i/>
          <w:lang w:eastAsia="ar-SA"/>
        </w:rPr>
        <w:t>statehood grants</w:t>
      </w:r>
      <w:r>
        <w:rPr>
          <w:lang w:eastAsia="ar-SA"/>
        </w:rPr>
        <w:t>)</w:t>
      </w:r>
      <w:r w:rsidRPr="005322AE">
        <w:rPr>
          <w:lang w:eastAsia="ar-SA"/>
        </w:rPr>
        <w:t xml:space="preserve"> a legislarse en el caso particular de Puerto Rico</w:t>
      </w:r>
      <w:r>
        <w:rPr>
          <w:lang w:eastAsia="ar-SA"/>
        </w:rPr>
        <w:t>.</w:t>
      </w:r>
    </w:p>
    <w:p w:rsidR="005A5E7D" w:rsidRPr="007D2B42" w:rsidRDefault="005A5E7D" w:rsidP="005A5E7D">
      <w:pPr>
        <w:spacing w:line="360" w:lineRule="auto"/>
        <w:rPr>
          <w:sz w:val="16"/>
          <w:lang w:eastAsia="ar-SA"/>
        </w:rPr>
      </w:pPr>
    </w:p>
    <w:p w:rsidR="005A5E7D" w:rsidRPr="003A21B9" w:rsidRDefault="005A5E7D" w:rsidP="00CB3560">
      <w:pPr>
        <w:pStyle w:val="Heading2"/>
        <w:numPr>
          <w:ilvl w:val="0"/>
          <w:numId w:val="29"/>
        </w:numPr>
        <w:rPr>
          <w:lang w:eastAsia="ar-SA"/>
        </w:rPr>
      </w:pPr>
      <w:bookmarkStart w:id="58" w:name="_Toc384769752"/>
      <w:r w:rsidRPr="003A21B9">
        <w:rPr>
          <w:lang w:eastAsia="ar-SA"/>
        </w:rPr>
        <w:t xml:space="preserve">Simulaciones de </w:t>
      </w:r>
      <w:r>
        <w:rPr>
          <w:lang w:eastAsia="ar-SA"/>
        </w:rPr>
        <w:t>c</w:t>
      </w:r>
      <w:r w:rsidRPr="003A21B9">
        <w:rPr>
          <w:lang w:eastAsia="ar-SA"/>
        </w:rPr>
        <w:t xml:space="preserve">ambios al </w:t>
      </w:r>
      <w:r>
        <w:rPr>
          <w:lang w:eastAsia="ar-SA"/>
        </w:rPr>
        <w:t>s</w:t>
      </w:r>
      <w:r w:rsidRPr="003A21B9">
        <w:rPr>
          <w:lang w:eastAsia="ar-SA"/>
        </w:rPr>
        <w:t xml:space="preserve">istema </w:t>
      </w:r>
      <w:r>
        <w:rPr>
          <w:lang w:eastAsia="ar-SA"/>
        </w:rPr>
        <w:t>c</w:t>
      </w:r>
      <w:r w:rsidRPr="003A21B9">
        <w:rPr>
          <w:lang w:eastAsia="ar-SA"/>
        </w:rPr>
        <w:t xml:space="preserve">ontributivo bajo la </w:t>
      </w:r>
      <w:r>
        <w:rPr>
          <w:lang w:eastAsia="ar-SA"/>
        </w:rPr>
        <w:t>e</w:t>
      </w:r>
      <w:r w:rsidRPr="003A21B9">
        <w:rPr>
          <w:lang w:eastAsia="ar-SA"/>
        </w:rPr>
        <w:t>stadidad</w:t>
      </w:r>
      <w:bookmarkEnd w:id="58"/>
    </w:p>
    <w:p w:rsidR="005A5E7D" w:rsidRDefault="005A5E7D" w:rsidP="005A5E7D">
      <w:pPr>
        <w:spacing w:line="240" w:lineRule="auto"/>
        <w:rPr>
          <w:lang w:eastAsia="ar-SA"/>
        </w:rPr>
      </w:pPr>
    </w:p>
    <w:p w:rsidR="005A5E7D" w:rsidRPr="003A21B9" w:rsidRDefault="005A5E7D" w:rsidP="005A5E7D">
      <w:pPr>
        <w:rPr>
          <w:lang w:eastAsia="ar-SA"/>
        </w:rPr>
      </w:pPr>
      <w:r w:rsidRPr="003A21B9">
        <w:rPr>
          <w:lang w:eastAsia="ar-SA"/>
        </w:rPr>
        <w:t xml:space="preserve">Utilizando los datos del </w:t>
      </w:r>
      <w:r w:rsidRPr="003A21B9">
        <w:rPr>
          <w:i/>
          <w:lang w:eastAsia="ar-SA"/>
        </w:rPr>
        <w:t>IRS Data Book</w:t>
      </w:r>
      <w:r w:rsidRPr="003A21B9">
        <w:rPr>
          <w:lang w:eastAsia="ar-SA"/>
        </w:rPr>
        <w:t xml:space="preserve"> para el 2010 y el </w:t>
      </w:r>
      <w:r w:rsidRPr="003A21B9">
        <w:rPr>
          <w:i/>
          <w:lang w:eastAsia="ar-SA"/>
        </w:rPr>
        <w:t xml:space="preserve">Consolidated Federal Funds Report for Fiscal Year </w:t>
      </w:r>
      <w:r w:rsidRPr="003A21B9">
        <w:rPr>
          <w:lang w:eastAsia="ar-SA"/>
        </w:rPr>
        <w:t>2010 se comparó la posición relativa de Puerto Rico con los estados, en términos de impuestos federales pagados versus gastos federales.</w:t>
      </w:r>
      <w:r w:rsidRPr="003A21B9">
        <w:rPr>
          <w:vertAlign w:val="superscript"/>
          <w:lang w:eastAsia="ar-SA"/>
        </w:rPr>
        <w:footnoteReference w:id="43"/>
      </w:r>
      <w:r>
        <w:rPr>
          <w:lang w:eastAsia="ar-SA"/>
        </w:rPr>
        <w:t xml:space="preserve"> </w:t>
      </w:r>
      <w:r w:rsidRPr="003A21B9">
        <w:rPr>
          <w:lang w:eastAsia="ar-SA"/>
        </w:rPr>
        <w:t>En el 2010, los impuestos federales per cápita (no corporativos) pagados por los residentes de Puerto Rico ascendieron a $932</w:t>
      </w:r>
      <w:r>
        <w:rPr>
          <w:lang w:eastAsia="ar-SA"/>
        </w:rPr>
        <w:t>,</w:t>
      </w:r>
      <w:r w:rsidRPr="003A21B9">
        <w:rPr>
          <w:lang w:eastAsia="ar-SA"/>
        </w:rPr>
        <w:t xml:space="preserve"> lo que equivale al 15% de los impuestos per cápita promedio en los 50 estados ($6,1</w:t>
      </w:r>
      <w:r>
        <w:rPr>
          <w:lang w:eastAsia="ar-SA"/>
        </w:rPr>
        <w:t>5</w:t>
      </w:r>
      <w:r w:rsidRPr="003A21B9">
        <w:rPr>
          <w:lang w:eastAsia="ar-SA"/>
        </w:rPr>
        <w:t>9)</w:t>
      </w:r>
      <w:r>
        <w:rPr>
          <w:lang w:eastAsia="ar-SA"/>
        </w:rPr>
        <w:t xml:space="preserve"> </w:t>
      </w:r>
      <w:r w:rsidRPr="003A21B9">
        <w:rPr>
          <w:lang w:eastAsia="ar-SA"/>
        </w:rPr>
        <w:t xml:space="preserve">y al 32% del valor para </w:t>
      </w:r>
      <w:r>
        <w:rPr>
          <w:lang w:eastAsia="ar-SA"/>
        </w:rPr>
        <w:t>Misisipi</w:t>
      </w:r>
      <w:r w:rsidRPr="003A21B9">
        <w:rPr>
          <w:lang w:eastAsia="ar-SA"/>
        </w:rPr>
        <w:t xml:space="preserve"> ($2,891).</w:t>
      </w:r>
      <w:r>
        <w:rPr>
          <w:lang w:eastAsia="ar-SA"/>
        </w:rPr>
        <w:t xml:space="preserve"> </w:t>
      </w:r>
      <w:r w:rsidRPr="003A21B9">
        <w:rPr>
          <w:lang w:eastAsia="ar-SA"/>
        </w:rPr>
        <w:t>El gasto federal per cápita en la Isla en el 2010 (incluyendo transferencias, as</w:t>
      </w:r>
      <w:r>
        <w:rPr>
          <w:lang w:eastAsia="ar-SA"/>
        </w:rPr>
        <w:t xml:space="preserve">ignaciones, y pago de empleados, entre otros) fue </w:t>
      </w:r>
      <w:r w:rsidRPr="003A21B9">
        <w:rPr>
          <w:lang w:eastAsia="ar-SA"/>
        </w:rPr>
        <w:t>$5,660.</w:t>
      </w:r>
      <w:r>
        <w:rPr>
          <w:lang w:eastAsia="ar-SA"/>
        </w:rPr>
        <w:t xml:space="preserve"> </w:t>
      </w:r>
      <w:r w:rsidRPr="003A21B9">
        <w:rPr>
          <w:lang w:eastAsia="ar-SA"/>
        </w:rPr>
        <w:t xml:space="preserve">Dicho gasto representa la mitad del valor promedio para los estados y del valor de </w:t>
      </w:r>
      <w:r>
        <w:rPr>
          <w:lang w:eastAsia="ar-SA"/>
        </w:rPr>
        <w:t>Misisipi</w:t>
      </w:r>
      <w:r w:rsidRPr="003A21B9">
        <w:rPr>
          <w:lang w:eastAsia="ar-SA"/>
        </w:rPr>
        <w:t xml:space="preserve">, y aproximadamente una tercera parte del valor que recibe </w:t>
      </w:r>
      <w:r>
        <w:rPr>
          <w:lang w:eastAsia="ar-SA"/>
        </w:rPr>
        <w:t>Hawái</w:t>
      </w:r>
      <w:r w:rsidRPr="003A21B9">
        <w:rPr>
          <w:lang w:eastAsia="ar-SA"/>
        </w:rPr>
        <w:t>.</w:t>
      </w:r>
      <w:r>
        <w:rPr>
          <w:lang w:eastAsia="ar-SA"/>
        </w:rPr>
        <w:t xml:space="preserve"> </w:t>
      </w:r>
      <w:r w:rsidRPr="003A21B9">
        <w:rPr>
          <w:lang w:eastAsia="ar-SA"/>
        </w:rPr>
        <w:t xml:space="preserve">Sin embargo, las transferencias federales per cápita al </w:t>
      </w:r>
      <w:r>
        <w:rPr>
          <w:lang w:eastAsia="ar-SA"/>
        </w:rPr>
        <w:t>Gobierno del ELA</w:t>
      </w:r>
      <w:r w:rsidRPr="003A21B9">
        <w:rPr>
          <w:lang w:eastAsia="ar-SA"/>
        </w:rPr>
        <w:t xml:space="preserve"> equivalen al 72% de las transferencias per cápita a los estados y al 48% de las transferencias per cápita al </w:t>
      </w:r>
      <w:r>
        <w:rPr>
          <w:lang w:eastAsia="ar-SA"/>
        </w:rPr>
        <w:t>Gobierno</w:t>
      </w:r>
      <w:r w:rsidRPr="003A21B9">
        <w:rPr>
          <w:lang w:eastAsia="ar-SA"/>
        </w:rPr>
        <w:t xml:space="preserve"> de </w:t>
      </w:r>
      <w:r>
        <w:rPr>
          <w:lang w:eastAsia="ar-SA"/>
        </w:rPr>
        <w:t>Misisipi</w:t>
      </w:r>
      <w:r w:rsidRPr="003A21B9">
        <w:rPr>
          <w:lang w:eastAsia="ar-SA"/>
        </w:rPr>
        <w:t>.</w:t>
      </w:r>
      <w:r>
        <w:rPr>
          <w:lang w:eastAsia="ar-SA"/>
        </w:rPr>
        <w:t xml:space="preserve"> </w:t>
      </w:r>
      <w:r w:rsidRPr="003A21B9">
        <w:rPr>
          <w:lang w:eastAsia="ar-SA"/>
        </w:rPr>
        <w:t>E</w:t>
      </w:r>
      <w:r>
        <w:rPr>
          <w:lang w:eastAsia="ar-SA"/>
        </w:rPr>
        <w:t>n el último caso es así</w:t>
      </w:r>
      <w:r w:rsidRPr="003A21B9">
        <w:rPr>
          <w:lang w:eastAsia="ar-SA"/>
        </w:rPr>
        <w:t xml:space="preserve"> debido a que</w:t>
      </w:r>
      <w:r>
        <w:rPr>
          <w:lang w:eastAsia="ar-SA"/>
        </w:rPr>
        <w:t xml:space="preserve"> Misisipi,</w:t>
      </w:r>
      <w:r w:rsidRPr="003A21B9">
        <w:rPr>
          <w:lang w:eastAsia="ar-SA"/>
        </w:rPr>
        <w:t xml:space="preserve"> por ser el estado más pobre, recibe un nivel de transferencias federales mayor que el promedio de los 50 estados.</w:t>
      </w:r>
      <w:r>
        <w:rPr>
          <w:b/>
          <w:lang w:eastAsia="ar-SA"/>
        </w:rPr>
        <w:t xml:space="preserve"> </w:t>
      </w:r>
    </w:p>
    <w:p w:rsidR="005A5E7D" w:rsidRPr="003A21B9" w:rsidRDefault="005A5E7D" w:rsidP="005A5E7D">
      <w:pPr>
        <w:rPr>
          <w:lang w:eastAsia="ar-SA"/>
        </w:rPr>
      </w:pPr>
      <w:r w:rsidRPr="003A21B9">
        <w:rPr>
          <w:lang w:eastAsia="ar-SA"/>
        </w:rPr>
        <w:t>Para evaluar los posibles cambios en la estructura de recaudos bajo la estadidad</w:t>
      </w:r>
      <w:r>
        <w:rPr>
          <w:lang w:eastAsia="ar-SA"/>
        </w:rPr>
        <w:t>,</w:t>
      </w:r>
      <w:r w:rsidRPr="003A21B9">
        <w:rPr>
          <w:lang w:eastAsia="ar-SA"/>
        </w:rPr>
        <w:t xml:space="preserve"> proyectamos dicha estructura fiscal, utilizando como referencia los estados de Alabama, </w:t>
      </w:r>
      <w:r>
        <w:rPr>
          <w:lang w:eastAsia="ar-SA"/>
        </w:rPr>
        <w:t>Misisipi</w:t>
      </w:r>
      <w:r w:rsidRPr="003A21B9">
        <w:rPr>
          <w:lang w:eastAsia="ar-SA"/>
        </w:rPr>
        <w:t xml:space="preserve">, Nuevo México y </w:t>
      </w:r>
      <w:r>
        <w:rPr>
          <w:lang w:eastAsia="ar-SA"/>
        </w:rPr>
        <w:t>Hawái,</w:t>
      </w:r>
      <w:r w:rsidRPr="003A21B9">
        <w:rPr>
          <w:lang w:eastAsia="ar-SA"/>
        </w:rPr>
        <w:t xml:space="preserve"> así como el promedio de todos los estados.</w:t>
      </w:r>
      <w:r>
        <w:rPr>
          <w:rFonts w:eastAsia="SimSun"/>
          <w:color w:val="C32D2E"/>
          <w:lang w:eastAsia="ar-SA"/>
        </w:rPr>
        <w:t xml:space="preserve"> </w:t>
      </w:r>
      <w:r>
        <w:rPr>
          <w:rFonts w:eastAsia="SimSun"/>
          <w:lang w:eastAsia="ar-SA"/>
        </w:rPr>
        <w:t>Misisipi</w:t>
      </w:r>
      <w:r w:rsidRPr="003A21B9">
        <w:rPr>
          <w:rFonts w:eastAsia="SimSun"/>
          <w:lang w:eastAsia="ar-SA"/>
        </w:rPr>
        <w:t xml:space="preserve"> y Alabama se escogieron como punto de comparación por ser los dos estados más pobres.</w:t>
      </w:r>
      <w:r>
        <w:rPr>
          <w:rFonts w:eastAsia="SimSun"/>
          <w:lang w:eastAsia="ar-SA"/>
        </w:rPr>
        <w:t xml:space="preserve"> Hawái</w:t>
      </w:r>
      <w:r w:rsidRPr="003A21B9">
        <w:rPr>
          <w:rFonts w:eastAsia="SimSun"/>
          <w:lang w:eastAsia="ar-SA"/>
        </w:rPr>
        <w:t xml:space="preserve"> y Nuevo México se escogieron por ser los estados más nuevos.</w:t>
      </w:r>
      <w:r>
        <w:rPr>
          <w:rFonts w:eastAsia="SimSun"/>
          <w:lang w:eastAsia="ar-SA"/>
        </w:rPr>
        <w:t xml:space="preserve"> </w:t>
      </w:r>
      <w:r w:rsidRPr="003A21B9">
        <w:rPr>
          <w:lang w:eastAsia="ar-SA"/>
        </w:rPr>
        <w:t xml:space="preserve">La </w:t>
      </w:r>
      <w:r w:rsidRPr="003A21B9">
        <w:rPr>
          <w:b/>
          <w:lang w:eastAsia="ar-SA"/>
        </w:rPr>
        <w:t>Tabla 6</w:t>
      </w:r>
      <w:r w:rsidRPr="003A21B9">
        <w:rPr>
          <w:color w:val="00B050"/>
          <w:lang w:eastAsia="ar-SA"/>
        </w:rPr>
        <w:t xml:space="preserve"> </w:t>
      </w:r>
      <w:r w:rsidRPr="003A21B9">
        <w:rPr>
          <w:lang w:eastAsia="ar-SA"/>
        </w:rPr>
        <w:t xml:space="preserve">resume los posibles cambios a la estructura fiscal de Puerto Rico si ocurrieran los siguientes dos ajustes: si el </w:t>
      </w:r>
      <w:r>
        <w:rPr>
          <w:lang w:eastAsia="ar-SA"/>
        </w:rPr>
        <w:t>Gobierno</w:t>
      </w:r>
      <w:r w:rsidRPr="003A21B9">
        <w:rPr>
          <w:lang w:eastAsia="ar-SA"/>
        </w:rPr>
        <w:t xml:space="preserve"> de la Isla recibiera las mismas transferencias federales per cápita que cada uno de estos estados y si el sistema tributario en Puerto Rico se ajustara de manera que tuviese la misma razón de impuestos per cápita a ingreso personal per cápita que cada uno de los estados.</w:t>
      </w:r>
      <w:r w:rsidRPr="003A21B9">
        <w:rPr>
          <w:vertAlign w:val="superscript"/>
          <w:lang w:eastAsia="ar-SA"/>
        </w:rPr>
        <w:footnoteReference w:id="44"/>
      </w:r>
    </w:p>
    <w:p w:rsidR="005A5E7D" w:rsidRPr="003A21B9" w:rsidRDefault="005A5E7D" w:rsidP="005A5E7D">
      <w:pPr>
        <w:rPr>
          <w:lang w:eastAsia="ar-SA"/>
        </w:rPr>
      </w:pPr>
      <w:r w:rsidRPr="003A21B9">
        <w:rPr>
          <w:lang w:eastAsia="ar-SA"/>
        </w:rPr>
        <w:t xml:space="preserve"> </w:t>
      </w:r>
      <w:r>
        <w:rPr>
          <w:lang w:eastAsia="ar-SA"/>
        </w:rPr>
        <w:t>L</w:t>
      </w:r>
      <w:r w:rsidRPr="003A21B9">
        <w:rPr>
          <w:lang w:eastAsia="ar-SA"/>
        </w:rPr>
        <w:t>os ingresos fiscales en Puerto Rico se reducirían</w:t>
      </w:r>
      <w:r>
        <w:rPr>
          <w:lang w:eastAsia="ar-SA"/>
        </w:rPr>
        <w:t>, si tomamos como base la experiencia</w:t>
      </w:r>
      <w:r w:rsidRPr="003A21B9">
        <w:rPr>
          <w:lang w:eastAsia="ar-SA"/>
        </w:rPr>
        <w:t xml:space="preserve"> </w:t>
      </w:r>
      <w:r>
        <w:rPr>
          <w:lang w:eastAsia="ar-SA"/>
        </w:rPr>
        <w:t>de</w:t>
      </w:r>
      <w:r w:rsidRPr="003A21B9">
        <w:rPr>
          <w:lang w:eastAsia="ar-SA"/>
        </w:rPr>
        <w:t xml:space="preserve"> Alaba</w:t>
      </w:r>
      <w:r>
        <w:rPr>
          <w:lang w:eastAsia="ar-SA"/>
        </w:rPr>
        <w:t>ma y el promedio de los estados</w:t>
      </w:r>
      <w:r w:rsidRPr="003A21B9">
        <w:rPr>
          <w:lang w:eastAsia="ar-SA"/>
        </w:rPr>
        <w:t>.</w:t>
      </w:r>
      <w:r>
        <w:rPr>
          <w:lang w:eastAsia="ar-SA"/>
        </w:rPr>
        <w:t xml:space="preserve"> </w:t>
      </w:r>
      <w:r w:rsidRPr="003A21B9">
        <w:rPr>
          <w:lang w:eastAsia="ar-SA"/>
        </w:rPr>
        <w:t>Por el contrario, al hacer la</w:t>
      </w:r>
      <w:r>
        <w:rPr>
          <w:lang w:eastAsia="ar-SA"/>
        </w:rPr>
        <w:t xml:space="preserve"> simulación co</w:t>
      </w:r>
      <w:r w:rsidRPr="003A21B9">
        <w:rPr>
          <w:lang w:eastAsia="ar-SA"/>
        </w:rPr>
        <w:t xml:space="preserve">n relación a </w:t>
      </w:r>
      <w:r>
        <w:rPr>
          <w:lang w:eastAsia="ar-SA"/>
        </w:rPr>
        <w:t>Misisipi</w:t>
      </w:r>
      <w:r w:rsidRPr="003A21B9">
        <w:rPr>
          <w:lang w:eastAsia="ar-SA"/>
        </w:rPr>
        <w:t xml:space="preserve">, Nuevo México y </w:t>
      </w:r>
      <w:r>
        <w:rPr>
          <w:lang w:eastAsia="ar-SA"/>
        </w:rPr>
        <w:t>Hawái</w:t>
      </w:r>
      <w:r w:rsidRPr="003A21B9">
        <w:rPr>
          <w:lang w:eastAsia="ar-SA"/>
        </w:rPr>
        <w:t xml:space="preserve"> </w:t>
      </w:r>
      <w:r w:rsidRPr="008B456C">
        <w:t>—</w:t>
      </w:r>
      <w:r w:rsidRPr="003A21B9">
        <w:rPr>
          <w:lang w:eastAsia="ar-SA"/>
        </w:rPr>
        <w:t>que reciben transferencias altas</w:t>
      </w:r>
      <w:r w:rsidRPr="008B456C">
        <w:t>—</w:t>
      </w:r>
      <w:r w:rsidRPr="003A21B9">
        <w:rPr>
          <w:lang w:eastAsia="ar-SA"/>
        </w:rPr>
        <w:t xml:space="preserve"> las rentas fiscales aumentarían.</w:t>
      </w:r>
      <w:r>
        <w:rPr>
          <w:lang w:eastAsia="ar-SA"/>
        </w:rPr>
        <w:t xml:space="preserve"> </w:t>
      </w:r>
      <w:r w:rsidRPr="003A21B9">
        <w:rPr>
          <w:lang w:eastAsia="ar-SA"/>
        </w:rPr>
        <w:t xml:space="preserve">Bajo estos distintos escenarios, la dependencia del </w:t>
      </w:r>
      <w:r>
        <w:rPr>
          <w:lang w:eastAsia="ar-SA"/>
        </w:rPr>
        <w:t>Gobierno</w:t>
      </w:r>
      <w:r w:rsidRPr="003A21B9">
        <w:rPr>
          <w:lang w:eastAsia="ar-SA"/>
        </w:rPr>
        <w:t xml:space="preserve"> de las aportaciones federales fluct</w:t>
      </w:r>
      <w:r>
        <w:rPr>
          <w:lang w:eastAsia="ar-SA"/>
        </w:rPr>
        <w:t>uaría</w:t>
      </w:r>
      <w:r w:rsidRPr="003A21B9">
        <w:rPr>
          <w:lang w:eastAsia="ar-SA"/>
        </w:rPr>
        <w:t xml:space="preserve"> entre un 59.1% (con respecto a </w:t>
      </w:r>
      <w:r>
        <w:rPr>
          <w:lang w:eastAsia="ar-SA"/>
        </w:rPr>
        <w:t>Hawái</w:t>
      </w:r>
      <w:r w:rsidRPr="003A21B9">
        <w:rPr>
          <w:lang w:eastAsia="ar-SA"/>
        </w:rPr>
        <w:t xml:space="preserve">) y </w:t>
      </w:r>
      <w:r>
        <w:rPr>
          <w:lang w:eastAsia="ar-SA"/>
        </w:rPr>
        <w:t xml:space="preserve">un </w:t>
      </w:r>
      <w:r w:rsidRPr="003A21B9">
        <w:rPr>
          <w:lang w:eastAsia="ar-SA"/>
        </w:rPr>
        <w:t xml:space="preserve">71.1% (con respecto a Nuevo México). </w:t>
      </w:r>
    </w:p>
    <w:p w:rsidR="005A5E7D" w:rsidRPr="003A21B9" w:rsidRDefault="005A5E7D" w:rsidP="005A5E7D">
      <w:pPr>
        <w:rPr>
          <w:lang w:eastAsia="ar-SA"/>
        </w:rPr>
      </w:pPr>
      <w:r w:rsidRPr="003A21B9">
        <w:rPr>
          <w:lang w:eastAsia="ar-SA"/>
        </w:rPr>
        <w:t>Valga resaltar que uno de los propósitos de los programas de los gobiernos estatales</w:t>
      </w:r>
      <w:r>
        <w:rPr>
          <w:lang w:eastAsia="ar-SA"/>
        </w:rPr>
        <w:t>,</w:t>
      </w:r>
      <w:r w:rsidRPr="003A21B9">
        <w:rPr>
          <w:lang w:eastAsia="ar-SA"/>
        </w:rPr>
        <w:t xml:space="preserve"> subvencionados con las aportaciones federales, es promover que adopten las prioridades de política pública establecidas por el </w:t>
      </w:r>
      <w:r>
        <w:rPr>
          <w:lang w:eastAsia="ar-SA"/>
        </w:rPr>
        <w:t>Gobierno</w:t>
      </w:r>
      <w:r w:rsidRPr="003A21B9">
        <w:rPr>
          <w:lang w:eastAsia="ar-SA"/>
        </w:rPr>
        <w:t xml:space="preserve"> federal </w:t>
      </w:r>
      <w:r w:rsidRPr="003A21B9">
        <w:rPr>
          <w:noProof/>
          <w:lang w:eastAsia="ar-SA"/>
        </w:rPr>
        <w:t>(</w:t>
      </w:r>
      <w:r w:rsidRPr="00496144">
        <w:rPr>
          <w:i/>
          <w:noProof/>
          <w:lang w:eastAsia="ar-SA"/>
        </w:rPr>
        <w:t>Congressional Budget Office</w:t>
      </w:r>
      <w:r w:rsidRPr="003A21B9">
        <w:rPr>
          <w:noProof/>
          <w:lang w:eastAsia="ar-SA"/>
        </w:rPr>
        <w:t>, 2013)</w:t>
      </w:r>
      <w:r w:rsidRPr="003A21B9">
        <w:rPr>
          <w:lang w:eastAsia="ar-SA"/>
        </w:rPr>
        <w:t>.</w:t>
      </w:r>
      <w:r>
        <w:rPr>
          <w:lang w:eastAsia="ar-SA"/>
        </w:rPr>
        <w:t xml:space="preserve"> </w:t>
      </w:r>
      <w:r w:rsidRPr="003A21B9">
        <w:rPr>
          <w:lang w:eastAsia="ar-SA"/>
        </w:rPr>
        <w:t xml:space="preserve">En la medida en que el </w:t>
      </w:r>
      <w:r>
        <w:rPr>
          <w:lang w:eastAsia="ar-SA"/>
        </w:rPr>
        <w:t>Gobierno</w:t>
      </w:r>
      <w:r w:rsidRPr="003A21B9">
        <w:rPr>
          <w:lang w:eastAsia="ar-SA"/>
        </w:rPr>
        <w:t xml:space="preserve"> de Puerto Rico aumente su dependencia de aportaciones federales, es de esperarse que se reduzca aún más su autonomía en la implantación de política pública.</w:t>
      </w:r>
    </w:p>
    <w:p w:rsidR="005A5E7D" w:rsidRPr="003A21B9" w:rsidRDefault="005A5E7D" w:rsidP="005A5E7D">
      <w:pPr>
        <w:tabs>
          <w:tab w:val="left" w:pos="180"/>
          <w:tab w:val="left" w:pos="360"/>
        </w:tabs>
        <w:suppressAutoHyphens/>
        <w:ind w:firstLine="706"/>
        <w:rPr>
          <w:rFonts w:eastAsia="+mn-ea"/>
          <w:color w:val="000000"/>
          <w:kern w:val="1"/>
          <w:szCs w:val="24"/>
          <w:lang w:eastAsia="ar-SA"/>
        </w:rPr>
        <w:sectPr w:rsidR="005A5E7D" w:rsidRPr="003A21B9">
          <w:pgSz w:w="12240" w:h="15840"/>
          <w:pgMar w:top="1440" w:right="1440" w:bottom="1440" w:left="1440" w:gutter="0"/>
          <w:docGrid w:linePitch="360" w:charSpace="-2049"/>
        </w:sectPr>
      </w:pPr>
    </w:p>
    <w:p w:rsidR="005A5E7D" w:rsidRPr="003A21B9" w:rsidRDefault="005A5E7D" w:rsidP="005A5E7D">
      <w:pPr>
        <w:tabs>
          <w:tab w:val="left" w:pos="180"/>
          <w:tab w:val="left" w:pos="360"/>
        </w:tabs>
        <w:suppressAutoHyphens/>
        <w:ind w:firstLine="706"/>
        <w:rPr>
          <w:rFonts w:eastAsia="+mn-ea"/>
          <w:color w:val="000000"/>
          <w:kern w:val="1"/>
          <w:szCs w:val="24"/>
          <w:lang w:eastAsia="ar-SA"/>
        </w:rPr>
      </w:pPr>
    </w:p>
    <w:tbl>
      <w:tblPr>
        <w:tblW w:w="11188" w:type="dxa"/>
        <w:jc w:val="center"/>
        <w:tblBorders>
          <w:top w:val="single" w:sz="12" w:space="0" w:color="008000"/>
          <w:bottom w:val="single" w:sz="12" w:space="0" w:color="008000"/>
        </w:tblBorders>
        <w:tblLook w:val="04A0"/>
      </w:tblPr>
      <w:tblGrid>
        <w:gridCol w:w="4259"/>
        <w:gridCol w:w="1375"/>
        <w:gridCol w:w="1440"/>
        <w:gridCol w:w="1394"/>
        <w:gridCol w:w="1357"/>
        <w:gridCol w:w="1363"/>
      </w:tblGrid>
      <w:tr w:rsidR="005A5E7D" w:rsidRPr="006C2E2C">
        <w:trPr>
          <w:trHeight w:val="255"/>
          <w:jc w:val="center"/>
        </w:trPr>
        <w:tc>
          <w:tcPr>
            <w:tcW w:w="11188" w:type="dxa"/>
            <w:gridSpan w:val="6"/>
            <w:tcBorders>
              <w:bottom w:val="single" w:sz="6" w:space="0" w:color="008000"/>
            </w:tcBorders>
            <w:shd w:val="clear" w:color="auto" w:fill="auto"/>
            <w:noWrap/>
          </w:tcPr>
          <w:p w:rsidR="005A5E7D" w:rsidRPr="00A33390" w:rsidRDefault="005A5E7D" w:rsidP="005A5E7D">
            <w:pPr>
              <w:suppressAutoHyphens/>
              <w:spacing w:line="240" w:lineRule="auto"/>
              <w:ind w:firstLine="0"/>
              <w:jc w:val="center"/>
              <w:rPr>
                <w:rFonts w:ascii="Arial Narrow" w:eastAsia="Times New Roman" w:hAnsi="Arial Narrow"/>
                <w:b/>
                <w:bCs/>
                <w:color w:val="000000"/>
                <w:sz w:val="22"/>
                <w:szCs w:val="20"/>
                <w:lang w:val="es-ES" w:eastAsia="es-ES"/>
              </w:rPr>
            </w:pPr>
            <w:r w:rsidRPr="00A33390">
              <w:rPr>
                <w:rFonts w:ascii="Arial Narrow" w:eastAsia="Times New Roman" w:hAnsi="Arial Narrow"/>
                <w:b/>
                <w:bCs/>
                <w:color w:val="000000"/>
                <w:sz w:val="22"/>
                <w:szCs w:val="20"/>
                <w:lang w:val="es-ES" w:eastAsia="es-ES"/>
              </w:rPr>
              <w:t>Tabla 6</w:t>
            </w:r>
          </w:p>
        </w:tc>
      </w:tr>
      <w:tr w:rsidR="005A5E7D" w:rsidRPr="006C2E2C">
        <w:trPr>
          <w:trHeight w:val="255"/>
          <w:jc w:val="center"/>
        </w:trPr>
        <w:tc>
          <w:tcPr>
            <w:tcW w:w="11188" w:type="dxa"/>
            <w:gridSpan w:val="6"/>
            <w:shd w:val="clear" w:color="auto" w:fill="auto"/>
            <w:noWrap/>
          </w:tcPr>
          <w:p w:rsidR="005A5E7D" w:rsidRPr="006C2E2C" w:rsidRDefault="005A5E7D" w:rsidP="005A5E7D">
            <w:pPr>
              <w:spacing w:line="240" w:lineRule="auto"/>
              <w:ind w:firstLine="0"/>
              <w:jc w:val="center"/>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 xml:space="preserve">Simulación: Efectos de la Estadidad en la Estructura Fiscal del Gobierno de Puerto Rico a Base de la Experiencia de Otros Estados </w:t>
            </w:r>
          </w:p>
        </w:tc>
      </w:tr>
      <w:tr w:rsidR="005A5E7D" w:rsidRPr="006C2E2C">
        <w:trPr>
          <w:trHeight w:val="615"/>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Alabama</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Pr>
                <w:rFonts w:ascii="Arial Narrow" w:eastAsia="Times New Roman" w:hAnsi="Arial Narrow"/>
                <w:b/>
                <w:bCs/>
                <w:color w:val="000000"/>
                <w:sz w:val="20"/>
                <w:szCs w:val="20"/>
                <w:lang w:val="es-ES" w:eastAsia="es-ES"/>
              </w:rPr>
              <w:t>Hawái</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Pr>
                <w:rFonts w:ascii="Arial Narrow" w:eastAsia="Times New Roman" w:hAnsi="Arial Narrow"/>
                <w:b/>
                <w:bCs/>
                <w:color w:val="000000"/>
                <w:sz w:val="20"/>
                <w:szCs w:val="20"/>
                <w:lang w:val="es-ES" w:eastAsia="es-ES"/>
              </w:rPr>
              <w:t>Misisipi</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Nuevo México</w:t>
            </w:r>
          </w:p>
        </w:tc>
        <w:tc>
          <w:tcPr>
            <w:tcW w:w="1363" w:type="dxa"/>
            <w:shd w:val="clear" w:color="auto" w:fill="auto"/>
          </w:tcPr>
          <w:p w:rsidR="005A5E7D" w:rsidRPr="006C2E2C" w:rsidRDefault="005A5E7D" w:rsidP="005A5E7D">
            <w:pPr>
              <w:spacing w:line="240" w:lineRule="auto"/>
              <w:ind w:firstLine="0"/>
              <w:jc w:val="righ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Promedio estados</w:t>
            </w:r>
          </w:p>
        </w:tc>
      </w:tr>
      <w:tr w:rsidR="005A5E7D" w:rsidRPr="006C2E2C">
        <w:trPr>
          <w:trHeight w:val="255"/>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Impuesto per cápita/ingreso per cápita </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5.1%</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8.1%</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6.8%</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6.8%</w:t>
            </w: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6.3%</w:t>
            </w:r>
          </w:p>
        </w:tc>
      </w:tr>
      <w:tr w:rsidR="005A5E7D" w:rsidRPr="006C2E2C">
        <w:trPr>
          <w:trHeight w:val="255"/>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Aportaciones federales</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1,849 </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2,118 </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2,931 </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3,062 </w:t>
            </w: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2,098 </w:t>
            </w:r>
          </w:p>
        </w:tc>
      </w:tr>
      <w:tr w:rsidR="005A5E7D" w:rsidRPr="006C2E2C">
        <w:trPr>
          <w:trHeight w:val="255"/>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Aportaciones que recibiría PR bajo el mismo trato</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6,829,993,771 </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7,822,929,029 </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10,826,917,433 </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11,309,857,293 </w:t>
            </w: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7,750,234,894 </w:t>
            </w:r>
          </w:p>
        </w:tc>
      </w:tr>
      <w:tr w:rsidR="005A5E7D" w:rsidRPr="006C2E2C">
        <w:trPr>
          <w:trHeight w:val="255"/>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Ingresos contributivos de PR con la misma carga tributaria</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3,158,141,708 </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4,960,219,514 </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4,192,984,782 </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4,145,919,684 </w:t>
            </w: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3,879,284,552 </w:t>
            </w:r>
          </w:p>
        </w:tc>
      </w:tr>
      <w:tr w:rsidR="005A5E7D" w:rsidRPr="006C2E2C">
        <w:trPr>
          <w:trHeight w:val="702"/>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Ingreso fiscal de PR Simulado</w:t>
            </w:r>
            <w:r w:rsidRPr="00F41323">
              <w:rPr>
                <w:rFonts w:ascii="Arial Narrow" w:eastAsia="Times New Roman" w:hAnsi="Arial Narrow"/>
                <w:b/>
                <w:color w:val="000000"/>
                <w:sz w:val="20"/>
                <w:szCs w:val="20"/>
                <w:lang w:val="es-ES" w:eastAsia="es-ES"/>
              </w:rPr>
              <w:t>*</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10,433,035,479 </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13,228,048,543 </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15,464,802,216 </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15,900,676,978 </w:t>
            </w: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12,074,419,446 </w:t>
            </w:r>
          </w:p>
        </w:tc>
      </w:tr>
      <w:tr w:rsidR="005A5E7D" w:rsidRPr="006C2E2C">
        <w:trPr>
          <w:trHeight w:val="828"/>
          <w:jc w:val="center"/>
        </w:trPr>
        <w:tc>
          <w:tcPr>
            <w:tcW w:w="4398" w:type="dxa"/>
            <w:shd w:val="clear" w:color="auto" w:fill="auto"/>
            <w:noWrap/>
          </w:tcPr>
          <w:p w:rsidR="005A5E7D" w:rsidRDefault="005A5E7D" w:rsidP="005A5E7D">
            <w:pPr>
              <w:spacing w:line="240" w:lineRule="auto"/>
              <w:ind w:firstLine="0"/>
              <w:jc w:val="left"/>
              <w:rPr>
                <w:rFonts w:ascii="Arial Narrow" w:eastAsia="Times New Roman" w:hAnsi="Arial Narrow"/>
                <w:color w:val="000000"/>
                <w:sz w:val="20"/>
                <w:szCs w:val="20"/>
                <w:lang w:val="es-ES" w:eastAsia="es-ES"/>
              </w:rPr>
            </w:pPr>
          </w:p>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de ingresos fiscales de fuentes contributivas</w:t>
            </w:r>
          </w:p>
        </w:tc>
        <w:tc>
          <w:tcPr>
            <w:tcW w:w="1308" w:type="dxa"/>
            <w:shd w:val="clear" w:color="auto" w:fill="auto"/>
            <w:noWrap/>
          </w:tcPr>
          <w:p w:rsidR="005A5E7D" w:rsidRDefault="005A5E7D" w:rsidP="005A5E7D">
            <w:pPr>
              <w:spacing w:line="240" w:lineRule="auto"/>
              <w:ind w:firstLine="0"/>
              <w:jc w:val="right"/>
              <w:rPr>
                <w:rFonts w:ascii="Arial Narrow" w:eastAsia="Times New Roman" w:hAnsi="Arial Narrow"/>
                <w:color w:val="000000"/>
                <w:sz w:val="20"/>
                <w:szCs w:val="20"/>
                <w:lang w:val="es-ES" w:eastAsia="es-ES"/>
              </w:rPr>
            </w:pPr>
          </w:p>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30.3%</w:t>
            </w:r>
          </w:p>
        </w:tc>
        <w:tc>
          <w:tcPr>
            <w:tcW w:w="1444" w:type="dxa"/>
            <w:shd w:val="clear" w:color="auto" w:fill="auto"/>
            <w:noWrap/>
          </w:tcPr>
          <w:p w:rsidR="005A5E7D" w:rsidRDefault="005A5E7D" w:rsidP="005A5E7D">
            <w:pPr>
              <w:spacing w:line="240" w:lineRule="auto"/>
              <w:ind w:firstLine="0"/>
              <w:jc w:val="right"/>
              <w:rPr>
                <w:rFonts w:ascii="Arial Narrow" w:eastAsia="Times New Roman" w:hAnsi="Arial Narrow"/>
                <w:color w:val="000000"/>
                <w:sz w:val="20"/>
                <w:szCs w:val="20"/>
                <w:lang w:val="es-ES" w:eastAsia="es-ES"/>
              </w:rPr>
            </w:pPr>
          </w:p>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37.5%</w:t>
            </w:r>
          </w:p>
        </w:tc>
        <w:tc>
          <w:tcPr>
            <w:tcW w:w="1396" w:type="dxa"/>
            <w:shd w:val="clear" w:color="auto" w:fill="auto"/>
            <w:noWrap/>
          </w:tcPr>
          <w:p w:rsidR="005A5E7D" w:rsidRDefault="005A5E7D" w:rsidP="005A5E7D">
            <w:pPr>
              <w:spacing w:line="240" w:lineRule="auto"/>
              <w:ind w:firstLine="0"/>
              <w:jc w:val="right"/>
              <w:rPr>
                <w:rFonts w:ascii="Arial Narrow" w:eastAsia="Times New Roman" w:hAnsi="Arial Narrow"/>
                <w:color w:val="000000"/>
                <w:sz w:val="20"/>
                <w:szCs w:val="20"/>
                <w:lang w:val="es-ES" w:eastAsia="es-ES"/>
              </w:rPr>
            </w:pPr>
          </w:p>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27.1%</w:t>
            </w:r>
          </w:p>
        </w:tc>
        <w:tc>
          <w:tcPr>
            <w:tcW w:w="1279" w:type="dxa"/>
            <w:shd w:val="clear" w:color="auto" w:fill="auto"/>
            <w:noWrap/>
          </w:tcPr>
          <w:p w:rsidR="005A5E7D" w:rsidRDefault="005A5E7D" w:rsidP="005A5E7D">
            <w:pPr>
              <w:spacing w:line="240" w:lineRule="auto"/>
              <w:ind w:firstLine="0"/>
              <w:jc w:val="right"/>
              <w:rPr>
                <w:rFonts w:ascii="Arial Narrow" w:eastAsia="Times New Roman" w:hAnsi="Arial Narrow"/>
                <w:color w:val="000000"/>
                <w:sz w:val="20"/>
                <w:szCs w:val="20"/>
                <w:lang w:val="es-ES" w:eastAsia="es-ES"/>
              </w:rPr>
            </w:pPr>
          </w:p>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26.1%</w:t>
            </w:r>
          </w:p>
        </w:tc>
        <w:tc>
          <w:tcPr>
            <w:tcW w:w="1363" w:type="dxa"/>
            <w:shd w:val="clear" w:color="auto" w:fill="auto"/>
            <w:noWrap/>
          </w:tcPr>
          <w:p w:rsidR="005A5E7D" w:rsidRDefault="005A5E7D" w:rsidP="005A5E7D">
            <w:pPr>
              <w:spacing w:line="240" w:lineRule="auto"/>
              <w:ind w:firstLine="0"/>
              <w:jc w:val="right"/>
              <w:rPr>
                <w:rFonts w:ascii="Arial Narrow" w:eastAsia="Times New Roman" w:hAnsi="Arial Narrow"/>
                <w:color w:val="000000"/>
                <w:sz w:val="20"/>
                <w:szCs w:val="20"/>
                <w:lang w:val="es-ES" w:eastAsia="es-ES"/>
              </w:rPr>
            </w:pPr>
          </w:p>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32.1%</w:t>
            </w:r>
          </w:p>
        </w:tc>
      </w:tr>
      <w:tr w:rsidR="005A5E7D" w:rsidRPr="006C2E2C">
        <w:trPr>
          <w:trHeight w:val="255"/>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 xml:space="preserve">% de ingresos fiscales de aportaciones federales </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65.5%</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59.1%</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70.0%</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71.1%</w:t>
            </w: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64.2%</w:t>
            </w:r>
          </w:p>
        </w:tc>
      </w:tr>
      <w:tr w:rsidR="005A5E7D" w:rsidRPr="006C2E2C">
        <w:trPr>
          <w:trHeight w:val="255"/>
          <w:jc w:val="center"/>
        </w:trPr>
        <w:tc>
          <w:tcPr>
            <w:tcW w:w="4398" w:type="dxa"/>
            <w:shd w:val="clear" w:color="auto" w:fill="auto"/>
            <w:noWrap/>
          </w:tcPr>
          <w:p w:rsidR="005A5E7D" w:rsidRPr="006C2E2C" w:rsidRDefault="005A5E7D" w:rsidP="005A5E7D">
            <w:pPr>
              <w:spacing w:before="160" w:line="240" w:lineRule="auto"/>
              <w:ind w:firstLine="0"/>
              <w:jc w:val="lef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Cambio en el ingreso fiscal de P</w:t>
            </w:r>
            <w:r>
              <w:rPr>
                <w:rFonts w:ascii="Arial Narrow" w:eastAsia="Times New Roman" w:hAnsi="Arial Narrow"/>
                <w:b/>
                <w:bCs/>
                <w:color w:val="000000"/>
                <w:sz w:val="20"/>
                <w:szCs w:val="20"/>
                <w:lang w:val="es-ES" w:eastAsia="es-ES"/>
              </w:rPr>
              <w:t xml:space="preserve">uerto </w:t>
            </w:r>
            <w:r w:rsidRPr="006C2E2C">
              <w:rPr>
                <w:rFonts w:ascii="Arial Narrow" w:eastAsia="Times New Roman" w:hAnsi="Arial Narrow"/>
                <w:b/>
                <w:bCs/>
                <w:color w:val="000000"/>
                <w:sz w:val="20"/>
                <w:szCs w:val="20"/>
                <w:lang w:val="es-ES" w:eastAsia="es-ES"/>
              </w:rPr>
              <w:t>R</w:t>
            </w:r>
            <w:r>
              <w:rPr>
                <w:rFonts w:ascii="Arial Narrow" w:eastAsia="Times New Roman" w:hAnsi="Arial Narrow"/>
                <w:b/>
                <w:bCs/>
                <w:color w:val="000000"/>
                <w:sz w:val="20"/>
                <w:szCs w:val="20"/>
                <w:lang w:val="es-ES" w:eastAsia="es-ES"/>
              </w:rPr>
              <w:t>ico</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 xml:space="preserve">     (2,198,264,521)</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 xml:space="preserve">          596,748,543 </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 xml:space="preserve">      2,833,502,216 </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 xml:space="preserve">    3,269,376,978 </w:t>
            </w: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r w:rsidRPr="006C2E2C">
              <w:rPr>
                <w:rFonts w:ascii="Arial Narrow" w:eastAsia="Times New Roman" w:hAnsi="Arial Narrow"/>
                <w:b/>
                <w:bCs/>
                <w:color w:val="000000"/>
                <w:sz w:val="20"/>
                <w:szCs w:val="20"/>
                <w:lang w:val="es-ES" w:eastAsia="es-ES"/>
              </w:rPr>
              <w:t xml:space="preserve">      (556,880,554)</w:t>
            </w:r>
          </w:p>
        </w:tc>
      </w:tr>
      <w:tr w:rsidR="005A5E7D" w:rsidRPr="006C2E2C">
        <w:trPr>
          <w:trHeight w:val="255"/>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b/>
                <w:bCs/>
                <w:color w:val="000000"/>
                <w:sz w:val="20"/>
                <w:lang w:val="es-ES" w:eastAsia="es-ES"/>
              </w:rPr>
            </w:pP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lang w:val="es-ES" w:eastAsia="es-ES"/>
              </w:rPr>
            </w:pPr>
          </w:p>
        </w:tc>
      </w:tr>
      <w:tr w:rsidR="005A5E7D" w:rsidRPr="006C2E2C">
        <w:trPr>
          <w:trHeight w:val="255"/>
          <w:jc w:val="center"/>
        </w:trPr>
        <w:tc>
          <w:tcPr>
            <w:tcW w:w="439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Cambio porcentual</w:t>
            </w:r>
          </w:p>
        </w:tc>
        <w:tc>
          <w:tcPr>
            <w:tcW w:w="13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-17.4%</w:t>
            </w:r>
          </w:p>
        </w:tc>
        <w:tc>
          <w:tcPr>
            <w:tcW w:w="144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4.7%</w:t>
            </w:r>
          </w:p>
        </w:tc>
        <w:tc>
          <w:tcPr>
            <w:tcW w:w="1396"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22.4%</w:t>
            </w:r>
          </w:p>
        </w:tc>
        <w:tc>
          <w:tcPr>
            <w:tcW w:w="1279"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25.9%</w:t>
            </w:r>
          </w:p>
        </w:tc>
        <w:tc>
          <w:tcPr>
            <w:tcW w:w="1363"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lang w:val="es-ES" w:eastAsia="es-ES"/>
              </w:rPr>
            </w:pPr>
            <w:r w:rsidRPr="006C2E2C">
              <w:rPr>
                <w:rFonts w:ascii="Arial Narrow" w:eastAsia="Times New Roman" w:hAnsi="Arial Narrow"/>
                <w:color w:val="000000"/>
                <w:sz w:val="20"/>
                <w:szCs w:val="20"/>
                <w:lang w:val="es-ES" w:eastAsia="es-ES"/>
              </w:rPr>
              <w:t>-4.4%</w:t>
            </w:r>
          </w:p>
        </w:tc>
      </w:tr>
      <w:tr w:rsidR="005A5E7D" w:rsidRPr="006C2E2C">
        <w:trPr>
          <w:trHeight w:val="255"/>
          <w:jc w:val="center"/>
        </w:trPr>
        <w:tc>
          <w:tcPr>
            <w:tcW w:w="11188" w:type="dxa"/>
            <w:gridSpan w:val="6"/>
            <w:vMerge w:val="restart"/>
            <w:shd w:val="clear" w:color="auto" w:fill="auto"/>
          </w:tcPr>
          <w:p w:rsidR="005A5E7D" w:rsidRPr="006C2E2C" w:rsidRDefault="005A5E7D" w:rsidP="005A5E7D">
            <w:pPr>
              <w:spacing w:before="120" w:line="240" w:lineRule="auto"/>
              <w:ind w:firstLine="0"/>
              <w:jc w:val="left"/>
              <w:rPr>
                <w:rFonts w:ascii="Arial Narrow" w:hAnsi="Arial Narrow"/>
                <w:color w:val="000000"/>
                <w:sz w:val="20"/>
                <w:lang w:val="es-ES" w:eastAsia="es-ES"/>
              </w:rPr>
            </w:pPr>
            <w:r w:rsidRPr="00F41323">
              <w:rPr>
                <w:rFonts w:ascii="Arial Narrow" w:eastAsia="Times New Roman" w:hAnsi="Arial Narrow"/>
                <w:b/>
                <w:color w:val="000000"/>
                <w:sz w:val="20"/>
                <w:szCs w:val="20"/>
                <w:lang w:val="es-ES" w:eastAsia="es-ES"/>
              </w:rPr>
              <w:t>*</w:t>
            </w:r>
            <w:r>
              <w:rPr>
                <w:rFonts w:ascii="Arial Narrow" w:eastAsia="Times New Roman" w:hAnsi="Arial Narrow"/>
                <w:color w:val="000000"/>
                <w:sz w:val="20"/>
                <w:szCs w:val="20"/>
                <w:lang w:val="es-ES" w:eastAsia="es-ES"/>
              </w:rPr>
              <w:t xml:space="preserve"> </w:t>
            </w:r>
            <w:r w:rsidRPr="006C2E2C">
              <w:rPr>
                <w:rFonts w:ascii="Arial Narrow" w:eastAsia="Times New Roman" w:hAnsi="Arial Narrow"/>
                <w:color w:val="000000"/>
                <w:sz w:val="20"/>
                <w:szCs w:val="20"/>
                <w:lang w:val="es-ES" w:eastAsia="es-ES"/>
              </w:rPr>
              <w:t>Equivalente a las rentas periódicas no contributivas de fuentes estatales, más ingresos contributivos de Puerto Rico con la misma carga tributaria que el estado correspondiente</w:t>
            </w:r>
            <w:r>
              <w:rPr>
                <w:rFonts w:ascii="Arial Narrow" w:eastAsia="Times New Roman" w:hAnsi="Arial Narrow"/>
                <w:color w:val="000000"/>
                <w:sz w:val="20"/>
                <w:szCs w:val="20"/>
                <w:lang w:val="es-ES" w:eastAsia="es-ES"/>
              </w:rPr>
              <w:t>,</w:t>
            </w:r>
            <w:r w:rsidRPr="006C2E2C">
              <w:rPr>
                <w:rFonts w:ascii="Arial Narrow" w:eastAsia="Times New Roman" w:hAnsi="Arial Narrow"/>
                <w:color w:val="000000"/>
                <w:sz w:val="20"/>
                <w:szCs w:val="20"/>
                <w:lang w:val="es-ES" w:eastAsia="es-ES"/>
              </w:rPr>
              <w:t xml:space="preserve"> más las transferencias que recibirían Puerto Rico bajo el mismo trato que el estado correspondiente. </w:t>
            </w:r>
          </w:p>
        </w:tc>
      </w:tr>
      <w:tr w:rsidR="005A5E7D" w:rsidRPr="006C2E2C">
        <w:trPr>
          <w:trHeight w:val="255"/>
          <w:jc w:val="center"/>
        </w:trPr>
        <w:tc>
          <w:tcPr>
            <w:tcW w:w="11188" w:type="dxa"/>
            <w:gridSpan w:val="6"/>
            <w:vMerge/>
            <w:shd w:val="clear" w:color="auto" w:fill="auto"/>
          </w:tcPr>
          <w:p w:rsidR="005A5E7D" w:rsidRPr="006C2E2C" w:rsidRDefault="005A5E7D" w:rsidP="005A5E7D">
            <w:pPr>
              <w:spacing w:line="240" w:lineRule="auto"/>
              <w:ind w:firstLine="0"/>
              <w:jc w:val="left"/>
              <w:rPr>
                <w:rFonts w:ascii="Arial Narrow" w:hAnsi="Arial Narrow"/>
                <w:color w:val="000000"/>
                <w:sz w:val="20"/>
                <w:lang w:val="es-ES" w:eastAsia="es-ES"/>
              </w:rPr>
            </w:pPr>
          </w:p>
        </w:tc>
      </w:tr>
    </w:tbl>
    <w:p w:rsidR="005A5E7D" w:rsidRPr="003A21B9" w:rsidRDefault="005A5E7D" w:rsidP="005A5E7D">
      <w:pPr>
        <w:tabs>
          <w:tab w:val="left" w:pos="180"/>
          <w:tab w:val="left" w:pos="360"/>
        </w:tabs>
        <w:suppressAutoHyphens/>
        <w:ind w:firstLine="706"/>
        <w:rPr>
          <w:rFonts w:eastAsia="+mn-ea"/>
          <w:color w:val="000000"/>
          <w:kern w:val="1"/>
          <w:szCs w:val="24"/>
          <w:lang w:val="es-ES" w:eastAsia="ar-SA"/>
        </w:rPr>
      </w:pPr>
    </w:p>
    <w:p w:rsidR="005A5E7D" w:rsidRPr="003A21B9" w:rsidRDefault="005A5E7D" w:rsidP="005A5E7D">
      <w:pPr>
        <w:tabs>
          <w:tab w:val="left" w:pos="180"/>
          <w:tab w:val="left" w:pos="360"/>
        </w:tabs>
        <w:suppressAutoHyphens/>
        <w:ind w:firstLine="706"/>
        <w:rPr>
          <w:rFonts w:eastAsia="+mn-ea"/>
          <w:color w:val="000000"/>
          <w:kern w:val="1"/>
          <w:szCs w:val="24"/>
          <w:lang w:val="es-ES" w:eastAsia="ar-SA"/>
        </w:rPr>
        <w:sectPr w:rsidR="005A5E7D" w:rsidRPr="003A21B9">
          <w:pgSz w:w="15840" w:h="12240" w:orient="landscape"/>
          <w:pgMar w:top="1440" w:right="1440" w:bottom="1440" w:left="1440" w:gutter="0"/>
          <w:docGrid w:linePitch="360" w:charSpace="-2049"/>
        </w:sectPr>
      </w:pPr>
    </w:p>
    <w:p w:rsidR="005A5E7D" w:rsidRPr="00D57BCE" w:rsidRDefault="005A5E7D" w:rsidP="00CB3560">
      <w:pPr>
        <w:pStyle w:val="Heading2"/>
        <w:numPr>
          <w:ilvl w:val="0"/>
          <w:numId w:val="30"/>
        </w:numPr>
        <w:ind w:left="426" w:hanging="426"/>
        <w:rPr>
          <w:rFonts w:eastAsia="+mn-ea"/>
          <w:lang w:eastAsia="ar-SA"/>
        </w:rPr>
      </w:pPr>
      <w:bookmarkStart w:id="59" w:name="_Toc384769753"/>
      <w:r w:rsidRPr="00D57BCE">
        <w:rPr>
          <w:rFonts w:eastAsia="+mn-ea"/>
          <w:lang w:eastAsia="ar-SA"/>
        </w:rPr>
        <w:t xml:space="preserve">Comparación de la </w:t>
      </w:r>
      <w:r>
        <w:rPr>
          <w:rFonts w:eastAsia="+mn-ea"/>
          <w:lang w:eastAsia="ar-SA"/>
        </w:rPr>
        <w:t>d</w:t>
      </w:r>
      <w:r w:rsidRPr="00D57BCE">
        <w:rPr>
          <w:rFonts w:eastAsia="+mn-ea"/>
          <w:lang w:eastAsia="ar-SA"/>
        </w:rPr>
        <w:t xml:space="preserve">euda </w:t>
      </w:r>
      <w:r>
        <w:rPr>
          <w:rFonts w:eastAsia="+mn-ea"/>
          <w:lang w:eastAsia="ar-SA"/>
        </w:rPr>
        <w:t>p</w:t>
      </w:r>
      <w:r w:rsidRPr="00D57BCE">
        <w:rPr>
          <w:rFonts w:eastAsia="+mn-ea"/>
          <w:lang w:eastAsia="ar-SA"/>
        </w:rPr>
        <w:t>ública</w:t>
      </w:r>
      <w:bookmarkEnd w:id="59"/>
    </w:p>
    <w:p w:rsidR="005A5E7D" w:rsidRDefault="005A5E7D" w:rsidP="005A5E7D">
      <w:pPr>
        <w:spacing w:line="240" w:lineRule="auto"/>
        <w:rPr>
          <w:lang w:eastAsia="ar-SA"/>
        </w:rPr>
      </w:pPr>
    </w:p>
    <w:p w:rsidR="005A5E7D" w:rsidRPr="003A21B9" w:rsidRDefault="005A5E7D" w:rsidP="005A5E7D">
      <w:pPr>
        <w:rPr>
          <w:lang w:eastAsia="ar-SA"/>
        </w:rPr>
      </w:pPr>
      <w:r w:rsidRPr="003A21B9">
        <w:rPr>
          <w:lang w:eastAsia="ar-SA"/>
        </w:rPr>
        <w:t xml:space="preserve">La situación crítica causada por el alto nivel de endeudamiento gubernamental </w:t>
      </w:r>
      <w:r>
        <w:rPr>
          <w:lang w:eastAsia="ar-SA"/>
        </w:rPr>
        <w:t>es</w:t>
      </w:r>
      <w:r w:rsidRPr="003A21B9">
        <w:rPr>
          <w:lang w:eastAsia="ar-SA"/>
        </w:rPr>
        <w:t xml:space="preserve"> otro factor relevante a considerar al evaluar la otorgación de la estadidad a la Isla.</w:t>
      </w:r>
      <w:r>
        <w:rPr>
          <w:lang w:eastAsia="ar-SA"/>
        </w:rPr>
        <w:t xml:space="preserve"> </w:t>
      </w:r>
      <w:r w:rsidRPr="003A21B9">
        <w:rPr>
          <w:lang w:eastAsia="ar-SA"/>
        </w:rPr>
        <w:t>Tanto el nivel de endeudamiento como la reciente degradación de los bonos de Puerto Rico por las casas acreditadoras en el 2013, limitan las políticas fiscales y la inversión pública que pueden implementarse en la Isla.</w:t>
      </w:r>
      <w:r>
        <w:rPr>
          <w:lang w:eastAsia="ar-SA"/>
        </w:rPr>
        <w:t xml:space="preserve"> </w:t>
      </w:r>
      <w:r w:rsidRPr="003A21B9">
        <w:rPr>
          <w:lang w:eastAsia="ar-SA"/>
        </w:rPr>
        <w:t xml:space="preserve">Por tanto, nuestro análisis estaría incompleto sin una comparación entre la situación de la deuda pública en Puerto Rico con la situación de los gobiernos estatales y el </w:t>
      </w:r>
      <w:r>
        <w:rPr>
          <w:lang w:eastAsia="ar-SA"/>
        </w:rPr>
        <w:t>Gobierno</w:t>
      </w:r>
      <w:r w:rsidRPr="003A21B9">
        <w:rPr>
          <w:lang w:eastAsia="ar-SA"/>
        </w:rPr>
        <w:t xml:space="preserve"> federal. También comparamos la situación de la deuda de Puerto Rico con la de varios países soberanos.</w:t>
      </w:r>
      <w:r>
        <w:rPr>
          <w:lang w:eastAsia="ar-SA"/>
        </w:rPr>
        <w:t xml:space="preserve"> S</w:t>
      </w:r>
      <w:r w:rsidRPr="003A21B9">
        <w:rPr>
          <w:lang w:eastAsia="ar-SA"/>
        </w:rPr>
        <w:t>e utiliz</w:t>
      </w:r>
      <w:r>
        <w:rPr>
          <w:lang w:eastAsia="ar-SA"/>
        </w:rPr>
        <w:t>ó</w:t>
      </w:r>
      <w:r w:rsidRPr="003A21B9">
        <w:rPr>
          <w:lang w:eastAsia="ar-SA"/>
        </w:rPr>
        <w:t xml:space="preserve"> la deuda pública como </w:t>
      </w:r>
      <w:r>
        <w:rPr>
          <w:lang w:eastAsia="ar-SA"/>
        </w:rPr>
        <w:t>porcentaje</w:t>
      </w:r>
      <w:r w:rsidRPr="003A21B9">
        <w:rPr>
          <w:lang w:eastAsia="ar-SA"/>
        </w:rPr>
        <w:t xml:space="preserve"> del producto bruto</w:t>
      </w:r>
      <w:r>
        <w:rPr>
          <w:lang w:eastAsia="ar-SA"/>
        </w:rPr>
        <w:t xml:space="preserve"> (PNB y PIB) c</w:t>
      </w:r>
      <w:r w:rsidRPr="003A21B9">
        <w:rPr>
          <w:lang w:eastAsia="ar-SA"/>
        </w:rPr>
        <w:t xml:space="preserve">omo medida de comparación. </w:t>
      </w:r>
    </w:p>
    <w:p w:rsidR="005A5E7D" w:rsidRDefault="005A5E7D" w:rsidP="005A5E7D">
      <w:pPr>
        <w:rPr>
          <w:lang w:eastAsia="ar-SA"/>
        </w:rPr>
      </w:pPr>
      <w:r w:rsidRPr="003A21B9">
        <w:rPr>
          <w:lang w:eastAsia="ar-SA"/>
        </w:rPr>
        <w:t xml:space="preserve">La </w:t>
      </w:r>
      <w:r w:rsidRPr="003A21B9">
        <w:rPr>
          <w:b/>
          <w:lang w:eastAsia="ar-SA"/>
        </w:rPr>
        <w:t>Tabla 7</w:t>
      </w:r>
      <w:r w:rsidRPr="003A21B9">
        <w:rPr>
          <w:lang w:eastAsia="ar-SA"/>
        </w:rPr>
        <w:t xml:space="preserve"> presenta la comparación del peso de la deuda pública en Puerto Rico con relación a la deuda pública de los estados.</w:t>
      </w:r>
      <w:r>
        <w:rPr>
          <w:lang w:eastAsia="ar-SA"/>
        </w:rPr>
        <w:t xml:space="preserve"> </w:t>
      </w:r>
      <w:r w:rsidRPr="003A21B9">
        <w:rPr>
          <w:lang w:eastAsia="ar-SA"/>
        </w:rPr>
        <w:t>Se concluye que la situación de Puerto Rico no guarda relación con la de ninguno de los estados.</w:t>
      </w:r>
      <w:r>
        <w:rPr>
          <w:lang w:eastAsia="ar-SA"/>
        </w:rPr>
        <w:t xml:space="preserve"> </w:t>
      </w:r>
      <w:r w:rsidRPr="003A21B9">
        <w:rPr>
          <w:lang w:eastAsia="ar-SA"/>
        </w:rPr>
        <w:t xml:space="preserve">Mientras que la deuda pública de Puerto Rico para el 2011 se estimaba en un 55.3% del PIB o un 84.5% del PNB, el promedio para los estados fue de </w:t>
      </w:r>
      <w:r>
        <w:rPr>
          <w:lang w:eastAsia="ar-SA"/>
        </w:rPr>
        <w:t xml:space="preserve">un </w:t>
      </w:r>
      <w:r w:rsidRPr="003A21B9">
        <w:rPr>
          <w:lang w:eastAsia="ar-SA"/>
        </w:rPr>
        <w:t>8% con relación al PIB.</w:t>
      </w:r>
      <w:r>
        <w:rPr>
          <w:lang w:eastAsia="ar-SA"/>
        </w:rPr>
        <w:t xml:space="preserve"> </w:t>
      </w:r>
      <w:r w:rsidRPr="003A21B9">
        <w:rPr>
          <w:lang w:eastAsia="ar-SA"/>
        </w:rPr>
        <w:t>El estado con la mayor razón de deuda pública al PIB lo es Massachusetts con un promedio de</w:t>
      </w:r>
      <w:r>
        <w:rPr>
          <w:lang w:eastAsia="ar-SA"/>
        </w:rPr>
        <w:t>l</w:t>
      </w:r>
      <w:r w:rsidRPr="003A21B9">
        <w:rPr>
          <w:lang w:eastAsia="ar-SA"/>
        </w:rPr>
        <w:t xml:space="preserve"> 19.1%, muy por debajo del valor para Puerto Rico.</w:t>
      </w:r>
      <w:r w:rsidRPr="003A21B9">
        <w:rPr>
          <w:vertAlign w:val="superscript"/>
          <w:lang w:eastAsia="ar-SA"/>
        </w:rPr>
        <w:footnoteReference w:id="45"/>
      </w:r>
    </w:p>
    <w:p w:rsidR="005A5E7D" w:rsidRPr="003A21B9" w:rsidRDefault="005A5E7D" w:rsidP="005A5E7D">
      <w:pPr>
        <w:rPr>
          <w:lang w:eastAsia="ar-SA"/>
        </w:rPr>
      </w:pPr>
      <w:r w:rsidRPr="003A21B9">
        <w:rPr>
          <w:lang w:eastAsia="ar-SA"/>
        </w:rPr>
        <w:t xml:space="preserve">En vista de esta comparación, no es de extrañar que el asunto sobre cómo se trataría la deuda de Puerto Rico y </w:t>
      </w:r>
      <w:r>
        <w:rPr>
          <w:lang w:eastAsia="ar-SA"/>
        </w:rPr>
        <w:t>su</w:t>
      </w:r>
      <w:r w:rsidRPr="003A21B9">
        <w:rPr>
          <w:lang w:eastAsia="ar-SA"/>
        </w:rPr>
        <w:t xml:space="preserve">s consecuencias </w:t>
      </w:r>
      <w:r>
        <w:rPr>
          <w:lang w:eastAsia="ar-SA"/>
        </w:rPr>
        <w:t>en</w:t>
      </w:r>
      <w:r w:rsidRPr="003A21B9">
        <w:rPr>
          <w:lang w:eastAsia="ar-SA"/>
        </w:rPr>
        <w:t xml:space="preserve"> la estructura del sistema fiscal </w:t>
      </w:r>
      <w:r w:rsidRPr="008B456C">
        <w:t>—</w:t>
      </w:r>
      <w:r w:rsidRPr="003A21B9">
        <w:rPr>
          <w:lang w:eastAsia="ar-SA"/>
        </w:rPr>
        <w:t>en caso de convertirse en estado</w:t>
      </w:r>
      <w:r w:rsidRPr="008B456C">
        <w:t>—</w:t>
      </w:r>
      <w:r w:rsidRPr="003A21B9">
        <w:rPr>
          <w:lang w:eastAsia="ar-SA"/>
        </w:rPr>
        <w:t xml:space="preserve"> es un asunto prioritario en el debate actual sobre el </w:t>
      </w:r>
      <w:r>
        <w:rPr>
          <w:lang w:eastAsia="ar-SA"/>
        </w:rPr>
        <w:t>e</w:t>
      </w:r>
      <w:r w:rsidRPr="003A21B9">
        <w:rPr>
          <w:lang w:eastAsia="ar-SA"/>
        </w:rPr>
        <w:t>status.</w:t>
      </w:r>
      <w:r>
        <w:rPr>
          <w:lang w:eastAsia="ar-SA"/>
        </w:rPr>
        <w:t xml:space="preserve"> </w:t>
      </w:r>
      <w:r w:rsidRPr="003A21B9">
        <w:rPr>
          <w:lang w:eastAsia="ar-SA"/>
        </w:rPr>
        <w:t>Lo cierto es que Estados Unidos no tiene una experiencia similar con sus estados que nos sirva de punto de referencia para identificar posibles</w:t>
      </w:r>
      <w:r>
        <w:rPr>
          <w:lang w:eastAsia="ar-SA"/>
        </w:rPr>
        <w:t xml:space="preserve"> cursos de acción del Congreso f</w:t>
      </w:r>
      <w:r w:rsidRPr="003A21B9">
        <w:rPr>
          <w:lang w:eastAsia="ar-SA"/>
        </w:rPr>
        <w:t>ederal en torno al tratamiento que le daría a la deuda de Puerto Rico, de integrarse a sistema federalista.</w:t>
      </w:r>
    </w:p>
    <w:p w:rsidR="005A5E7D" w:rsidRPr="003E79C6" w:rsidRDefault="005A5E7D" w:rsidP="005A5E7D">
      <w:pPr>
        <w:tabs>
          <w:tab w:val="left" w:pos="180"/>
          <w:tab w:val="left" w:pos="360"/>
        </w:tabs>
        <w:suppressAutoHyphens/>
        <w:spacing w:line="240" w:lineRule="auto"/>
        <w:ind w:firstLine="706"/>
        <w:rPr>
          <w:rFonts w:eastAsia="+mn-ea"/>
          <w:color w:val="000000"/>
          <w:kern w:val="1"/>
          <w:sz w:val="16"/>
          <w:szCs w:val="24"/>
          <w:lang w:eastAsia="ar-SA"/>
        </w:rPr>
      </w:pPr>
    </w:p>
    <w:tbl>
      <w:tblPr>
        <w:tblW w:w="0" w:type="auto"/>
        <w:jc w:val="center"/>
        <w:tblBorders>
          <w:top w:val="single" w:sz="12" w:space="0" w:color="008000"/>
          <w:bottom w:val="single" w:sz="12" w:space="0" w:color="008000"/>
        </w:tblBorders>
        <w:tblLook w:val="04A0"/>
      </w:tblPr>
      <w:tblGrid>
        <w:gridCol w:w="6480"/>
        <w:gridCol w:w="1522"/>
      </w:tblGrid>
      <w:tr w:rsidR="005A5E7D" w:rsidRPr="006C2E2C">
        <w:trPr>
          <w:trHeight w:val="20"/>
          <w:jc w:val="center"/>
        </w:trPr>
        <w:tc>
          <w:tcPr>
            <w:tcW w:w="0" w:type="auto"/>
            <w:gridSpan w:val="2"/>
            <w:tcBorders>
              <w:bottom w:val="single" w:sz="6" w:space="0" w:color="008000"/>
            </w:tcBorders>
            <w:shd w:val="clear" w:color="auto" w:fill="auto"/>
            <w:noWrap/>
          </w:tcPr>
          <w:p w:rsidR="005A5E7D" w:rsidRPr="006C2E2C" w:rsidRDefault="005A5E7D" w:rsidP="00BE4D98">
            <w:pPr>
              <w:suppressAutoHyphens/>
              <w:spacing w:line="240" w:lineRule="auto"/>
              <w:ind w:firstLine="0"/>
              <w:jc w:val="center"/>
              <w:rPr>
                <w:rFonts w:ascii="Calibri" w:eastAsia="Times New Roman" w:hAnsi="Calibri"/>
                <w:b/>
                <w:color w:val="000000"/>
                <w:sz w:val="22"/>
                <w:szCs w:val="20"/>
              </w:rPr>
            </w:pPr>
            <w:r w:rsidRPr="006C2E2C">
              <w:rPr>
                <w:rFonts w:ascii="Calibri" w:eastAsia="Times New Roman" w:hAnsi="Calibri"/>
                <w:b/>
                <w:color w:val="000000"/>
                <w:sz w:val="22"/>
                <w:szCs w:val="20"/>
              </w:rPr>
              <w:t>Tabla 7</w:t>
            </w:r>
          </w:p>
        </w:tc>
      </w:tr>
      <w:tr w:rsidR="005A5E7D" w:rsidRPr="006C2E2C">
        <w:trPr>
          <w:trHeight w:val="20"/>
          <w:jc w:val="center"/>
        </w:trPr>
        <w:tc>
          <w:tcPr>
            <w:tcW w:w="0" w:type="auto"/>
            <w:gridSpan w:val="2"/>
            <w:shd w:val="clear" w:color="auto" w:fill="auto"/>
            <w:noWrap/>
          </w:tcPr>
          <w:p w:rsidR="005A5E7D" w:rsidRPr="006C2E2C" w:rsidRDefault="005A5E7D" w:rsidP="00BE4D98">
            <w:pPr>
              <w:spacing w:line="240" w:lineRule="auto"/>
              <w:ind w:firstLine="0"/>
              <w:jc w:val="center"/>
              <w:rPr>
                <w:rFonts w:ascii="Calibri" w:hAnsi="Calibri"/>
                <w:b/>
                <w:color w:val="000000"/>
                <w:sz w:val="22"/>
              </w:rPr>
            </w:pPr>
            <w:r w:rsidRPr="006C2E2C">
              <w:rPr>
                <w:rFonts w:ascii="Calibri" w:eastAsia="Times New Roman" w:hAnsi="Calibri"/>
                <w:b/>
                <w:color w:val="000000"/>
                <w:sz w:val="22"/>
              </w:rPr>
              <w:t>Comparación de Deuda Pública entre Puerto Rico y los Estados de EE</w:t>
            </w:r>
            <w:r>
              <w:rPr>
                <w:rFonts w:ascii="Calibri" w:eastAsia="Times New Roman" w:hAnsi="Calibri"/>
                <w:b/>
                <w:color w:val="000000"/>
                <w:sz w:val="22"/>
              </w:rPr>
              <w:t xml:space="preserve">. </w:t>
            </w:r>
            <w:r w:rsidRPr="006C2E2C">
              <w:rPr>
                <w:rFonts w:ascii="Calibri" w:eastAsia="Times New Roman" w:hAnsi="Calibri"/>
                <w:b/>
                <w:color w:val="000000"/>
                <w:sz w:val="22"/>
              </w:rPr>
              <w:t>UU</w:t>
            </w:r>
            <w:r>
              <w:rPr>
                <w:rFonts w:ascii="Calibri" w:eastAsia="Times New Roman" w:hAnsi="Calibri"/>
                <w:b/>
                <w:color w:val="000000"/>
                <w:sz w:val="22"/>
              </w:rPr>
              <w:t>.</w:t>
            </w:r>
            <w:r w:rsidRPr="006C2E2C">
              <w:rPr>
                <w:rFonts w:ascii="Calibri" w:eastAsia="Times New Roman" w:hAnsi="Calibri"/>
                <w:b/>
                <w:color w:val="000000"/>
                <w:sz w:val="22"/>
              </w:rPr>
              <w:t xml:space="preserve"> (2011)</w:t>
            </w:r>
          </w:p>
        </w:tc>
      </w:tr>
      <w:tr w:rsidR="005A5E7D" w:rsidRPr="006C2E2C">
        <w:trPr>
          <w:trHeight w:val="20"/>
          <w:jc w:val="center"/>
        </w:trPr>
        <w:tc>
          <w:tcPr>
            <w:tcW w:w="0" w:type="auto"/>
            <w:shd w:val="clear" w:color="auto" w:fill="auto"/>
            <w:noWrap/>
          </w:tcPr>
          <w:p w:rsidR="005A5E7D" w:rsidRPr="006C2E2C" w:rsidRDefault="005A5E7D" w:rsidP="00BE4D98">
            <w:pPr>
              <w:spacing w:line="240" w:lineRule="auto"/>
              <w:ind w:firstLine="0"/>
              <w:jc w:val="left"/>
              <w:rPr>
                <w:rFonts w:ascii="Calibri" w:hAnsi="Calibri"/>
                <w:color w:val="000000"/>
                <w:sz w:val="22"/>
              </w:rPr>
            </w:pPr>
          </w:p>
        </w:tc>
        <w:tc>
          <w:tcPr>
            <w:tcW w:w="0" w:type="auto"/>
            <w:shd w:val="clear" w:color="auto" w:fill="auto"/>
          </w:tcPr>
          <w:p w:rsidR="005A5E7D" w:rsidRPr="006C2E2C" w:rsidRDefault="005A5E7D" w:rsidP="00BE4D98">
            <w:pPr>
              <w:spacing w:line="240" w:lineRule="auto"/>
              <w:ind w:firstLine="0"/>
              <w:jc w:val="left"/>
              <w:rPr>
                <w:rFonts w:ascii="Calibri" w:hAnsi="Calibri"/>
                <w:b/>
                <w:color w:val="000000"/>
                <w:sz w:val="22"/>
              </w:rPr>
            </w:pPr>
            <w:r w:rsidRPr="006C2E2C">
              <w:rPr>
                <w:rFonts w:ascii="Calibri" w:eastAsia="Times New Roman" w:hAnsi="Calibri"/>
                <w:b/>
                <w:color w:val="000000"/>
                <w:sz w:val="22"/>
              </w:rPr>
              <w:t xml:space="preserve">Deuda Pública </w:t>
            </w:r>
          </w:p>
          <w:p w:rsidR="005A5E7D" w:rsidRPr="006C2E2C" w:rsidRDefault="005A5E7D" w:rsidP="00BE4D98">
            <w:pPr>
              <w:spacing w:line="240" w:lineRule="auto"/>
              <w:ind w:firstLine="0"/>
              <w:jc w:val="left"/>
              <w:rPr>
                <w:rFonts w:ascii="Calibri" w:hAnsi="Calibri"/>
                <w:b/>
                <w:color w:val="000000"/>
                <w:sz w:val="22"/>
              </w:rPr>
            </w:pPr>
            <w:r w:rsidRPr="006C2E2C">
              <w:rPr>
                <w:rFonts w:ascii="Calibri" w:eastAsia="Times New Roman" w:hAnsi="Calibri"/>
                <w:b/>
                <w:color w:val="000000"/>
                <w:sz w:val="22"/>
              </w:rPr>
              <w:t xml:space="preserve">como % </w:t>
            </w:r>
            <w:r>
              <w:rPr>
                <w:rFonts w:ascii="Calibri" w:eastAsia="Times New Roman" w:hAnsi="Calibri"/>
                <w:b/>
                <w:color w:val="000000"/>
                <w:sz w:val="22"/>
              </w:rPr>
              <w:t>PIB</w:t>
            </w:r>
          </w:p>
        </w:tc>
      </w:tr>
      <w:tr w:rsidR="005A5E7D" w:rsidRPr="006C2E2C">
        <w:trPr>
          <w:trHeight w:val="20"/>
          <w:jc w:val="center"/>
        </w:trPr>
        <w:tc>
          <w:tcPr>
            <w:tcW w:w="0" w:type="auto"/>
            <w:shd w:val="clear" w:color="auto" w:fill="auto"/>
          </w:tcPr>
          <w:p w:rsidR="005A5E7D" w:rsidRPr="003E79C6" w:rsidRDefault="005A5E7D" w:rsidP="00BE4D98">
            <w:pPr>
              <w:spacing w:line="240" w:lineRule="auto"/>
              <w:ind w:firstLine="0"/>
              <w:jc w:val="left"/>
              <w:rPr>
                <w:rFonts w:ascii="Calibri" w:hAnsi="Calibri"/>
                <w:b/>
                <w:color w:val="000000"/>
                <w:sz w:val="22"/>
              </w:rPr>
            </w:pPr>
            <w:r w:rsidRPr="003E79C6">
              <w:rPr>
                <w:rFonts w:ascii="Calibri" w:eastAsia="Times New Roman" w:hAnsi="Calibri"/>
                <w:b/>
                <w:color w:val="000000"/>
                <w:sz w:val="22"/>
              </w:rPr>
              <w:t>Promedio de los 50 Estados</w:t>
            </w:r>
            <w:r w:rsidRPr="003E79C6">
              <w:rPr>
                <w:rFonts w:ascii="Calibri" w:eastAsia="Times New Roman" w:hAnsi="Calibri"/>
                <w:b/>
                <w:color w:val="000000"/>
                <w:sz w:val="22"/>
              </w:rPr>
              <w:br/>
            </w:r>
            <w:r w:rsidRPr="003E79C6">
              <w:rPr>
                <w:rFonts w:ascii="Calibri" w:eastAsia="Times New Roman" w:hAnsi="Calibri"/>
                <w:b/>
                <w:i/>
                <w:iCs/>
                <w:color w:val="000000"/>
                <w:sz w:val="22"/>
              </w:rPr>
              <w:t>(desviación estándar = 3.7)</w:t>
            </w:r>
          </w:p>
        </w:tc>
        <w:tc>
          <w:tcPr>
            <w:tcW w:w="0" w:type="auto"/>
            <w:shd w:val="clear" w:color="auto" w:fill="auto"/>
            <w:noWrap/>
          </w:tcPr>
          <w:p w:rsidR="005A5E7D" w:rsidRPr="003E79C6" w:rsidRDefault="005A5E7D" w:rsidP="00BE4D98">
            <w:pPr>
              <w:spacing w:line="240" w:lineRule="auto"/>
              <w:ind w:firstLine="0"/>
              <w:jc w:val="center"/>
              <w:rPr>
                <w:rFonts w:ascii="Calibri" w:hAnsi="Calibri"/>
                <w:b/>
                <w:color w:val="000000"/>
                <w:sz w:val="22"/>
              </w:rPr>
            </w:pPr>
            <w:r w:rsidRPr="003E79C6">
              <w:rPr>
                <w:rFonts w:ascii="Calibri" w:eastAsia="Times New Roman" w:hAnsi="Calibri"/>
                <w:b/>
                <w:color w:val="000000"/>
                <w:sz w:val="22"/>
              </w:rPr>
              <w:t>8.0%</w:t>
            </w:r>
          </w:p>
        </w:tc>
      </w:tr>
      <w:tr w:rsidR="005A5E7D" w:rsidRPr="006C2E2C">
        <w:trPr>
          <w:trHeight w:val="20"/>
          <w:jc w:val="center"/>
        </w:trPr>
        <w:tc>
          <w:tcPr>
            <w:tcW w:w="0" w:type="auto"/>
            <w:shd w:val="clear" w:color="auto" w:fill="auto"/>
          </w:tcPr>
          <w:p w:rsidR="005A5E7D" w:rsidRPr="006C2E2C" w:rsidRDefault="005A5E7D" w:rsidP="00BE4D98">
            <w:pPr>
              <w:spacing w:line="240" w:lineRule="auto"/>
              <w:ind w:firstLine="0"/>
              <w:jc w:val="left"/>
              <w:rPr>
                <w:rFonts w:ascii="Calibri" w:hAnsi="Calibri"/>
                <w:color w:val="000000"/>
                <w:sz w:val="22"/>
              </w:rPr>
            </w:pPr>
            <w:r w:rsidRPr="006C2E2C">
              <w:rPr>
                <w:rFonts w:ascii="Calibri" w:eastAsia="Times New Roman" w:hAnsi="Calibri"/>
                <w:color w:val="000000"/>
                <w:sz w:val="22"/>
              </w:rPr>
              <w:t>Massachusetts</w:t>
            </w:r>
            <w:r w:rsidRPr="006C2E2C">
              <w:rPr>
                <w:rFonts w:ascii="Calibri" w:eastAsia="Times New Roman" w:hAnsi="Calibri"/>
                <w:color w:val="000000"/>
                <w:sz w:val="22"/>
              </w:rPr>
              <w:br/>
            </w:r>
            <w:r w:rsidRPr="006C2E2C">
              <w:rPr>
                <w:rFonts w:ascii="Calibri" w:eastAsia="Times New Roman" w:hAnsi="Calibri"/>
                <w:i/>
                <w:iCs/>
                <w:color w:val="000000"/>
                <w:sz w:val="22"/>
              </w:rPr>
              <w:t>(estado con el mayor %)</w:t>
            </w:r>
          </w:p>
        </w:tc>
        <w:tc>
          <w:tcPr>
            <w:tcW w:w="0" w:type="auto"/>
            <w:shd w:val="clear" w:color="auto" w:fill="auto"/>
            <w:noWrap/>
          </w:tcPr>
          <w:p w:rsidR="005A5E7D" w:rsidRPr="006C2E2C" w:rsidRDefault="005A5E7D" w:rsidP="00BE4D98">
            <w:pPr>
              <w:spacing w:line="240" w:lineRule="auto"/>
              <w:ind w:firstLine="0"/>
              <w:jc w:val="center"/>
              <w:rPr>
                <w:rFonts w:ascii="Calibri" w:hAnsi="Calibri"/>
                <w:color w:val="000000"/>
                <w:sz w:val="22"/>
              </w:rPr>
            </w:pPr>
            <w:r w:rsidRPr="006C2E2C">
              <w:rPr>
                <w:rFonts w:ascii="Calibri" w:eastAsia="Times New Roman" w:hAnsi="Calibri"/>
                <w:color w:val="000000"/>
                <w:sz w:val="22"/>
              </w:rPr>
              <w:t>19.1%</w:t>
            </w:r>
          </w:p>
        </w:tc>
      </w:tr>
      <w:tr w:rsidR="005A5E7D" w:rsidRPr="006C2E2C">
        <w:trPr>
          <w:trHeight w:val="20"/>
          <w:jc w:val="center"/>
        </w:trPr>
        <w:tc>
          <w:tcPr>
            <w:tcW w:w="0" w:type="auto"/>
            <w:shd w:val="clear" w:color="auto" w:fill="auto"/>
          </w:tcPr>
          <w:p w:rsidR="005A5E7D" w:rsidRPr="006C2E2C" w:rsidRDefault="005A5E7D" w:rsidP="00BE4D98">
            <w:pPr>
              <w:spacing w:line="240" w:lineRule="auto"/>
              <w:ind w:firstLine="0"/>
              <w:jc w:val="left"/>
              <w:rPr>
                <w:rFonts w:ascii="Calibri" w:hAnsi="Calibri"/>
                <w:color w:val="000000"/>
                <w:sz w:val="22"/>
              </w:rPr>
            </w:pPr>
            <w:r w:rsidRPr="006C2E2C">
              <w:rPr>
                <w:rFonts w:ascii="Calibri" w:eastAsia="Times New Roman" w:hAnsi="Calibri"/>
                <w:color w:val="000000"/>
                <w:sz w:val="22"/>
              </w:rPr>
              <w:t>Tennessee</w:t>
            </w:r>
            <w:r w:rsidRPr="006C2E2C">
              <w:rPr>
                <w:rFonts w:ascii="Calibri" w:eastAsia="Times New Roman" w:hAnsi="Calibri"/>
                <w:color w:val="000000"/>
                <w:sz w:val="22"/>
              </w:rPr>
              <w:br/>
            </w:r>
            <w:r w:rsidRPr="006C2E2C">
              <w:rPr>
                <w:rFonts w:ascii="Calibri" w:eastAsia="Times New Roman" w:hAnsi="Calibri"/>
                <w:i/>
                <w:iCs/>
                <w:color w:val="000000"/>
                <w:sz w:val="22"/>
              </w:rPr>
              <w:t>(estado con el menor %)</w:t>
            </w:r>
          </w:p>
        </w:tc>
        <w:tc>
          <w:tcPr>
            <w:tcW w:w="0" w:type="auto"/>
            <w:shd w:val="clear" w:color="auto" w:fill="auto"/>
            <w:noWrap/>
          </w:tcPr>
          <w:p w:rsidR="005A5E7D" w:rsidRPr="006C2E2C" w:rsidRDefault="005A5E7D" w:rsidP="00BE4D98">
            <w:pPr>
              <w:spacing w:line="240" w:lineRule="auto"/>
              <w:ind w:firstLine="0"/>
              <w:jc w:val="center"/>
              <w:rPr>
                <w:rFonts w:ascii="Calibri" w:hAnsi="Calibri"/>
                <w:color w:val="000000"/>
                <w:sz w:val="22"/>
              </w:rPr>
            </w:pPr>
            <w:r w:rsidRPr="006C2E2C">
              <w:rPr>
                <w:rFonts w:ascii="Calibri" w:eastAsia="Times New Roman" w:hAnsi="Calibri"/>
                <w:color w:val="000000"/>
                <w:sz w:val="22"/>
              </w:rPr>
              <w:t>2.2%</w:t>
            </w:r>
          </w:p>
        </w:tc>
      </w:tr>
      <w:tr w:rsidR="005A5E7D" w:rsidRPr="006C2E2C">
        <w:trPr>
          <w:trHeight w:val="20"/>
          <w:jc w:val="center"/>
        </w:trPr>
        <w:tc>
          <w:tcPr>
            <w:tcW w:w="0" w:type="auto"/>
            <w:shd w:val="clear" w:color="auto" w:fill="auto"/>
          </w:tcPr>
          <w:p w:rsidR="005A5E7D" w:rsidRPr="003E79C6" w:rsidRDefault="005A5E7D" w:rsidP="00BE4D98">
            <w:pPr>
              <w:spacing w:line="240" w:lineRule="auto"/>
              <w:ind w:firstLine="0"/>
              <w:jc w:val="left"/>
              <w:rPr>
                <w:rFonts w:ascii="Calibri" w:hAnsi="Calibri"/>
                <w:b/>
                <w:color w:val="000000"/>
                <w:sz w:val="22"/>
              </w:rPr>
            </w:pPr>
            <w:r w:rsidRPr="003E79C6">
              <w:rPr>
                <w:rFonts w:ascii="Calibri" w:eastAsia="Times New Roman" w:hAnsi="Calibri"/>
                <w:b/>
                <w:color w:val="000000"/>
                <w:sz w:val="22"/>
              </w:rPr>
              <w:t>Puerto Rico, a base del PIB</w:t>
            </w:r>
            <w:r w:rsidRPr="003E79C6">
              <w:rPr>
                <w:rFonts w:ascii="Calibri" w:eastAsia="Times New Roman" w:hAnsi="Calibri"/>
                <w:b/>
                <w:color w:val="000000"/>
                <w:sz w:val="22"/>
              </w:rPr>
              <w:br/>
            </w:r>
            <w:r w:rsidRPr="003E79C6">
              <w:rPr>
                <w:rFonts w:ascii="Calibri" w:eastAsia="Times New Roman" w:hAnsi="Calibri"/>
                <w:b/>
                <w:i/>
                <w:iCs/>
                <w:color w:val="000000"/>
                <w:sz w:val="22"/>
              </w:rPr>
              <w:t>(12.8 desviaciones estándar por encima del promedio de los estados)</w:t>
            </w:r>
          </w:p>
        </w:tc>
        <w:tc>
          <w:tcPr>
            <w:tcW w:w="0" w:type="auto"/>
            <w:shd w:val="clear" w:color="auto" w:fill="auto"/>
            <w:noWrap/>
          </w:tcPr>
          <w:p w:rsidR="005A5E7D" w:rsidRPr="003E79C6" w:rsidRDefault="005A5E7D" w:rsidP="00BE4D98">
            <w:pPr>
              <w:spacing w:line="240" w:lineRule="auto"/>
              <w:ind w:firstLine="0"/>
              <w:jc w:val="center"/>
              <w:rPr>
                <w:rFonts w:ascii="Calibri" w:hAnsi="Calibri"/>
                <w:b/>
                <w:color w:val="000000"/>
                <w:sz w:val="22"/>
              </w:rPr>
            </w:pPr>
            <w:r w:rsidRPr="003E79C6">
              <w:rPr>
                <w:rFonts w:ascii="Calibri" w:eastAsia="Times New Roman" w:hAnsi="Calibri"/>
                <w:b/>
                <w:color w:val="000000"/>
                <w:sz w:val="22"/>
              </w:rPr>
              <w:t>55.3%</w:t>
            </w:r>
          </w:p>
        </w:tc>
      </w:tr>
      <w:tr w:rsidR="005A5E7D" w:rsidRPr="003E79C6">
        <w:trPr>
          <w:trHeight w:val="20"/>
          <w:jc w:val="center"/>
        </w:trPr>
        <w:tc>
          <w:tcPr>
            <w:tcW w:w="0" w:type="auto"/>
            <w:shd w:val="clear" w:color="auto" w:fill="auto"/>
          </w:tcPr>
          <w:p w:rsidR="005A5E7D" w:rsidRPr="003E79C6" w:rsidRDefault="005A5E7D" w:rsidP="00BE4D98">
            <w:pPr>
              <w:spacing w:line="240" w:lineRule="auto"/>
              <w:ind w:firstLine="0"/>
              <w:jc w:val="left"/>
              <w:rPr>
                <w:rFonts w:ascii="Calibri" w:hAnsi="Calibri"/>
                <w:b/>
                <w:color w:val="000000"/>
                <w:sz w:val="22"/>
              </w:rPr>
            </w:pPr>
            <w:r w:rsidRPr="003E79C6">
              <w:rPr>
                <w:rFonts w:ascii="Calibri" w:eastAsia="Times New Roman" w:hAnsi="Calibri"/>
                <w:b/>
                <w:color w:val="000000"/>
                <w:sz w:val="22"/>
              </w:rPr>
              <w:t>Puerto Rico, a base del PNB</w:t>
            </w:r>
            <w:r w:rsidRPr="003E79C6">
              <w:rPr>
                <w:rFonts w:ascii="Calibri" w:eastAsia="Times New Roman" w:hAnsi="Calibri"/>
                <w:b/>
                <w:color w:val="000000"/>
                <w:sz w:val="22"/>
              </w:rPr>
              <w:br/>
              <w:t>(</w:t>
            </w:r>
            <w:r w:rsidRPr="003E79C6">
              <w:rPr>
                <w:rFonts w:ascii="Calibri" w:eastAsia="Times New Roman" w:hAnsi="Calibri"/>
                <w:b/>
                <w:i/>
                <w:iCs/>
                <w:color w:val="000000"/>
                <w:sz w:val="22"/>
              </w:rPr>
              <w:t>20.7 desviaciones estándar por encima del promedio de los estados)</w:t>
            </w:r>
          </w:p>
        </w:tc>
        <w:tc>
          <w:tcPr>
            <w:tcW w:w="0" w:type="auto"/>
            <w:shd w:val="clear" w:color="auto" w:fill="auto"/>
            <w:noWrap/>
          </w:tcPr>
          <w:p w:rsidR="005A5E7D" w:rsidRPr="003E79C6" w:rsidRDefault="005A5E7D" w:rsidP="00BE4D98">
            <w:pPr>
              <w:spacing w:line="240" w:lineRule="auto"/>
              <w:ind w:firstLine="0"/>
              <w:jc w:val="center"/>
              <w:rPr>
                <w:rFonts w:ascii="Calibri" w:hAnsi="Calibri"/>
                <w:b/>
                <w:color w:val="000000"/>
                <w:sz w:val="22"/>
              </w:rPr>
            </w:pPr>
            <w:r w:rsidRPr="003E79C6">
              <w:rPr>
                <w:rFonts w:ascii="Calibri" w:eastAsia="Times New Roman" w:hAnsi="Calibri"/>
                <w:b/>
                <w:color w:val="000000"/>
                <w:sz w:val="22"/>
              </w:rPr>
              <w:t>84.5%</w:t>
            </w:r>
          </w:p>
        </w:tc>
      </w:tr>
    </w:tbl>
    <w:p w:rsidR="005A5E7D" w:rsidRPr="003A21B9" w:rsidRDefault="005A5E7D" w:rsidP="005A5E7D">
      <w:pPr>
        <w:suppressAutoHyphens/>
        <w:ind w:firstLine="706"/>
        <w:rPr>
          <w:rFonts w:eastAsia="+mn-ea"/>
          <w:b/>
          <w:color w:val="000000"/>
          <w:kern w:val="1"/>
          <w:szCs w:val="24"/>
          <w:lang w:eastAsia="ar-SA"/>
        </w:rPr>
      </w:pPr>
    </w:p>
    <w:p w:rsidR="005A5E7D" w:rsidRDefault="005A5E7D" w:rsidP="005A5E7D">
      <w:pPr>
        <w:rPr>
          <w:lang w:eastAsia="ar-SA"/>
        </w:rPr>
      </w:pPr>
      <w:r>
        <w:rPr>
          <w:lang w:eastAsia="ar-SA"/>
        </w:rPr>
        <w:t>Conforme a los estimados de la Agencia Central de Inteligencia</w:t>
      </w:r>
      <w:r w:rsidRPr="003A21B9">
        <w:rPr>
          <w:lang w:eastAsia="ar-SA"/>
        </w:rPr>
        <w:t xml:space="preserve"> (CIA</w:t>
      </w:r>
      <w:r>
        <w:rPr>
          <w:lang w:eastAsia="ar-SA"/>
        </w:rPr>
        <w:t>, por sus siglas en inglés</w:t>
      </w:r>
      <w:r w:rsidRPr="003A21B9">
        <w:rPr>
          <w:lang w:eastAsia="ar-SA"/>
        </w:rPr>
        <w:t xml:space="preserve">) </w:t>
      </w:r>
      <w:r>
        <w:rPr>
          <w:lang w:eastAsia="ar-SA"/>
        </w:rPr>
        <w:t>de Estados Unidos para el 2012</w:t>
      </w:r>
      <w:r w:rsidRPr="003A21B9">
        <w:rPr>
          <w:lang w:eastAsia="ar-SA"/>
        </w:rPr>
        <w:t xml:space="preserve">, Puerto Rico ocupaba el lugar </w:t>
      </w:r>
      <w:r>
        <w:rPr>
          <w:lang w:eastAsia="ar-SA"/>
        </w:rPr>
        <w:t xml:space="preserve">número </w:t>
      </w:r>
      <w:r w:rsidRPr="003A21B9">
        <w:rPr>
          <w:lang w:eastAsia="ar-SA"/>
        </w:rPr>
        <w:t xml:space="preserve">16 entre los 155 países con mayor deuda pública como </w:t>
      </w:r>
      <w:r>
        <w:rPr>
          <w:lang w:eastAsia="ar-SA"/>
        </w:rPr>
        <w:t>porcentaje</w:t>
      </w:r>
      <w:r w:rsidRPr="003A21B9">
        <w:rPr>
          <w:lang w:eastAsia="ar-SA"/>
        </w:rPr>
        <w:t xml:space="preserve"> del PIB, mientras </w:t>
      </w:r>
      <w:r>
        <w:rPr>
          <w:lang w:eastAsia="ar-SA"/>
        </w:rPr>
        <w:t xml:space="preserve">que </w:t>
      </w:r>
      <w:r w:rsidRPr="003A21B9">
        <w:rPr>
          <w:lang w:eastAsia="ar-SA"/>
        </w:rPr>
        <w:t xml:space="preserve">Estados Unidos ocupaba el </w:t>
      </w:r>
      <w:r>
        <w:rPr>
          <w:lang w:eastAsia="ar-SA"/>
        </w:rPr>
        <w:t xml:space="preserve">número </w:t>
      </w:r>
      <w:r w:rsidRPr="003A21B9">
        <w:rPr>
          <w:lang w:eastAsia="ar-SA"/>
        </w:rPr>
        <w:t>38. Puerto R</w:t>
      </w:r>
      <w:r>
        <w:rPr>
          <w:lang w:eastAsia="ar-SA"/>
        </w:rPr>
        <w:t>ico ocupaba el cuarto lugar e</w:t>
      </w:r>
      <w:r w:rsidRPr="003A21B9">
        <w:rPr>
          <w:lang w:eastAsia="ar-SA"/>
        </w:rPr>
        <w:t>ntre los países caribeños</w:t>
      </w:r>
      <w:r>
        <w:rPr>
          <w:lang w:eastAsia="ar-SA"/>
        </w:rPr>
        <w:t xml:space="preserve">. </w:t>
      </w:r>
      <w:r w:rsidRPr="003A21B9">
        <w:rPr>
          <w:lang w:eastAsia="ar-SA"/>
        </w:rPr>
        <w:t xml:space="preserve">El promedio para los 155 países fue </w:t>
      </w:r>
      <w:r>
        <w:rPr>
          <w:lang w:eastAsia="ar-SA"/>
        </w:rPr>
        <w:t>un</w:t>
      </w:r>
      <w:r w:rsidRPr="003A21B9">
        <w:rPr>
          <w:lang w:eastAsia="ar-SA"/>
        </w:rPr>
        <w:t xml:space="preserve"> 52.2%</w:t>
      </w:r>
      <w:r>
        <w:rPr>
          <w:lang w:eastAsia="ar-SA"/>
        </w:rPr>
        <w:t>,</w:t>
      </w:r>
      <w:r w:rsidRPr="003A21B9">
        <w:rPr>
          <w:lang w:eastAsia="ar-SA"/>
        </w:rPr>
        <w:t xml:space="preserve"> con una desviación estándar de 37.5, lo que sitúa a Puerto Rico una desviación est</w:t>
      </w:r>
      <w:r>
        <w:rPr>
          <w:lang w:eastAsia="ar-SA"/>
        </w:rPr>
        <w:t xml:space="preserve">ándar por encima del promedio. </w:t>
      </w:r>
      <w:r w:rsidRPr="003A21B9">
        <w:rPr>
          <w:lang w:eastAsia="ar-SA"/>
        </w:rPr>
        <w:t xml:space="preserve">La </w:t>
      </w:r>
      <w:r w:rsidRPr="003A21B9">
        <w:rPr>
          <w:b/>
          <w:lang w:eastAsia="ar-SA"/>
        </w:rPr>
        <w:t xml:space="preserve">Tabla </w:t>
      </w:r>
      <w:r>
        <w:rPr>
          <w:b/>
          <w:lang w:eastAsia="ar-SA"/>
        </w:rPr>
        <w:t>8</w:t>
      </w:r>
      <w:r w:rsidRPr="003A21B9">
        <w:rPr>
          <w:color w:val="00B050"/>
          <w:lang w:eastAsia="ar-SA"/>
        </w:rPr>
        <w:t xml:space="preserve"> </w:t>
      </w:r>
      <w:r w:rsidRPr="003A21B9">
        <w:rPr>
          <w:lang w:eastAsia="ar-SA"/>
        </w:rPr>
        <w:t>muestra l</w:t>
      </w:r>
      <w:r>
        <w:rPr>
          <w:lang w:eastAsia="ar-SA"/>
        </w:rPr>
        <w:t>os</w:t>
      </w:r>
      <w:r w:rsidRPr="003A21B9">
        <w:rPr>
          <w:lang w:eastAsia="ar-SA"/>
        </w:rPr>
        <w:t xml:space="preserve"> </w:t>
      </w:r>
      <w:r>
        <w:rPr>
          <w:lang w:eastAsia="ar-SA"/>
        </w:rPr>
        <w:t xml:space="preserve">datos </w:t>
      </w:r>
      <w:r w:rsidRPr="003A21B9">
        <w:rPr>
          <w:lang w:eastAsia="ar-SA"/>
        </w:rPr>
        <w:t>correspondiente</w:t>
      </w:r>
      <w:r>
        <w:rPr>
          <w:lang w:eastAsia="ar-SA"/>
        </w:rPr>
        <w:t>s</w:t>
      </w:r>
      <w:r w:rsidRPr="003A21B9">
        <w:rPr>
          <w:lang w:eastAsia="ar-SA"/>
        </w:rPr>
        <w:t xml:space="preserve"> para un grupo de países seleccionados.</w:t>
      </w:r>
      <w:r>
        <w:rPr>
          <w:lang w:eastAsia="ar-SA"/>
        </w:rPr>
        <w:t xml:space="preserve"> </w:t>
      </w:r>
    </w:p>
    <w:p w:rsidR="00587A7B" w:rsidRDefault="00587A7B" w:rsidP="005A5E7D">
      <w:pPr>
        <w:rPr>
          <w:lang w:eastAsia="ar-SA"/>
        </w:rPr>
      </w:pPr>
    </w:p>
    <w:p w:rsidR="00587A7B" w:rsidRPr="003A21B9" w:rsidRDefault="00587A7B" w:rsidP="005A5E7D">
      <w:pPr>
        <w:rPr>
          <w:lang w:eastAsia="ar-SA"/>
        </w:rPr>
      </w:pPr>
    </w:p>
    <w:tbl>
      <w:tblPr>
        <w:tblW w:w="5799" w:type="dxa"/>
        <w:jc w:val="center"/>
        <w:tblBorders>
          <w:top w:val="single" w:sz="12" w:space="0" w:color="008000"/>
          <w:bottom w:val="single" w:sz="12" w:space="0" w:color="008000"/>
        </w:tblBorders>
        <w:tblLook w:val="04A0"/>
      </w:tblPr>
      <w:tblGrid>
        <w:gridCol w:w="1142"/>
        <w:gridCol w:w="2858"/>
        <w:gridCol w:w="1169"/>
        <w:gridCol w:w="630"/>
      </w:tblGrid>
      <w:tr w:rsidR="005A5E7D" w:rsidRPr="006C2E2C">
        <w:trPr>
          <w:trHeight w:val="300"/>
          <w:jc w:val="center"/>
        </w:trPr>
        <w:tc>
          <w:tcPr>
            <w:tcW w:w="5799" w:type="dxa"/>
            <w:gridSpan w:val="4"/>
            <w:tcBorders>
              <w:bottom w:val="single" w:sz="6" w:space="0" w:color="008000"/>
            </w:tcBorders>
            <w:shd w:val="clear" w:color="auto" w:fill="auto"/>
            <w:noWrap/>
          </w:tcPr>
          <w:p w:rsidR="005A5E7D" w:rsidRPr="006C2E2C" w:rsidRDefault="005A5E7D" w:rsidP="005A5E7D">
            <w:pPr>
              <w:suppressAutoHyphens/>
              <w:spacing w:line="240" w:lineRule="auto"/>
              <w:ind w:firstLine="0"/>
              <w:jc w:val="center"/>
              <w:rPr>
                <w:rFonts w:ascii="Calibri" w:eastAsia="Times New Roman" w:hAnsi="Calibri"/>
                <w:b/>
                <w:color w:val="000000"/>
                <w:sz w:val="22"/>
                <w:szCs w:val="20"/>
                <w:lang w:val="es-ES" w:eastAsia="es-ES"/>
              </w:rPr>
            </w:pPr>
            <w:r w:rsidRPr="003A21B9">
              <w:rPr>
                <w:rFonts w:eastAsia="+mn-ea"/>
                <w:color w:val="000000"/>
                <w:kern w:val="1"/>
                <w:szCs w:val="24"/>
                <w:lang w:eastAsia="ar-SA"/>
              </w:rPr>
              <w:br w:type="page"/>
            </w:r>
            <w:r w:rsidRPr="006C2E2C">
              <w:rPr>
                <w:rFonts w:ascii="Calibri" w:eastAsia="Times New Roman" w:hAnsi="Calibri"/>
                <w:b/>
                <w:color w:val="000000"/>
                <w:sz w:val="22"/>
                <w:szCs w:val="20"/>
                <w:lang w:val="es-ES" w:eastAsia="es-ES"/>
              </w:rPr>
              <w:t>Tabla 8</w:t>
            </w:r>
          </w:p>
        </w:tc>
      </w:tr>
      <w:tr w:rsidR="005A5E7D" w:rsidRPr="006C2E2C">
        <w:trPr>
          <w:trHeight w:val="885"/>
          <w:jc w:val="center"/>
        </w:trPr>
        <w:tc>
          <w:tcPr>
            <w:tcW w:w="5799" w:type="dxa"/>
            <w:gridSpan w:val="4"/>
            <w:shd w:val="clear" w:color="auto" w:fill="auto"/>
          </w:tcPr>
          <w:p w:rsidR="005A5E7D" w:rsidRPr="006C2E2C" w:rsidRDefault="005A5E7D" w:rsidP="005A5E7D">
            <w:pPr>
              <w:spacing w:line="240" w:lineRule="auto"/>
              <w:ind w:firstLine="0"/>
              <w:jc w:val="center"/>
              <w:rPr>
                <w:rFonts w:ascii="Calibri" w:hAnsi="Calibri"/>
                <w:b/>
                <w:color w:val="000000"/>
                <w:sz w:val="22"/>
                <w:lang w:val="es-ES" w:eastAsia="es-ES"/>
              </w:rPr>
            </w:pPr>
            <w:r w:rsidRPr="006C2E2C">
              <w:rPr>
                <w:rFonts w:ascii="Calibri" w:eastAsia="Times New Roman" w:hAnsi="Calibri"/>
                <w:b/>
                <w:color w:val="000000"/>
                <w:sz w:val="22"/>
                <w:lang w:val="es-ES" w:eastAsia="es-ES"/>
              </w:rPr>
              <w:t xml:space="preserve">Comparación Internacional de la Deuda Pública como </w:t>
            </w:r>
            <w:r>
              <w:rPr>
                <w:rFonts w:ascii="Calibri" w:eastAsia="Times New Roman" w:hAnsi="Calibri"/>
                <w:b/>
                <w:color w:val="000000"/>
                <w:sz w:val="22"/>
                <w:lang w:val="es-ES" w:eastAsia="es-ES"/>
              </w:rPr>
              <w:t>porcentaje</w:t>
            </w:r>
            <w:r w:rsidRPr="006C2E2C">
              <w:rPr>
                <w:rFonts w:ascii="Calibri" w:eastAsia="Times New Roman" w:hAnsi="Calibri"/>
                <w:b/>
                <w:color w:val="000000"/>
                <w:sz w:val="22"/>
                <w:lang w:val="es-ES" w:eastAsia="es-ES"/>
              </w:rPr>
              <w:t xml:space="preserve"> del PIB (2012)</w:t>
            </w:r>
            <w:r w:rsidRPr="006C2E2C">
              <w:rPr>
                <w:rFonts w:ascii="Calibri" w:eastAsia="Times New Roman" w:hAnsi="Calibri"/>
                <w:b/>
                <w:color w:val="000000"/>
                <w:sz w:val="22"/>
                <w:lang w:val="es-ES" w:eastAsia="es-ES"/>
              </w:rPr>
              <w:br/>
              <w:t>Países Seleccionados</w:t>
            </w:r>
          </w:p>
        </w:tc>
      </w:tr>
      <w:tr w:rsidR="005A5E7D" w:rsidRPr="006C2E2C">
        <w:trPr>
          <w:trHeight w:val="666"/>
          <w:jc w:val="center"/>
        </w:trPr>
        <w:tc>
          <w:tcPr>
            <w:tcW w:w="1142" w:type="dxa"/>
            <w:shd w:val="clear" w:color="auto" w:fill="auto"/>
            <w:noWrap/>
          </w:tcPr>
          <w:p w:rsidR="005A5E7D" w:rsidRPr="006C2E2C" w:rsidRDefault="005A5E7D" w:rsidP="005A5E7D">
            <w:pPr>
              <w:spacing w:before="160" w:line="240" w:lineRule="auto"/>
              <w:ind w:firstLine="0"/>
              <w:jc w:val="center"/>
              <w:rPr>
                <w:rFonts w:ascii="Calibri" w:hAnsi="Calibri"/>
                <w:b/>
                <w:color w:val="000000"/>
                <w:sz w:val="22"/>
                <w:lang w:val="es-ES" w:eastAsia="es-ES"/>
              </w:rPr>
            </w:pPr>
            <w:r w:rsidRPr="006C2E2C">
              <w:rPr>
                <w:rFonts w:ascii="Calibri" w:eastAsia="Times New Roman" w:hAnsi="Calibri"/>
                <w:b/>
                <w:color w:val="000000"/>
                <w:sz w:val="22"/>
                <w:lang w:val="es-ES" w:eastAsia="es-ES"/>
              </w:rPr>
              <w:t>Posición</w:t>
            </w:r>
          </w:p>
        </w:tc>
        <w:tc>
          <w:tcPr>
            <w:tcW w:w="2858" w:type="dxa"/>
            <w:shd w:val="clear" w:color="auto" w:fill="auto"/>
            <w:noWrap/>
          </w:tcPr>
          <w:p w:rsidR="005A5E7D" w:rsidRPr="006C2E2C" w:rsidRDefault="005A5E7D" w:rsidP="005A5E7D">
            <w:pPr>
              <w:spacing w:before="160" w:line="240" w:lineRule="auto"/>
              <w:ind w:firstLine="0"/>
              <w:jc w:val="left"/>
              <w:rPr>
                <w:rFonts w:ascii="Calibri" w:hAnsi="Calibri"/>
                <w:b/>
                <w:color w:val="000000"/>
                <w:sz w:val="22"/>
                <w:lang w:val="es-ES" w:eastAsia="es-ES"/>
              </w:rPr>
            </w:pPr>
            <w:r w:rsidRPr="006C2E2C">
              <w:rPr>
                <w:rFonts w:ascii="Calibri" w:eastAsia="Times New Roman" w:hAnsi="Calibri"/>
                <w:b/>
                <w:color w:val="000000"/>
                <w:sz w:val="22"/>
                <w:lang w:val="es-ES" w:eastAsia="es-ES"/>
              </w:rPr>
              <w:t>País</w:t>
            </w:r>
          </w:p>
        </w:tc>
        <w:tc>
          <w:tcPr>
            <w:tcW w:w="1799" w:type="dxa"/>
            <w:gridSpan w:val="2"/>
            <w:shd w:val="clear" w:color="auto" w:fill="auto"/>
          </w:tcPr>
          <w:p w:rsidR="005A5E7D" w:rsidRPr="006C2E2C" w:rsidRDefault="005A5E7D" w:rsidP="005A5E7D">
            <w:pPr>
              <w:spacing w:line="240" w:lineRule="auto"/>
              <w:ind w:firstLine="0"/>
              <w:jc w:val="center"/>
              <w:rPr>
                <w:rFonts w:ascii="Calibri" w:hAnsi="Calibri"/>
                <w:b/>
                <w:color w:val="000000"/>
                <w:sz w:val="22"/>
                <w:lang w:val="es-ES" w:eastAsia="es-ES"/>
              </w:rPr>
            </w:pPr>
            <w:r w:rsidRPr="006C2E2C">
              <w:rPr>
                <w:rFonts w:ascii="Calibri" w:eastAsia="Times New Roman" w:hAnsi="Calibri"/>
                <w:b/>
                <w:color w:val="000000"/>
                <w:sz w:val="22"/>
                <w:lang w:val="es-ES" w:eastAsia="es-ES"/>
              </w:rPr>
              <w:t>Deuda Pública como %</w:t>
            </w:r>
            <w:r>
              <w:rPr>
                <w:rFonts w:ascii="Calibri" w:eastAsia="Times New Roman" w:hAnsi="Calibri"/>
                <w:b/>
                <w:color w:val="000000"/>
                <w:sz w:val="22"/>
                <w:lang w:val="es-ES" w:eastAsia="es-ES"/>
              </w:rPr>
              <w:t xml:space="preserve"> del</w:t>
            </w:r>
            <w:r w:rsidRPr="006C2E2C">
              <w:rPr>
                <w:rFonts w:ascii="Calibri" w:eastAsia="Times New Roman" w:hAnsi="Calibri"/>
                <w:b/>
                <w:color w:val="000000"/>
                <w:sz w:val="22"/>
                <w:lang w:val="es-ES" w:eastAsia="es-ES"/>
              </w:rPr>
              <w:t xml:space="preserve"> PIB</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96" w:history="1">
              <w:r w:rsidR="005A5E7D" w:rsidRPr="00AA0831">
                <w:rPr>
                  <w:rFonts w:ascii="Calibri" w:eastAsia="Times New Roman" w:hAnsi="Calibri"/>
                  <w:color w:val="000000"/>
                  <w:sz w:val="22"/>
                  <w:lang w:val="es-ES" w:eastAsia="es-ES"/>
                </w:rPr>
                <w:t>Zimbabwe</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244.2</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2</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97" w:history="1">
              <w:r w:rsidR="005A5E7D" w:rsidRPr="00AA0831">
                <w:rPr>
                  <w:rFonts w:ascii="Calibri" w:eastAsia="Times New Roman" w:hAnsi="Calibri"/>
                  <w:color w:val="000000"/>
                  <w:sz w:val="22"/>
                  <w:lang w:val="es-ES" w:eastAsia="es-ES"/>
                </w:rPr>
                <w:t>Japón</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219.1</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3</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98" w:history="1">
              <w:r w:rsidR="005A5E7D" w:rsidRPr="00AA0831">
                <w:rPr>
                  <w:rFonts w:ascii="Calibri" w:eastAsia="Times New Roman" w:hAnsi="Calibri"/>
                  <w:color w:val="000000"/>
                  <w:sz w:val="22"/>
                  <w:lang w:val="es-ES" w:eastAsia="es-ES"/>
                </w:rPr>
                <w:t>Grecia</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156.9</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4</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99" w:history="1">
              <w:r w:rsidR="005A5E7D">
                <w:rPr>
                  <w:rFonts w:ascii="Calibri" w:eastAsia="Times New Roman" w:hAnsi="Calibri"/>
                  <w:color w:val="000000"/>
                  <w:sz w:val="22"/>
                  <w:lang w:val="es-ES" w:eastAsia="es-ES"/>
                </w:rPr>
                <w:t>Saint Kitts y</w:t>
              </w:r>
              <w:r w:rsidR="005A5E7D" w:rsidRPr="00AA0831">
                <w:rPr>
                  <w:rFonts w:ascii="Calibri" w:eastAsia="Times New Roman" w:hAnsi="Calibri"/>
                  <w:color w:val="000000"/>
                  <w:sz w:val="22"/>
                  <w:lang w:val="es-ES" w:eastAsia="es-ES"/>
                </w:rPr>
                <w:t xml:space="preserve"> Nevis</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144</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5</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00" w:history="1">
              <w:r w:rsidR="005A5E7D" w:rsidRPr="00AA0831">
                <w:rPr>
                  <w:rFonts w:ascii="Calibri" w:eastAsia="Times New Roman" w:hAnsi="Calibri"/>
                  <w:color w:val="000000"/>
                  <w:sz w:val="22"/>
                  <w:lang w:val="es-ES" w:eastAsia="es-ES"/>
                </w:rPr>
                <w:t>Jamaica</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132.9</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12</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01" w:history="1">
              <w:r w:rsidR="005A5E7D" w:rsidRPr="00AA0831">
                <w:rPr>
                  <w:rFonts w:ascii="Calibri" w:eastAsia="Times New Roman" w:hAnsi="Calibri"/>
                  <w:color w:val="000000"/>
                  <w:sz w:val="22"/>
                  <w:lang w:val="es-ES" w:eastAsia="es-ES"/>
                </w:rPr>
                <w:t>Singapur</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111.4</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13</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02" w:history="1">
              <w:r w:rsidR="005A5E7D" w:rsidRPr="00AA0831">
                <w:rPr>
                  <w:rFonts w:ascii="Calibri" w:eastAsia="Times New Roman" w:hAnsi="Calibri"/>
                  <w:color w:val="000000"/>
                  <w:sz w:val="22"/>
                  <w:lang w:val="es-ES" w:eastAsia="es-ES"/>
                </w:rPr>
                <w:t>Grenada</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110</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14</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03" w:history="1">
              <w:r w:rsidR="005A5E7D" w:rsidRPr="00AA0831">
                <w:rPr>
                  <w:rFonts w:ascii="Calibri" w:eastAsia="Times New Roman" w:hAnsi="Calibri"/>
                  <w:color w:val="000000"/>
                  <w:sz w:val="22"/>
                  <w:lang w:val="es-ES" w:eastAsia="es-ES"/>
                </w:rPr>
                <w:t>Sudan</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101.7</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15</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04" w:history="1">
              <w:r w:rsidR="005A5E7D" w:rsidRPr="00AA0831">
                <w:rPr>
                  <w:rFonts w:ascii="Calibri" w:eastAsia="Times New Roman" w:hAnsi="Calibri"/>
                  <w:color w:val="000000"/>
                  <w:sz w:val="22"/>
                  <w:lang w:val="es-ES" w:eastAsia="es-ES"/>
                </w:rPr>
                <w:t>Belgium</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99.6</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b/>
                <w:color w:val="000000"/>
                <w:sz w:val="22"/>
                <w:lang w:val="es-ES" w:eastAsia="es-ES"/>
              </w:rPr>
            </w:pPr>
            <w:r w:rsidRPr="00AA0831">
              <w:rPr>
                <w:rFonts w:ascii="Calibri" w:eastAsia="Times New Roman" w:hAnsi="Calibri"/>
                <w:b/>
                <w:color w:val="000000"/>
                <w:sz w:val="22"/>
                <w:lang w:val="es-ES" w:eastAsia="es-ES"/>
              </w:rPr>
              <w:t>16</w:t>
            </w:r>
          </w:p>
        </w:tc>
        <w:tc>
          <w:tcPr>
            <w:tcW w:w="2858" w:type="dxa"/>
            <w:shd w:val="clear" w:color="auto" w:fill="auto"/>
            <w:noWrap/>
          </w:tcPr>
          <w:p w:rsidR="005A5E7D" w:rsidRPr="00AA0831" w:rsidRDefault="008964A4" w:rsidP="005A5E7D">
            <w:pPr>
              <w:spacing w:line="240" w:lineRule="auto"/>
              <w:ind w:firstLine="0"/>
              <w:jc w:val="left"/>
              <w:rPr>
                <w:rFonts w:ascii="Calibri" w:hAnsi="Calibri"/>
                <w:b/>
                <w:color w:val="000000"/>
                <w:sz w:val="22"/>
                <w:lang w:val="es-ES" w:eastAsia="es-ES"/>
              </w:rPr>
            </w:pPr>
            <w:hyperlink r:id="rId105" w:history="1">
              <w:r w:rsidR="005A5E7D" w:rsidRPr="00AA0831">
                <w:rPr>
                  <w:rFonts w:ascii="Calibri" w:eastAsia="Times New Roman" w:hAnsi="Calibri"/>
                  <w:b/>
                  <w:color w:val="000000"/>
                  <w:sz w:val="22"/>
                  <w:lang w:val="es-ES" w:eastAsia="es-ES"/>
                </w:rPr>
                <w:t>Puerto Rico</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b/>
                <w:color w:val="000000"/>
                <w:sz w:val="22"/>
                <w:lang w:val="es-ES" w:eastAsia="es-ES"/>
              </w:rPr>
            </w:pPr>
            <w:r w:rsidRPr="00AA0831">
              <w:rPr>
                <w:rFonts w:ascii="Calibri" w:eastAsia="Times New Roman" w:hAnsi="Calibri"/>
                <w:b/>
                <w:color w:val="000000"/>
                <w:sz w:val="22"/>
                <w:lang w:val="es-ES" w:eastAsia="es-ES"/>
              </w:rPr>
              <w:t>93.2</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17</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06" w:history="1">
              <w:r w:rsidR="005A5E7D" w:rsidRPr="00AA0831">
                <w:rPr>
                  <w:rFonts w:ascii="Calibri" w:eastAsia="Times New Roman" w:hAnsi="Calibri"/>
                  <w:color w:val="000000"/>
                  <w:sz w:val="22"/>
                  <w:lang w:val="es-ES" w:eastAsia="es-ES"/>
                </w:rPr>
                <w:t>Francia</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90.3</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18</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07" w:history="1">
              <w:r w:rsidR="005A5E7D" w:rsidRPr="00AA0831">
                <w:rPr>
                  <w:rFonts w:ascii="Calibri" w:eastAsia="Times New Roman" w:hAnsi="Calibri"/>
                  <w:color w:val="000000"/>
                  <w:sz w:val="22"/>
                  <w:lang w:val="es-ES" w:eastAsia="es-ES"/>
                </w:rPr>
                <w:t>Antigua y Barbuda</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89</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19</w:t>
            </w:r>
          </w:p>
        </w:tc>
        <w:tc>
          <w:tcPr>
            <w:tcW w:w="2858" w:type="dxa"/>
            <w:shd w:val="clear" w:color="auto" w:fill="auto"/>
            <w:noWrap/>
          </w:tcPr>
          <w:p w:rsidR="005A5E7D" w:rsidRPr="00AA0831" w:rsidRDefault="005A5E7D" w:rsidP="005A5E7D">
            <w:pPr>
              <w:spacing w:line="240" w:lineRule="auto"/>
              <w:ind w:firstLine="0"/>
              <w:jc w:val="left"/>
              <w:rPr>
                <w:rFonts w:ascii="Calibri" w:hAnsi="Calibri"/>
                <w:color w:val="000000"/>
                <w:sz w:val="22"/>
                <w:lang w:val="es-ES" w:eastAsia="es-ES"/>
              </w:rPr>
            </w:pPr>
            <w:r w:rsidRPr="00AA0831">
              <w:rPr>
                <w:rFonts w:ascii="Calibri" w:hAnsi="Calibri"/>
                <w:sz w:val="22"/>
              </w:rPr>
              <w:t xml:space="preserve">Reino </w:t>
            </w:r>
            <w:hyperlink r:id="rId108" w:history="1">
              <w:r w:rsidRPr="00AA0831">
                <w:rPr>
                  <w:rFonts w:ascii="Calibri" w:eastAsia="Times New Roman" w:hAnsi="Calibri"/>
                  <w:color w:val="000000"/>
                  <w:sz w:val="22"/>
                  <w:lang w:val="es-ES" w:eastAsia="es-ES"/>
                </w:rPr>
                <w:t>Unido</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88.7</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24</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09" w:history="1">
              <w:r w:rsidR="005A5E7D" w:rsidRPr="00AA0831">
                <w:rPr>
                  <w:rFonts w:ascii="Calibri" w:eastAsia="Times New Roman" w:hAnsi="Calibri"/>
                  <w:color w:val="000000"/>
                  <w:sz w:val="22"/>
                  <w:lang w:val="es-ES" w:eastAsia="es-ES"/>
                </w:rPr>
                <w:t>Canadá</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85.4</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38</w:t>
            </w:r>
          </w:p>
        </w:tc>
        <w:tc>
          <w:tcPr>
            <w:tcW w:w="2858" w:type="dxa"/>
            <w:shd w:val="clear" w:color="auto" w:fill="auto"/>
            <w:noWrap/>
          </w:tcPr>
          <w:p w:rsidR="005A5E7D" w:rsidRPr="00AA0831" w:rsidRDefault="005A5E7D" w:rsidP="005A5E7D">
            <w:pPr>
              <w:spacing w:line="240" w:lineRule="auto"/>
              <w:ind w:firstLine="0"/>
              <w:jc w:val="left"/>
              <w:rPr>
                <w:rFonts w:ascii="Calibri" w:hAnsi="Calibri"/>
                <w:color w:val="000000"/>
                <w:sz w:val="22"/>
                <w:lang w:val="es-ES" w:eastAsia="es-ES"/>
              </w:rPr>
            </w:pPr>
            <w:r w:rsidRPr="00AA0831">
              <w:rPr>
                <w:rFonts w:ascii="Calibri" w:hAnsi="Calibri"/>
                <w:sz w:val="22"/>
              </w:rPr>
              <w:t xml:space="preserve">Estados </w:t>
            </w:r>
            <w:hyperlink r:id="rId110" w:history="1">
              <w:r w:rsidRPr="00AA0831">
                <w:rPr>
                  <w:rFonts w:ascii="Calibri" w:eastAsia="Times New Roman" w:hAnsi="Calibri"/>
                  <w:color w:val="000000"/>
                  <w:sz w:val="22"/>
                  <w:lang w:val="es-ES" w:eastAsia="es-ES"/>
                </w:rPr>
                <w:t>Unidos</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70</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48</w:t>
            </w:r>
          </w:p>
        </w:tc>
        <w:tc>
          <w:tcPr>
            <w:tcW w:w="2858" w:type="dxa"/>
            <w:shd w:val="clear" w:color="auto" w:fill="auto"/>
            <w:noWrap/>
          </w:tcPr>
          <w:p w:rsidR="005A5E7D" w:rsidRPr="00AA0831" w:rsidRDefault="005A5E7D" w:rsidP="005A5E7D">
            <w:pPr>
              <w:spacing w:line="240" w:lineRule="auto"/>
              <w:ind w:firstLine="0"/>
              <w:jc w:val="left"/>
              <w:rPr>
                <w:rFonts w:ascii="Calibri" w:hAnsi="Calibri"/>
                <w:color w:val="000000"/>
                <w:sz w:val="22"/>
                <w:lang w:val="es-ES" w:eastAsia="es-ES"/>
              </w:rPr>
            </w:pPr>
            <w:r w:rsidRPr="00AA0831">
              <w:rPr>
                <w:rFonts w:ascii="Calibri" w:eastAsia="Times New Roman" w:hAnsi="Calibri"/>
                <w:color w:val="000000"/>
                <w:sz w:val="22"/>
                <w:lang w:val="es-ES" w:eastAsia="es-ES"/>
              </w:rPr>
              <w:t>Brasil</w:t>
            </w:r>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58.8</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62</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11" w:history="1">
              <w:r w:rsidR="005A5E7D" w:rsidRPr="00AA0831">
                <w:rPr>
                  <w:rFonts w:ascii="Calibri" w:eastAsia="Times New Roman" w:hAnsi="Calibri"/>
                  <w:color w:val="000000"/>
                  <w:sz w:val="22"/>
                  <w:lang w:val="es-ES" w:eastAsia="es-ES"/>
                </w:rPr>
                <w:t>Costa Rica</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51.9</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77</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12" w:history="1">
              <w:r w:rsidR="005A5E7D" w:rsidRPr="00AA0831">
                <w:rPr>
                  <w:rFonts w:ascii="Calibri" w:eastAsia="Times New Roman" w:hAnsi="Calibri"/>
                  <w:color w:val="000000"/>
                  <w:sz w:val="22"/>
                  <w:lang w:val="es-ES" w:eastAsia="es-ES"/>
                </w:rPr>
                <w:t>Argentina</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44.8</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85</w:t>
            </w:r>
          </w:p>
        </w:tc>
        <w:tc>
          <w:tcPr>
            <w:tcW w:w="2858" w:type="dxa"/>
            <w:shd w:val="clear" w:color="auto" w:fill="auto"/>
            <w:noWrap/>
          </w:tcPr>
          <w:p w:rsidR="005A5E7D" w:rsidRPr="00AA0831" w:rsidRDefault="008964A4" w:rsidP="005A5E7D">
            <w:pPr>
              <w:spacing w:line="240" w:lineRule="auto"/>
              <w:ind w:firstLine="0"/>
              <w:jc w:val="left"/>
              <w:rPr>
                <w:rFonts w:ascii="Calibri" w:eastAsia="Times New Roman" w:hAnsi="Calibri"/>
                <w:color w:val="000000"/>
                <w:sz w:val="22"/>
                <w:lang w:val="es-ES" w:eastAsia="es-ES"/>
              </w:rPr>
            </w:pPr>
            <w:hyperlink r:id="rId113" w:history="1">
              <w:r w:rsidR="005A5E7D" w:rsidRPr="00AA0831">
                <w:rPr>
                  <w:rFonts w:ascii="Calibri" w:eastAsia="Times New Roman" w:hAnsi="Calibri"/>
                  <w:color w:val="000000"/>
                  <w:sz w:val="22"/>
                  <w:lang w:val="es-ES" w:eastAsia="es-ES"/>
                </w:rPr>
                <w:t>Repúblic</w:t>
              </w:r>
            </w:hyperlink>
            <w:r w:rsidR="005A5E7D" w:rsidRPr="00AA0831">
              <w:rPr>
                <w:rFonts w:ascii="Calibri" w:eastAsia="Times New Roman" w:hAnsi="Calibri"/>
                <w:color w:val="000000"/>
                <w:sz w:val="22"/>
                <w:lang w:val="es-ES" w:eastAsia="es-ES"/>
              </w:rPr>
              <w:t>a Dominicana</w:t>
            </w:r>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41.5</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104</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14" w:history="1">
              <w:r w:rsidR="005A5E7D" w:rsidRPr="00AA0831">
                <w:rPr>
                  <w:rFonts w:ascii="Calibri" w:eastAsia="Times New Roman" w:hAnsi="Calibri"/>
                  <w:color w:val="000000"/>
                  <w:sz w:val="22"/>
                  <w:lang w:val="es-ES" w:eastAsia="es-ES"/>
                </w:rPr>
                <w:t>México</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35.8</w:t>
            </w:r>
          </w:p>
        </w:tc>
      </w:tr>
      <w:tr w:rsidR="005A5E7D" w:rsidRPr="006C2E2C">
        <w:trPr>
          <w:gridAfter w:val="1"/>
          <w:wAfter w:w="630" w:type="dxa"/>
          <w:trHeight w:val="300"/>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121</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15" w:history="1">
              <w:r w:rsidR="005A5E7D" w:rsidRPr="00AA0831">
                <w:rPr>
                  <w:rFonts w:ascii="Calibri" w:eastAsia="Times New Roman" w:hAnsi="Calibri"/>
                  <w:color w:val="000000"/>
                  <w:sz w:val="22"/>
                  <w:lang w:val="es-ES" w:eastAsia="es-ES"/>
                </w:rPr>
                <w:t>Venezuela</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26.8</w:t>
            </w:r>
          </w:p>
        </w:tc>
      </w:tr>
      <w:tr w:rsidR="005A5E7D" w:rsidRPr="006C2E2C">
        <w:trPr>
          <w:gridAfter w:val="1"/>
          <w:wAfter w:w="630" w:type="dxa"/>
          <w:trHeight w:val="315"/>
          <w:jc w:val="center"/>
        </w:trPr>
        <w:tc>
          <w:tcPr>
            <w:tcW w:w="1142" w:type="dxa"/>
            <w:shd w:val="clear" w:color="auto" w:fill="auto"/>
            <w:noWrap/>
          </w:tcPr>
          <w:p w:rsidR="005A5E7D" w:rsidRPr="00AA0831" w:rsidRDefault="005A5E7D" w:rsidP="005A5E7D">
            <w:pPr>
              <w:spacing w:line="240" w:lineRule="auto"/>
              <w:ind w:firstLine="0"/>
              <w:jc w:val="center"/>
              <w:rPr>
                <w:rFonts w:ascii="Calibri" w:hAnsi="Calibri"/>
                <w:color w:val="000000"/>
                <w:sz w:val="22"/>
                <w:lang w:val="es-ES" w:eastAsia="es-ES"/>
              </w:rPr>
            </w:pPr>
            <w:r w:rsidRPr="00AA0831">
              <w:rPr>
                <w:rFonts w:ascii="Calibri" w:eastAsia="Times New Roman" w:hAnsi="Calibri"/>
                <w:color w:val="000000"/>
                <w:sz w:val="22"/>
                <w:lang w:val="es-ES" w:eastAsia="es-ES"/>
              </w:rPr>
              <w:t>141</w:t>
            </w:r>
          </w:p>
        </w:tc>
        <w:tc>
          <w:tcPr>
            <w:tcW w:w="2858" w:type="dxa"/>
            <w:shd w:val="clear" w:color="auto" w:fill="auto"/>
            <w:noWrap/>
          </w:tcPr>
          <w:p w:rsidR="005A5E7D" w:rsidRPr="00AA0831" w:rsidRDefault="008964A4" w:rsidP="005A5E7D">
            <w:pPr>
              <w:spacing w:line="240" w:lineRule="auto"/>
              <w:ind w:firstLine="0"/>
              <w:jc w:val="left"/>
              <w:rPr>
                <w:rFonts w:ascii="Calibri" w:hAnsi="Calibri"/>
                <w:color w:val="000000"/>
                <w:sz w:val="22"/>
                <w:lang w:val="es-ES" w:eastAsia="es-ES"/>
              </w:rPr>
            </w:pPr>
            <w:hyperlink r:id="rId116" w:history="1">
              <w:r w:rsidR="005A5E7D" w:rsidRPr="00AA0831">
                <w:rPr>
                  <w:rFonts w:ascii="Calibri" w:eastAsia="Times New Roman" w:hAnsi="Calibri"/>
                  <w:color w:val="000000"/>
                  <w:sz w:val="22"/>
                  <w:lang w:val="es-ES" w:eastAsia="es-ES"/>
                </w:rPr>
                <w:t>Chile</w:t>
              </w:r>
            </w:hyperlink>
          </w:p>
        </w:tc>
        <w:tc>
          <w:tcPr>
            <w:tcW w:w="1169" w:type="dxa"/>
            <w:shd w:val="clear" w:color="auto" w:fill="auto"/>
            <w:noWrap/>
          </w:tcPr>
          <w:p w:rsidR="005A5E7D" w:rsidRPr="00AA0831" w:rsidRDefault="005A5E7D" w:rsidP="005A5E7D">
            <w:pPr>
              <w:spacing w:line="240" w:lineRule="auto"/>
              <w:ind w:firstLine="0"/>
              <w:jc w:val="right"/>
              <w:rPr>
                <w:rFonts w:ascii="Calibri" w:hAnsi="Calibri"/>
                <w:color w:val="000000"/>
                <w:sz w:val="22"/>
                <w:lang w:val="es-ES" w:eastAsia="es-ES"/>
              </w:rPr>
            </w:pPr>
            <w:r w:rsidRPr="00AA0831">
              <w:rPr>
                <w:rFonts w:ascii="Calibri" w:eastAsia="Times New Roman" w:hAnsi="Calibri"/>
                <w:color w:val="000000"/>
                <w:sz w:val="22"/>
                <w:lang w:val="es-ES" w:eastAsia="es-ES"/>
              </w:rPr>
              <w:t>11.9</w:t>
            </w:r>
          </w:p>
        </w:tc>
      </w:tr>
      <w:tr w:rsidR="005A5E7D" w:rsidRPr="00246118">
        <w:trPr>
          <w:trHeight w:val="420"/>
          <w:jc w:val="center"/>
        </w:trPr>
        <w:tc>
          <w:tcPr>
            <w:tcW w:w="5799" w:type="dxa"/>
            <w:gridSpan w:val="4"/>
            <w:shd w:val="clear" w:color="auto" w:fill="auto"/>
            <w:noWrap/>
          </w:tcPr>
          <w:p w:rsidR="005A5E7D" w:rsidRPr="00AA0831" w:rsidRDefault="005A5E7D" w:rsidP="005A5E7D">
            <w:pPr>
              <w:spacing w:before="120" w:line="240" w:lineRule="auto"/>
              <w:ind w:firstLine="0"/>
              <w:jc w:val="left"/>
              <w:rPr>
                <w:rFonts w:ascii="Calibri" w:hAnsi="Calibri"/>
                <w:color w:val="000000"/>
                <w:sz w:val="22"/>
                <w:lang w:val="en-US" w:eastAsia="es-ES"/>
              </w:rPr>
            </w:pPr>
            <w:r w:rsidRPr="00AA0831">
              <w:rPr>
                <w:rFonts w:ascii="Calibri" w:eastAsia="Times New Roman" w:hAnsi="Calibri"/>
                <w:b/>
                <w:color w:val="000000"/>
                <w:sz w:val="22"/>
                <w:lang w:val="en-US" w:eastAsia="es-ES"/>
              </w:rPr>
              <w:t>Fuente:</w:t>
            </w:r>
            <w:r w:rsidRPr="00AA0831">
              <w:rPr>
                <w:rFonts w:ascii="Calibri" w:eastAsia="Times New Roman" w:hAnsi="Calibri"/>
                <w:color w:val="000000"/>
                <w:sz w:val="22"/>
                <w:lang w:val="en-US" w:eastAsia="es-ES"/>
              </w:rPr>
              <w:t xml:space="preserve"> CIA, </w:t>
            </w:r>
            <w:r w:rsidRPr="00AA0831">
              <w:rPr>
                <w:rFonts w:ascii="Calibri" w:eastAsia="Times New Roman" w:hAnsi="Calibri"/>
                <w:i/>
                <w:color w:val="000000"/>
                <w:sz w:val="22"/>
                <w:lang w:val="en-US" w:eastAsia="es-ES"/>
              </w:rPr>
              <w:t>The World Factbook</w:t>
            </w:r>
            <w:r w:rsidRPr="00AA0831">
              <w:rPr>
                <w:rFonts w:ascii="Calibri" w:eastAsia="Times New Roman" w:hAnsi="Calibri"/>
                <w:color w:val="000000"/>
                <w:sz w:val="22"/>
                <w:lang w:val="en-US" w:eastAsia="es-ES"/>
              </w:rPr>
              <w:t>, 2012 est.</w:t>
            </w:r>
          </w:p>
        </w:tc>
      </w:tr>
    </w:tbl>
    <w:p w:rsidR="005A5E7D" w:rsidRPr="005C1B4A" w:rsidRDefault="005A5E7D" w:rsidP="005A5E7D">
      <w:pPr>
        <w:pStyle w:val="Heading2"/>
        <w:numPr>
          <w:ilvl w:val="0"/>
          <w:numId w:val="0"/>
        </w:numPr>
        <w:spacing w:line="360" w:lineRule="auto"/>
        <w:ind w:left="360"/>
        <w:rPr>
          <w:rFonts w:eastAsia="+mn-ea"/>
          <w:lang w:val="en-US" w:eastAsia="ar-SA"/>
        </w:rPr>
      </w:pPr>
    </w:p>
    <w:p w:rsidR="005A5E7D" w:rsidRPr="003A21B9" w:rsidRDefault="005A5E7D" w:rsidP="005A5E7D">
      <w:pPr>
        <w:pStyle w:val="Heading2"/>
        <w:ind w:left="426" w:hanging="426"/>
        <w:rPr>
          <w:rFonts w:eastAsia="+mn-ea"/>
          <w:lang w:eastAsia="ar-SA"/>
        </w:rPr>
      </w:pPr>
      <w:bookmarkStart w:id="60" w:name="_Toc384769754"/>
      <w:r>
        <w:rPr>
          <w:rFonts w:eastAsia="+mn-ea"/>
          <w:lang w:eastAsia="ar-SA"/>
        </w:rPr>
        <w:t>Comparación de las partidas del gasto p</w:t>
      </w:r>
      <w:r w:rsidRPr="003A21B9">
        <w:rPr>
          <w:rFonts w:eastAsia="+mn-ea"/>
          <w:lang w:eastAsia="ar-SA"/>
        </w:rPr>
        <w:t>úblico</w:t>
      </w:r>
      <w:bookmarkEnd w:id="60"/>
    </w:p>
    <w:p w:rsidR="005A5E7D" w:rsidRDefault="005A5E7D" w:rsidP="005A5E7D">
      <w:pPr>
        <w:spacing w:line="240" w:lineRule="auto"/>
        <w:rPr>
          <w:lang w:eastAsia="ar-SA"/>
        </w:rPr>
      </w:pPr>
    </w:p>
    <w:p w:rsidR="005A5E7D" w:rsidRPr="003A21B9" w:rsidRDefault="005A5E7D" w:rsidP="005A5E7D">
      <w:pPr>
        <w:rPr>
          <w:lang w:eastAsia="ar-SA"/>
        </w:rPr>
      </w:pPr>
      <w:r w:rsidRPr="003A21B9">
        <w:rPr>
          <w:lang w:eastAsia="ar-SA"/>
        </w:rPr>
        <w:t>La recomposición de los recursos fiscales también traería consigo una re</w:t>
      </w:r>
      <w:r>
        <w:rPr>
          <w:lang w:eastAsia="ar-SA"/>
        </w:rPr>
        <w:t>e</w:t>
      </w:r>
      <w:r w:rsidRPr="003A21B9">
        <w:rPr>
          <w:lang w:eastAsia="ar-SA"/>
        </w:rPr>
        <w:t xml:space="preserve">structuración de los gastos del </w:t>
      </w:r>
      <w:r>
        <w:rPr>
          <w:lang w:eastAsia="ar-SA"/>
        </w:rPr>
        <w:t xml:space="preserve">Gobierno </w:t>
      </w:r>
      <w:r w:rsidRPr="003A21B9">
        <w:rPr>
          <w:lang w:eastAsia="ar-SA"/>
        </w:rPr>
        <w:t>de Puerto Rico.</w:t>
      </w:r>
      <w:r>
        <w:rPr>
          <w:lang w:eastAsia="ar-SA"/>
        </w:rPr>
        <w:t xml:space="preserve"> </w:t>
      </w:r>
      <w:r w:rsidRPr="003A21B9">
        <w:rPr>
          <w:lang w:eastAsia="ar-SA"/>
        </w:rPr>
        <w:t>A través de un análisis de estática comparativa se contrasta</w:t>
      </w:r>
      <w:r>
        <w:rPr>
          <w:lang w:eastAsia="ar-SA"/>
        </w:rPr>
        <w:t>ro</w:t>
      </w:r>
      <w:r w:rsidRPr="003A21B9">
        <w:rPr>
          <w:lang w:eastAsia="ar-SA"/>
        </w:rPr>
        <w:t xml:space="preserve">n los gastos del </w:t>
      </w:r>
      <w:r>
        <w:rPr>
          <w:lang w:eastAsia="ar-SA"/>
        </w:rPr>
        <w:t>Gobierno</w:t>
      </w:r>
      <w:r w:rsidRPr="003A21B9">
        <w:rPr>
          <w:lang w:eastAsia="ar-SA"/>
        </w:rPr>
        <w:t xml:space="preserve"> </w:t>
      </w:r>
      <w:r>
        <w:rPr>
          <w:lang w:eastAsia="ar-SA"/>
        </w:rPr>
        <w:t>de la Isla</w:t>
      </w:r>
      <w:r w:rsidRPr="003A21B9">
        <w:rPr>
          <w:lang w:eastAsia="ar-SA"/>
        </w:rPr>
        <w:t xml:space="preserve"> con los de los gobiernos estatales en Estados Unidos.</w:t>
      </w:r>
      <w:r>
        <w:rPr>
          <w:lang w:eastAsia="ar-SA"/>
        </w:rPr>
        <w:t xml:space="preserve"> </w:t>
      </w:r>
      <w:r w:rsidRPr="003A21B9">
        <w:rPr>
          <w:lang w:eastAsia="ar-SA"/>
        </w:rPr>
        <w:t>Se utilizan los datos del año 2011, ya que es el año más reciente con información de gastos gubernamentales</w:t>
      </w:r>
      <w:r>
        <w:rPr>
          <w:lang w:eastAsia="ar-SA"/>
        </w:rPr>
        <w:t xml:space="preserve"> </w:t>
      </w:r>
      <w:r w:rsidRPr="003A21B9">
        <w:rPr>
          <w:lang w:eastAsia="ar-SA"/>
        </w:rPr>
        <w:t>tanto para Puerto Rico como para los estados.</w:t>
      </w:r>
      <w:r>
        <w:rPr>
          <w:lang w:eastAsia="ar-SA"/>
        </w:rPr>
        <w:t xml:space="preserve"> </w:t>
      </w:r>
      <w:r w:rsidRPr="003A21B9">
        <w:rPr>
          <w:lang w:eastAsia="ar-SA"/>
        </w:rPr>
        <w:t xml:space="preserve">La importancia relativa de los diversos renglones de gastos del </w:t>
      </w:r>
      <w:r>
        <w:rPr>
          <w:lang w:eastAsia="ar-SA"/>
        </w:rPr>
        <w:t>Gobierno</w:t>
      </w:r>
      <w:r w:rsidRPr="003A21B9">
        <w:rPr>
          <w:lang w:eastAsia="ar-SA"/>
        </w:rPr>
        <w:t xml:space="preserve"> de Puerto Rico se compar</w:t>
      </w:r>
      <w:r>
        <w:rPr>
          <w:lang w:eastAsia="ar-SA"/>
        </w:rPr>
        <w:t>ó</w:t>
      </w:r>
      <w:r w:rsidRPr="003A21B9">
        <w:rPr>
          <w:lang w:eastAsia="ar-SA"/>
        </w:rPr>
        <w:t xml:space="preserve"> con los gastos de</w:t>
      </w:r>
      <w:r>
        <w:rPr>
          <w:lang w:eastAsia="ar-SA"/>
        </w:rPr>
        <w:t xml:space="preserve"> </w:t>
      </w:r>
      <w:r w:rsidRPr="003A21B9">
        <w:rPr>
          <w:lang w:eastAsia="ar-SA"/>
        </w:rPr>
        <w:t xml:space="preserve">los estados de Nuevo México, Alabama, </w:t>
      </w:r>
      <w:r>
        <w:rPr>
          <w:lang w:eastAsia="ar-SA"/>
        </w:rPr>
        <w:t>Misisipi</w:t>
      </w:r>
      <w:r w:rsidRPr="003A21B9">
        <w:rPr>
          <w:lang w:eastAsia="ar-SA"/>
        </w:rPr>
        <w:t xml:space="preserve"> y </w:t>
      </w:r>
      <w:r>
        <w:rPr>
          <w:lang w:eastAsia="ar-SA"/>
        </w:rPr>
        <w:t>Hawái</w:t>
      </w:r>
      <w:r w:rsidRPr="003A21B9">
        <w:rPr>
          <w:lang w:eastAsia="ar-SA"/>
        </w:rPr>
        <w:t>, así como con el promedio para todos los estados.</w:t>
      </w:r>
    </w:p>
    <w:p w:rsidR="005A5E7D" w:rsidRDefault="005A5E7D" w:rsidP="005A5E7D">
      <w:pPr>
        <w:rPr>
          <w:i/>
          <w:lang w:eastAsia="ar-SA"/>
        </w:rPr>
      </w:pPr>
      <w:r w:rsidRPr="003A21B9">
        <w:rPr>
          <w:lang w:eastAsia="ar-SA"/>
        </w:rPr>
        <w:t>L</w:t>
      </w:r>
      <w:r>
        <w:rPr>
          <w:lang w:eastAsia="ar-SA"/>
        </w:rPr>
        <w:t xml:space="preserve">os datos </w:t>
      </w:r>
      <w:r w:rsidRPr="003A21B9">
        <w:rPr>
          <w:lang w:eastAsia="ar-SA"/>
        </w:rPr>
        <w:t>para los gobiernos estatales se obtuv</w:t>
      </w:r>
      <w:r>
        <w:rPr>
          <w:lang w:eastAsia="ar-SA"/>
        </w:rPr>
        <w:t>ieron</w:t>
      </w:r>
      <w:r w:rsidRPr="003A21B9">
        <w:rPr>
          <w:lang w:eastAsia="ar-SA"/>
        </w:rPr>
        <w:t xml:space="preserve"> de las tablas del Resumen Anual del </w:t>
      </w:r>
      <w:r w:rsidRPr="003A21B9">
        <w:rPr>
          <w:i/>
          <w:lang w:eastAsia="ar-SA"/>
        </w:rPr>
        <w:t>State Government Finances</w:t>
      </w:r>
      <w:r w:rsidRPr="003A21B9">
        <w:rPr>
          <w:lang w:eastAsia="ar-SA"/>
        </w:rPr>
        <w:t xml:space="preserve"> del Negociado del Censo Federal</w:t>
      </w:r>
      <w:r w:rsidRPr="003A21B9">
        <w:rPr>
          <w:noProof/>
          <w:lang w:eastAsia="ar-SA"/>
        </w:rPr>
        <w:t xml:space="preserve"> (</w:t>
      </w:r>
      <w:r w:rsidRPr="003A21B9">
        <w:rPr>
          <w:i/>
          <w:noProof/>
          <w:lang w:eastAsia="ar-SA"/>
        </w:rPr>
        <w:t>US Census Bureau, US Department of Commerce, 2013</w:t>
      </w:r>
      <w:r w:rsidRPr="003A21B9">
        <w:rPr>
          <w:noProof/>
          <w:lang w:eastAsia="ar-SA"/>
        </w:rPr>
        <w:t>)</w:t>
      </w:r>
      <w:r w:rsidRPr="003A21B9">
        <w:rPr>
          <w:lang w:eastAsia="ar-SA"/>
        </w:rPr>
        <w:t>.</w:t>
      </w:r>
      <w:r>
        <w:rPr>
          <w:lang w:eastAsia="ar-SA"/>
        </w:rPr>
        <w:t xml:space="preserve"> </w:t>
      </w:r>
      <w:r w:rsidRPr="003A21B9">
        <w:rPr>
          <w:lang w:eastAsia="ar-SA"/>
        </w:rPr>
        <w:t>Se incluyen todas las partidas englobadas dentro de los gastos directos (</w:t>
      </w:r>
      <w:r w:rsidRPr="003A21B9">
        <w:rPr>
          <w:i/>
          <w:lang w:eastAsia="ar-SA"/>
        </w:rPr>
        <w:t>Direct Expenditure by Function).</w:t>
      </w:r>
    </w:p>
    <w:p w:rsidR="005A5E7D" w:rsidRPr="003A21B9" w:rsidRDefault="005A5E7D" w:rsidP="005A5E7D">
      <w:pPr>
        <w:rPr>
          <w:lang w:eastAsia="ar-SA"/>
        </w:rPr>
      </w:pPr>
      <w:r w:rsidRPr="003A21B9">
        <w:rPr>
          <w:lang w:eastAsia="ar-SA"/>
        </w:rPr>
        <w:t>Los datos de gasto</w:t>
      </w:r>
      <w:r>
        <w:rPr>
          <w:lang w:eastAsia="ar-SA"/>
        </w:rPr>
        <w:t>s</w:t>
      </w:r>
      <w:r w:rsidRPr="003A21B9">
        <w:rPr>
          <w:lang w:eastAsia="ar-SA"/>
        </w:rPr>
        <w:t xml:space="preserve"> del </w:t>
      </w:r>
      <w:r>
        <w:rPr>
          <w:lang w:eastAsia="ar-SA"/>
        </w:rPr>
        <w:t>Gobierno</w:t>
      </w:r>
      <w:r w:rsidRPr="003A21B9">
        <w:rPr>
          <w:lang w:eastAsia="ar-SA"/>
        </w:rPr>
        <w:t xml:space="preserve"> de</w:t>
      </w:r>
      <w:r>
        <w:rPr>
          <w:lang w:eastAsia="ar-SA"/>
        </w:rPr>
        <w:t xml:space="preserve"> Puerto Rico</w:t>
      </w:r>
      <w:r w:rsidRPr="003A21B9">
        <w:rPr>
          <w:lang w:eastAsia="ar-SA"/>
        </w:rPr>
        <w:t xml:space="preserve"> se obtuvieron del presupuesto consolidado del Fondo General por Agencia </w:t>
      </w:r>
      <w:r w:rsidRPr="003A21B9">
        <w:rPr>
          <w:noProof/>
          <w:lang w:eastAsia="ar-SA"/>
        </w:rPr>
        <w:t>(Oficina de Gerencia y Presupuesto, 2013)</w:t>
      </w:r>
      <w:r w:rsidRPr="003A21B9">
        <w:rPr>
          <w:lang w:eastAsia="ar-SA"/>
        </w:rPr>
        <w:t>.</w:t>
      </w:r>
      <w:r>
        <w:rPr>
          <w:lang w:eastAsia="ar-SA"/>
        </w:rPr>
        <w:t xml:space="preserve"> </w:t>
      </w:r>
      <w:r w:rsidRPr="003A21B9">
        <w:rPr>
          <w:lang w:eastAsia="ar-SA"/>
        </w:rPr>
        <w:t xml:space="preserve">Las partidas de gastos </w:t>
      </w:r>
      <w:r>
        <w:rPr>
          <w:lang w:eastAsia="ar-SA"/>
        </w:rPr>
        <w:t>se</w:t>
      </w:r>
      <w:r w:rsidRPr="003A21B9">
        <w:rPr>
          <w:lang w:eastAsia="ar-SA"/>
        </w:rPr>
        <w:t xml:space="preserve"> clasifica</w:t>
      </w:r>
      <w:r>
        <w:rPr>
          <w:lang w:eastAsia="ar-SA"/>
        </w:rPr>
        <w:t>ron por las autoras de acuerdo con</w:t>
      </w:r>
      <w:r w:rsidRPr="003A21B9">
        <w:rPr>
          <w:lang w:eastAsia="ar-SA"/>
        </w:rPr>
        <w:t xml:space="preserve"> las siguientes categorías: Desarrollo Económico, Educación, Ambiental y Recreación y Deportes, Administración Gubernamental, Gastos Generales, Salud, Vivienda, Intereses Deuda P</w:t>
      </w:r>
      <w:r>
        <w:rPr>
          <w:lang w:eastAsia="ar-SA"/>
        </w:rPr>
        <w:t>ú</w:t>
      </w:r>
      <w:r w:rsidRPr="003A21B9">
        <w:rPr>
          <w:lang w:eastAsia="ar-SA"/>
        </w:rPr>
        <w:t>blica, Seguridad Pública, Sistemas d</w:t>
      </w:r>
      <w:r>
        <w:rPr>
          <w:lang w:eastAsia="ar-SA"/>
        </w:rPr>
        <w:t>e Retiro, Servicios Sociales, y</w:t>
      </w:r>
      <w:r w:rsidRPr="003A21B9">
        <w:rPr>
          <w:lang w:eastAsia="ar-SA"/>
        </w:rPr>
        <w:t xml:space="preserve"> Transportación.</w:t>
      </w:r>
      <w:r>
        <w:rPr>
          <w:lang w:eastAsia="ar-SA"/>
        </w:rPr>
        <w:t xml:space="preserve"> </w:t>
      </w:r>
      <w:r w:rsidRPr="003A21B9">
        <w:rPr>
          <w:lang w:eastAsia="ar-SA"/>
        </w:rPr>
        <w:t xml:space="preserve">Se advierte que </w:t>
      </w:r>
      <w:r>
        <w:rPr>
          <w:lang w:eastAsia="ar-SA"/>
        </w:rPr>
        <w:t>los datos</w:t>
      </w:r>
      <w:r w:rsidRPr="003A21B9">
        <w:rPr>
          <w:lang w:eastAsia="ar-SA"/>
        </w:rPr>
        <w:t xml:space="preserve"> de gastos para Puerto Rico proviene de una fuente distinta a la de los estados.</w:t>
      </w:r>
      <w:r>
        <w:rPr>
          <w:lang w:eastAsia="ar-SA"/>
        </w:rPr>
        <w:t xml:space="preserve"> </w:t>
      </w:r>
      <w:r w:rsidRPr="003A21B9">
        <w:rPr>
          <w:lang w:eastAsia="ar-SA"/>
        </w:rPr>
        <w:t>Los datos de gasto</w:t>
      </w:r>
      <w:r>
        <w:rPr>
          <w:lang w:eastAsia="ar-SA"/>
        </w:rPr>
        <w:t>s</w:t>
      </w:r>
      <w:r w:rsidRPr="003A21B9">
        <w:rPr>
          <w:lang w:eastAsia="ar-SA"/>
        </w:rPr>
        <w:t xml:space="preserve"> de los estados se obtuvieron desglosados por función, mientras que los gastos para Puerto Rico estaban desglosados por agencias.</w:t>
      </w:r>
      <w:r>
        <w:rPr>
          <w:lang w:eastAsia="ar-SA"/>
        </w:rPr>
        <w:t xml:space="preserve"> </w:t>
      </w:r>
      <w:r w:rsidRPr="003A21B9">
        <w:rPr>
          <w:lang w:eastAsia="ar-SA"/>
        </w:rPr>
        <w:t>Por lo tanto, las autoras adjudicaron una función a cada agencia para poder comparar los datos, lo que p</w:t>
      </w:r>
      <w:r>
        <w:rPr>
          <w:lang w:eastAsia="ar-SA"/>
        </w:rPr>
        <w:t>odrí</w:t>
      </w:r>
      <w:r w:rsidRPr="003A21B9">
        <w:rPr>
          <w:lang w:eastAsia="ar-SA"/>
        </w:rPr>
        <w:t xml:space="preserve">a afectar </w:t>
      </w:r>
      <w:r>
        <w:rPr>
          <w:lang w:eastAsia="ar-SA"/>
        </w:rPr>
        <w:t>su</w:t>
      </w:r>
      <w:r w:rsidRPr="003A21B9">
        <w:rPr>
          <w:lang w:eastAsia="ar-SA"/>
        </w:rPr>
        <w:t xml:space="preserve"> comparabilidad.</w:t>
      </w:r>
      <w:r>
        <w:rPr>
          <w:lang w:eastAsia="ar-SA"/>
        </w:rPr>
        <w:t xml:space="preserve"> </w:t>
      </w:r>
    </w:p>
    <w:p w:rsidR="005A5E7D" w:rsidRPr="003A21B9" w:rsidRDefault="005A5E7D" w:rsidP="005A5E7D">
      <w:pPr>
        <w:rPr>
          <w:lang w:eastAsia="ar-SA"/>
        </w:rPr>
      </w:pPr>
      <w:r w:rsidRPr="003A21B9">
        <w:rPr>
          <w:lang w:eastAsia="ar-SA"/>
        </w:rPr>
        <w:t xml:space="preserve">La </w:t>
      </w:r>
      <w:r w:rsidRPr="003A21B9">
        <w:rPr>
          <w:b/>
          <w:lang w:eastAsia="ar-SA"/>
        </w:rPr>
        <w:t>Gráfica 10</w:t>
      </w:r>
      <w:r w:rsidRPr="003A21B9">
        <w:rPr>
          <w:lang w:eastAsia="ar-SA"/>
        </w:rPr>
        <w:t xml:space="preserve"> compara el gasto público del </w:t>
      </w:r>
      <w:r>
        <w:rPr>
          <w:lang w:eastAsia="ar-SA"/>
        </w:rPr>
        <w:t>Gobierno de Puerto Rico</w:t>
      </w:r>
      <w:r w:rsidRPr="003A21B9">
        <w:rPr>
          <w:lang w:eastAsia="ar-SA"/>
        </w:rPr>
        <w:t xml:space="preserve"> con la distribución del gasto para el promedio de los estados.</w:t>
      </w:r>
      <w:r>
        <w:rPr>
          <w:lang w:eastAsia="ar-SA"/>
        </w:rPr>
        <w:t xml:space="preserve"> </w:t>
      </w:r>
      <w:r w:rsidRPr="003A21B9">
        <w:rPr>
          <w:lang w:eastAsia="ar-SA"/>
        </w:rPr>
        <w:t>El presupuesto gubernamental de Puerto Rico se concentra en cuatro áreas fundamentales: Educación, Salud, Administración Gubernamental y Seguridad Pública.</w:t>
      </w:r>
      <w:r>
        <w:rPr>
          <w:lang w:eastAsia="ar-SA"/>
        </w:rPr>
        <w:t xml:space="preserve"> P</w:t>
      </w:r>
      <w:r w:rsidRPr="003A21B9">
        <w:rPr>
          <w:lang w:eastAsia="ar-SA"/>
        </w:rPr>
        <w:t>or su parte</w:t>
      </w:r>
      <w:r>
        <w:rPr>
          <w:lang w:eastAsia="ar-SA"/>
        </w:rPr>
        <w:t>,</w:t>
      </w:r>
      <w:r w:rsidRPr="003A21B9">
        <w:rPr>
          <w:lang w:eastAsia="ar-SA"/>
        </w:rPr>
        <w:t xml:space="preserve"> </w:t>
      </w:r>
      <w:r>
        <w:rPr>
          <w:lang w:eastAsia="ar-SA"/>
        </w:rPr>
        <w:t xml:space="preserve">los estados </w:t>
      </w:r>
      <w:r w:rsidRPr="003A21B9">
        <w:rPr>
          <w:lang w:eastAsia="ar-SA"/>
        </w:rPr>
        <w:t>concentran su gasto en: Servicios Sociales, Educación y Sistemas de Retiro. Llama la atención la diferencia sustancial en la función de Servicios Sociales.</w:t>
      </w:r>
      <w:r>
        <w:rPr>
          <w:lang w:eastAsia="ar-SA"/>
        </w:rPr>
        <w:t xml:space="preserve"> </w:t>
      </w:r>
      <w:r w:rsidRPr="003A21B9">
        <w:rPr>
          <w:lang w:eastAsia="ar-SA"/>
        </w:rPr>
        <w:t>En E</w:t>
      </w:r>
      <w:r>
        <w:rPr>
          <w:lang w:eastAsia="ar-SA"/>
        </w:rPr>
        <w:t>stados Unidos</w:t>
      </w:r>
      <w:r w:rsidRPr="003A21B9">
        <w:rPr>
          <w:lang w:eastAsia="ar-SA"/>
        </w:rPr>
        <w:t>, la partida de bienestar social representa el 75% de los Servicios Sociales de los estados y el 29% del gasto total.</w:t>
      </w:r>
      <w:r>
        <w:rPr>
          <w:lang w:eastAsia="ar-SA"/>
        </w:rPr>
        <w:t xml:space="preserve"> </w:t>
      </w:r>
      <w:r w:rsidRPr="003A21B9">
        <w:rPr>
          <w:lang w:eastAsia="ar-SA"/>
        </w:rPr>
        <w:t xml:space="preserve">Un aspecto fundamental que abona a esta diferencia es el rol de los gobiernos estatales en la administración del programa </w:t>
      </w:r>
      <w:r>
        <w:rPr>
          <w:lang w:eastAsia="ar-SA"/>
        </w:rPr>
        <w:t xml:space="preserve">Medicaid, que </w:t>
      </w:r>
      <w:r w:rsidRPr="003A21B9">
        <w:rPr>
          <w:lang w:eastAsia="ar-SA"/>
        </w:rPr>
        <w:t>se incluye en la partida de gastos de bienestar social a nivel federal.</w:t>
      </w:r>
      <w:r>
        <w:rPr>
          <w:lang w:eastAsia="ar-SA"/>
        </w:rPr>
        <w:t xml:space="preserve"> </w:t>
      </w:r>
      <w:r w:rsidRPr="003A21B9">
        <w:rPr>
          <w:lang w:eastAsia="ar-SA"/>
        </w:rPr>
        <w:t>Por dicha razón, los gastos de la Administración de Servicios de Seguros de</w:t>
      </w:r>
      <w:r>
        <w:rPr>
          <w:lang w:eastAsia="ar-SA"/>
        </w:rPr>
        <w:t xml:space="preserve"> Salud en Puerto Rico s</w:t>
      </w:r>
      <w:r w:rsidRPr="003A21B9">
        <w:rPr>
          <w:lang w:eastAsia="ar-SA"/>
        </w:rPr>
        <w:t>e inclu</w:t>
      </w:r>
      <w:r>
        <w:rPr>
          <w:lang w:eastAsia="ar-SA"/>
        </w:rPr>
        <w:t>yó</w:t>
      </w:r>
      <w:r w:rsidRPr="003A21B9">
        <w:rPr>
          <w:lang w:eastAsia="ar-SA"/>
        </w:rPr>
        <w:t xml:space="preserve"> </w:t>
      </w:r>
      <w:r>
        <w:rPr>
          <w:lang w:eastAsia="ar-SA"/>
        </w:rPr>
        <w:t>también</w:t>
      </w:r>
      <w:r w:rsidRPr="003A21B9">
        <w:rPr>
          <w:lang w:eastAsia="ar-SA"/>
        </w:rPr>
        <w:t xml:space="preserve"> dentro del renglón de servicios sociales.</w:t>
      </w:r>
    </w:p>
    <w:p w:rsidR="005A5E7D" w:rsidRPr="0066249C" w:rsidRDefault="005A5E7D" w:rsidP="005A5E7D">
      <w:pPr>
        <w:tabs>
          <w:tab w:val="left" w:pos="180"/>
          <w:tab w:val="left" w:pos="360"/>
        </w:tabs>
        <w:suppressAutoHyphens/>
        <w:spacing w:line="240" w:lineRule="auto"/>
        <w:ind w:firstLine="706"/>
        <w:rPr>
          <w:rFonts w:eastAsia="+mn-ea"/>
          <w:color w:val="000000"/>
          <w:kern w:val="1"/>
          <w:sz w:val="16"/>
          <w:szCs w:val="24"/>
          <w:lang w:eastAsia="ar-SA"/>
        </w:rPr>
      </w:pPr>
    </w:p>
    <w:p w:rsidR="005A5E7D" w:rsidRPr="003A21B9" w:rsidRDefault="0095547C" w:rsidP="005A5E7D">
      <w:pPr>
        <w:tabs>
          <w:tab w:val="left" w:pos="180"/>
          <w:tab w:val="left" w:pos="360"/>
        </w:tabs>
        <w:suppressAutoHyphens/>
        <w:ind w:firstLine="706"/>
        <w:jc w:val="center"/>
        <w:rPr>
          <w:rFonts w:eastAsia="+mn-ea"/>
          <w:color w:val="000000"/>
          <w:kern w:val="1"/>
          <w:szCs w:val="24"/>
          <w:lang w:eastAsia="ar-SA"/>
        </w:rPr>
      </w:pPr>
      <w:r>
        <w:rPr>
          <w:rFonts w:eastAsia="+mn-ea"/>
          <w:noProof/>
          <w:color w:val="000000"/>
          <w:kern w:val="1"/>
          <w:szCs w:val="24"/>
          <w:lang w:val="en-US"/>
        </w:rPr>
        <w:drawing>
          <wp:inline distT="0" distB="0" distL="0" distR="0">
            <wp:extent cx="4533363" cy="3786389"/>
            <wp:effectExtent l="19050" t="0" r="19587" b="4561"/>
            <wp:docPr id="12"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87A7B" w:rsidRDefault="00587A7B" w:rsidP="005A5E7D">
      <w:pPr>
        <w:rPr>
          <w:lang w:eastAsia="ar-SA"/>
        </w:rPr>
      </w:pPr>
    </w:p>
    <w:p w:rsidR="005A5E7D" w:rsidRPr="003A21B9" w:rsidRDefault="005A5E7D" w:rsidP="005A5E7D">
      <w:pPr>
        <w:rPr>
          <w:lang w:eastAsia="ar-SA"/>
        </w:rPr>
      </w:pPr>
      <w:r w:rsidRPr="003A21B9">
        <w:rPr>
          <w:lang w:eastAsia="ar-SA"/>
        </w:rPr>
        <w:t xml:space="preserve">Como se discutió </w:t>
      </w:r>
      <w:r>
        <w:rPr>
          <w:lang w:eastAsia="ar-SA"/>
        </w:rPr>
        <w:t>en la sección B.1</w:t>
      </w:r>
      <w:r w:rsidRPr="003A21B9">
        <w:rPr>
          <w:lang w:eastAsia="ar-SA"/>
        </w:rPr>
        <w:t>, el programa más importante de transferencias federales a los gobiernos estatal</w:t>
      </w:r>
      <w:r>
        <w:rPr>
          <w:lang w:eastAsia="ar-SA"/>
        </w:rPr>
        <w:t>es es Medicaid. De acuerdo con</w:t>
      </w:r>
      <w:r w:rsidRPr="003A21B9">
        <w:rPr>
          <w:lang w:eastAsia="ar-SA"/>
        </w:rPr>
        <w:t xml:space="preserve"> los datos del </w:t>
      </w:r>
      <w:r w:rsidRPr="003A21B9">
        <w:rPr>
          <w:i/>
          <w:lang w:eastAsia="ar-SA"/>
        </w:rPr>
        <w:t>State and Local Finance Summary Report</w:t>
      </w:r>
      <w:r w:rsidRPr="003A21B9">
        <w:rPr>
          <w:lang w:eastAsia="ar-SA"/>
        </w:rPr>
        <w:t xml:space="preserve"> del 2011, el 86% de los gastos estatales en Servicios Sociales corresponde a pagos de proveedores, en su mayoría para Medicaid</w:t>
      </w:r>
      <w:r w:rsidRPr="003A21B9">
        <w:rPr>
          <w:noProof/>
          <w:lang w:eastAsia="ar-SA"/>
        </w:rPr>
        <w:t xml:space="preserve"> </w:t>
      </w:r>
      <w:r>
        <w:rPr>
          <w:noProof/>
          <w:lang w:eastAsia="ar-SA"/>
        </w:rPr>
        <w:t>(</w:t>
      </w:r>
      <w:r w:rsidRPr="0049431F">
        <w:rPr>
          <w:i/>
          <w:noProof/>
          <w:lang w:eastAsia="ar-SA"/>
        </w:rPr>
        <w:t>Government Divison Briefs</w:t>
      </w:r>
      <w:r w:rsidRPr="003A21B9">
        <w:rPr>
          <w:noProof/>
          <w:lang w:eastAsia="ar-SA"/>
        </w:rPr>
        <w:t>, 2013)</w:t>
      </w:r>
      <w:r w:rsidRPr="003A21B9">
        <w:rPr>
          <w:lang w:eastAsia="ar-SA"/>
        </w:rPr>
        <w:t>.</w:t>
      </w:r>
      <w:r>
        <w:rPr>
          <w:lang w:eastAsia="ar-SA"/>
        </w:rPr>
        <w:t xml:space="preserve"> </w:t>
      </w:r>
      <w:r w:rsidRPr="003A21B9">
        <w:rPr>
          <w:lang w:eastAsia="ar-SA"/>
        </w:rPr>
        <w:t xml:space="preserve">Un estudio del 2006 del </w:t>
      </w:r>
      <w:r w:rsidRPr="0049431F">
        <w:rPr>
          <w:i/>
          <w:lang w:eastAsia="ar-SA"/>
        </w:rPr>
        <w:t>National Poverty Center</w:t>
      </w:r>
      <w:r>
        <w:rPr>
          <w:lang w:eastAsia="ar-SA"/>
        </w:rPr>
        <w:t xml:space="preserve"> indicó</w:t>
      </w:r>
      <w:r w:rsidRPr="003A21B9">
        <w:rPr>
          <w:lang w:eastAsia="ar-SA"/>
        </w:rPr>
        <w:t xml:space="preserve"> que los gastos estatales en programas médicos han crecido más rápido que los gastos en otros programas sociales</w:t>
      </w:r>
      <w:r>
        <w:rPr>
          <w:lang w:eastAsia="ar-SA"/>
        </w:rPr>
        <w:t xml:space="preserve"> </w:t>
      </w:r>
      <w:r w:rsidRPr="003A21B9">
        <w:rPr>
          <w:lang w:eastAsia="ar-SA"/>
        </w:rPr>
        <w:t xml:space="preserve">durante los 25 años previos </w:t>
      </w:r>
      <w:r w:rsidRPr="003A21B9">
        <w:rPr>
          <w:noProof/>
          <w:lang w:eastAsia="ar-SA"/>
        </w:rPr>
        <w:t>(McGuire &amp; Merriman, 2006)</w:t>
      </w:r>
      <w:r w:rsidRPr="003A21B9">
        <w:rPr>
          <w:lang w:eastAsia="ar-SA"/>
        </w:rPr>
        <w:t>.</w:t>
      </w:r>
      <w:r>
        <w:rPr>
          <w:lang w:eastAsia="ar-SA"/>
        </w:rPr>
        <w:t xml:space="preserve"> </w:t>
      </w:r>
      <w:r w:rsidRPr="003A21B9">
        <w:rPr>
          <w:lang w:eastAsia="ar-SA"/>
        </w:rPr>
        <w:t>Los requisitos mandatorios del programa Medicaid y la gran cantidad de aportaciones federales destinados al mismo, sin duda han</w:t>
      </w:r>
      <w:r>
        <w:rPr>
          <w:lang w:eastAsia="ar-SA"/>
        </w:rPr>
        <w:t xml:space="preserve"> </w:t>
      </w:r>
      <w:r w:rsidRPr="003A21B9">
        <w:rPr>
          <w:lang w:eastAsia="ar-SA"/>
        </w:rPr>
        <w:t>moldeado el gasto gubernamental a nivel estatal.</w:t>
      </w:r>
      <w:r>
        <w:rPr>
          <w:lang w:eastAsia="ar-SA"/>
        </w:rPr>
        <w:t xml:space="preserve"> </w:t>
      </w:r>
      <w:r w:rsidRPr="003A21B9">
        <w:rPr>
          <w:lang w:eastAsia="ar-SA"/>
        </w:rPr>
        <w:t>El gasto ha sido más moderado</w:t>
      </w:r>
      <w:r>
        <w:rPr>
          <w:lang w:eastAsia="ar-SA"/>
        </w:rPr>
        <w:t xml:space="preserve"> e</w:t>
      </w:r>
      <w:r w:rsidRPr="003A21B9">
        <w:rPr>
          <w:lang w:eastAsia="ar-SA"/>
        </w:rPr>
        <w:t>n el caso de Puerto Rico, dado que su participación en el programa ha estado</w:t>
      </w:r>
      <w:r>
        <w:rPr>
          <w:lang w:eastAsia="ar-SA"/>
        </w:rPr>
        <w:t xml:space="preserve"> restringida</w:t>
      </w:r>
      <w:r w:rsidRPr="003A21B9">
        <w:rPr>
          <w:lang w:eastAsia="ar-SA"/>
        </w:rPr>
        <w:t>.</w:t>
      </w:r>
    </w:p>
    <w:p w:rsidR="005A5E7D" w:rsidRPr="003A21B9" w:rsidRDefault="005A5E7D" w:rsidP="005A5E7D">
      <w:pPr>
        <w:rPr>
          <w:lang w:eastAsia="ar-SA"/>
        </w:rPr>
      </w:pPr>
      <w:r w:rsidRPr="003A21B9">
        <w:rPr>
          <w:lang w:eastAsia="ar-SA"/>
        </w:rPr>
        <w:t>Otra diferencia importante tiene que ver con la función de Seguridad, ya que en los estados mucho de ese gasto se remite a las localidades o municipios.</w:t>
      </w:r>
      <w:r>
        <w:rPr>
          <w:lang w:eastAsia="ar-SA"/>
        </w:rPr>
        <w:t xml:space="preserve"> </w:t>
      </w:r>
      <w:r w:rsidRPr="003A21B9">
        <w:rPr>
          <w:lang w:eastAsia="ar-SA"/>
        </w:rPr>
        <w:t>Finalmente</w:t>
      </w:r>
      <w:r>
        <w:rPr>
          <w:lang w:eastAsia="ar-SA"/>
        </w:rPr>
        <w:t>,</w:t>
      </w:r>
      <w:r w:rsidRPr="003A21B9">
        <w:rPr>
          <w:lang w:eastAsia="ar-SA"/>
        </w:rPr>
        <w:t xml:space="preserve"> también vemos diferencias sustanciales en la función de Administración Gubernamental.</w:t>
      </w:r>
      <w:r>
        <w:rPr>
          <w:lang w:eastAsia="ar-SA"/>
        </w:rPr>
        <w:t xml:space="preserve"> </w:t>
      </w:r>
      <w:r w:rsidRPr="003A21B9">
        <w:rPr>
          <w:lang w:eastAsia="ar-SA"/>
        </w:rPr>
        <w:t xml:space="preserve">La información sobre gastos estatales no identifica </w:t>
      </w:r>
      <w:r>
        <w:rPr>
          <w:lang w:eastAsia="ar-SA"/>
        </w:rPr>
        <w:t xml:space="preserve">los </w:t>
      </w:r>
      <w:r w:rsidRPr="003A21B9">
        <w:rPr>
          <w:lang w:eastAsia="ar-SA"/>
        </w:rPr>
        <w:t xml:space="preserve">gastos relacionados al </w:t>
      </w:r>
      <w:r>
        <w:rPr>
          <w:lang w:eastAsia="ar-SA"/>
        </w:rPr>
        <w:t>d</w:t>
      </w:r>
      <w:r w:rsidRPr="003A21B9">
        <w:rPr>
          <w:lang w:eastAsia="ar-SA"/>
        </w:rPr>
        <w:t xml:space="preserve">esarrollo </w:t>
      </w:r>
      <w:r>
        <w:rPr>
          <w:lang w:eastAsia="ar-SA"/>
        </w:rPr>
        <w:t>e</w:t>
      </w:r>
      <w:r w:rsidRPr="003A21B9">
        <w:rPr>
          <w:lang w:eastAsia="ar-SA"/>
        </w:rPr>
        <w:t xml:space="preserve">conómico, por lo que deben estar incluidos en </w:t>
      </w:r>
      <w:r>
        <w:rPr>
          <w:lang w:eastAsia="ar-SA"/>
        </w:rPr>
        <w:t>la categoría de Gastos G</w:t>
      </w:r>
      <w:r w:rsidRPr="003A21B9">
        <w:rPr>
          <w:lang w:eastAsia="ar-SA"/>
        </w:rPr>
        <w:t>enerales.</w:t>
      </w:r>
      <w:r>
        <w:rPr>
          <w:lang w:eastAsia="ar-SA"/>
        </w:rPr>
        <w:t xml:space="preserve"> </w:t>
      </w:r>
      <w:r w:rsidRPr="003A21B9">
        <w:rPr>
          <w:lang w:eastAsia="ar-SA"/>
        </w:rPr>
        <w:t>En el caso de Puerto Rico</w:t>
      </w:r>
      <w:r>
        <w:rPr>
          <w:lang w:eastAsia="ar-SA"/>
        </w:rPr>
        <w:t>,</w:t>
      </w:r>
      <w:r w:rsidRPr="003A21B9">
        <w:rPr>
          <w:lang w:eastAsia="ar-SA"/>
        </w:rPr>
        <w:t xml:space="preserve"> el gasto en Desarrollo Económico corresponde al 1.1% del gasto total.</w:t>
      </w:r>
    </w:p>
    <w:p w:rsidR="005A5E7D" w:rsidRPr="003A21B9" w:rsidRDefault="005A5E7D" w:rsidP="005A5E7D">
      <w:pPr>
        <w:rPr>
          <w:lang w:eastAsia="ar-SA"/>
        </w:rPr>
      </w:pPr>
      <w:r w:rsidRPr="003A21B9">
        <w:rPr>
          <w:lang w:eastAsia="ar-SA"/>
        </w:rPr>
        <w:t xml:space="preserve">En las </w:t>
      </w:r>
      <w:r w:rsidRPr="003A21B9">
        <w:rPr>
          <w:b/>
          <w:lang w:eastAsia="ar-SA"/>
        </w:rPr>
        <w:t>Gráficas 11 a 14</w:t>
      </w:r>
      <w:r w:rsidRPr="003A21B9">
        <w:rPr>
          <w:color w:val="00B050"/>
          <w:lang w:eastAsia="ar-SA"/>
        </w:rPr>
        <w:t xml:space="preserve"> </w:t>
      </w:r>
      <w:r w:rsidRPr="003A21B9">
        <w:rPr>
          <w:lang w:eastAsia="ar-SA"/>
        </w:rPr>
        <w:t>se</w:t>
      </w:r>
      <w:r w:rsidRPr="003A21B9">
        <w:rPr>
          <w:color w:val="00B050"/>
          <w:lang w:eastAsia="ar-SA"/>
        </w:rPr>
        <w:t xml:space="preserve"> </w:t>
      </w:r>
      <w:r w:rsidRPr="003A21B9">
        <w:rPr>
          <w:lang w:eastAsia="ar-SA"/>
        </w:rPr>
        <w:t>hace una comparación similar, contrastando los gastos de Puerto Rico con los gastos de cuatro estados particulares.</w:t>
      </w:r>
      <w:r>
        <w:rPr>
          <w:lang w:eastAsia="ar-SA"/>
        </w:rPr>
        <w:t xml:space="preserve"> </w:t>
      </w:r>
      <w:r w:rsidRPr="003A21B9">
        <w:rPr>
          <w:lang w:eastAsia="ar-SA"/>
        </w:rPr>
        <w:t xml:space="preserve">Las comparaciones son similares, aunque en el caso de </w:t>
      </w:r>
      <w:r>
        <w:rPr>
          <w:lang w:eastAsia="ar-SA"/>
        </w:rPr>
        <w:t>Hawái</w:t>
      </w:r>
      <w:r w:rsidRPr="003A21B9">
        <w:rPr>
          <w:lang w:eastAsia="ar-SA"/>
        </w:rPr>
        <w:t xml:space="preserve"> vemos mayor similitud entre los </w:t>
      </w:r>
      <w:r>
        <w:rPr>
          <w:lang w:eastAsia="ar-SA"/>
        </w:rPr>
        <w:t>porcentaje</w:t>
      </w:r>
      <w:r w:rsidRPr="003A21B9">
        <w:rPr>
          <w:lang w:eastAsia="ar-SA"/>
        </w:rPr>
        <w:t>s de gasto que van a Educación y el Gasto General.</w:t>
      </w:r>
      <w:r>
        <w:rPr>
          <w:lang w:eastAsia="ar-SA"/>
        </w:rPr>
        <w:t xml:space="preserve"> </w:t>
      </w:r>
      <w:r w:rsidRPr="003A21B9">
        <w:rPr>
          <w:lang w:eastAsia="ar-SA"/>
        </w:rPr>
        <w:t xml:space="preserve">Igualmente, Alabama tiene un </w:t>
      </w:r>
      <w:r>
        <w:rPr>
          <w:lang w:eastAsia="ar-SA"/>
        </w:rPr>
        <w:t>porcentaje</w:t>
      </w:r>
      <w:r w:rsidRPr="003A21B9">
        <w:rPr>
          <w:lang w:eastAsia="ar-SA"/>
        </w:rPr>
        <w:t xml:space="preserve"> similar de los gastos adjudicado</w:t>
      </w:r>
      <w:r>
        <w:rPr>
          <w:lang w:eastAsia="ar-SA"/>
        </w:rPr>
        <w:t>s</w:t>
      </w:r>
      <w:r w:rsidRPr="003A21B9">
        <w:rPr>
          <w:lang w:eastAsia="ar-SA"/>
        </w:rPr>
        <w:t xml:space="preserve"> a la Educación.</w:t>
      </w:r>
    </w:p>
    <w:p w:rsidR="005A5E7D" w:rsidRPr="005B5FEE" w:rsidRDefault="005A5E7D" w:rsidP="005A5E7D">
      <w:pPr>
        <w:rPr>
          <w:lang w:val="en-US" w:eastAsia="ar-SA"/>
        </w:rPr>
      </w:pPr>
      <w:r w:rsidRPr="003A21B9">
        <w:rPr>
          <w:lang w:eastAsia="ar-SA"/>
        </w:rPr>
        <w:t>La re</w:t>
      </w:r>
      <w:r>
        <w:rPr>
          <w:lang w:eastAsia="ar-SA"/>
        </w:rPr>
        <w:t>e</w:t>
      </w:r>
      <w:r w:rsidRPr="003A21B9">
        <w:rPr>
          <w:lang w:eastAsia="ar-SA"/>
        </w:rPr>
        <w:t xml:space="preserve">structuración del gasto bajo la estadidad causaría un aumento en los gastos del programa Mi Salud, al aumentar la tasa de pareo del </w:t>
      </w:r>
      <w:r>
        <w:rPr>
          <w:lang w:eastAsia="ar-SA"/>
        </w:rPr>
        <w:t>Gobierno</w:t>
      </w:r>
      <w:r w:rsidRPr="003A21B9">
        <w:rPr>
          <w:lang w:eastAsia="ar-SA"/>
        </w:rPr>
        <w:t xml:space="preserve"> federal para el programa.</w:t>
      </w:r>
      <w:r>
        <w:rPr>
          <w:lang w:eastAsia="ar-SA"/>
        </w:rPr>
        <w:t xml:space="preserve"> </w:t>
      </w:r>
      <w:r w:rsidRPr="003A21B9">
        <w:rPr>
          <w:lang w:eastAsia="ar-SA"/>
        </w:rPr>
        <w:t xml:space="preserve">Según se evidencia en la </w:t>
      </w:r>
      <w:r w:rsidRPr="003A21B9">
        <w:rPr>
          <w:b/>
          <w:lang w:eastAsia="ar-SA"/>
        </w:rPr>
        <w:t>Tabla 1</w:t>
      </w:r>
      <w:r w:rsidRPr="003A21B9">
        <w:rPr>
          <w:lang w:eastAsia="ar-SA"/>
        </w:rPr>
        <w:t xml:space="preserve"> </w:t>
      </w:r>
      <w:r>
        <w:rPr>
          <w:lang w:eastAsia="ar-SA"/>
        </w:rPr>
        <w:t>(sección B</w:t>
      </w:r>
      <w:r w:rsidRPr="003A21B9">
        <w:rPr>
          <w:lang w:eastAsia="ar-SA"/>
        </w:rPr>
        <w:t>.1</w:t>
      </w:r>
      <w:r>
        <w:rPr>
          <w:lang w:eastAsia="ar-SA"/>
        </w:rPr>
        <w:t>)</w:t>
      </w:r>
      <w:r w:rsidRPr="003A21B9">
        <w:rPr>
          <w:lang w:eastAsia="ar-SA"/>
        </w:rPr>
        <w:t>,</w:t>
      </w:r>
      <w:r>
        <w:rPr>
          <w:lang w:eastAsia="ar-SA"/>
        </w:rPr>
        <w:t xml:space="preserve"> </w:t>
      </w:r>
      <w:r w:rsidRPr="003A21B9">
        <w:rPr>
          <w:lang w:eastAsia="ar-SA"/>
        </w:rPr>
        <w:t xml:space="preserve">el </w:t>
      </w:r>
      <w:r>
        <w:rPr>
          <w:lang w:eastAsia="ar-SA"/>
        </w:rPr>
        <w:t>Gobierno</w:t>
      </w:r>
      <w:r w:rsidRPr="003A21B9">
        <w:rPr>
          <w:lang w:eastAsia="ar-SA"/>
        </w:rPr>
        <w:t xml:space="preserve"> de Puerto Rico podría aumentar sustancialmente el gasto sin tener que aumentar la aportación estatal.</w:t>
      </w:r>
      <w:r>
        <w:rPr>
          <w:lang w:eastAsia="ar-SA"/>
        </w:rPr>
        <w:t xml:space="preserve"> </w:t>
      </w:r>
      <w:r w:rsidRPr="003A21B9">
        <w:rPr>
          <w:lang w:eastAsia="ar-SA"/>
        </w:rPr>
        <w:t xml:space="preserve">En la medida en que los gastos en salud continúen creciendo o que el </w:t>
      </w:r>
      <w:r>
        <w:rPr>
          <w:lang w:eastAsia="ar-SA"/>
        </w:rPr>
        <w:t>Gobierno</w:t>
      </w:r>
      <w:r w:rsidRPr="003A21B9">
        <w:rPr>
          <w:lang w:eastAsia="ar-SA"/>
        </w:rPr>
        <w:t xml:space="preserve"> se vea en la obligación de reducir recaudos de fuentes propias, p</w:t>
      </w:r>
      <w:r>
        <w:rPr>
          <w:lang w:eastAsia="ar-SA"/>
        </w:rPr>
        <w:t>odrí</w:t>
      </w:r>
      <w:r w:rsidRPr="003A21B9">
        <w:rPr>
          <w:lang w:eastAsia="ar-SA"/>
        </w:rPr>
        <w:t xml:space="preserve">a </w:t>
      </w:r>
      <w:r>
        <w:rPr>
          <w:lang w:eastAsia="ar-SA"/>
        </w:rPr>
        <w:t>ocurrir</w:t>
      </w:r>
      <w:r w:rsidRPr="003A21B9">
        <w:rPr>
          <w:lang w:eastAsia="ar-SA"/>
        </w:rPr>
        <w:t xml:space="preserve"> una eventual reducción</w:t>
      </w:r>
      <w:r>
        <w:rPr>
          <w:lang w:eastAsia="ar-SA"/>
        </w:rPr>
        <w:t xml:space="preserve"> en otros programas sociales. </w:t>
      </w:r>
      <w:r w:rsidRPr="003A21B9">
        <w:rPr>
          <w:lang w:eastAsia="ar-SA"/>
        </w:rPr>
        <w:t>Es de esperarse que el gasto en salud tenga prioridad para Puerto Rico</w:t>
      </w:r>
      <w:r>
        <w:rPr>
          <w:lang w:eastAsia="ar-SA"/>
        </w:rPr>
        <w:t>,</w:t>
      </w:r>
      <w:r w:rsidRPr="003A21B9">
        <w:rPr>
          <w:lang w:eastAsia="ar-SA"/>
        </w:rPr>
        <w:t xml:space="preserve"> ya que se ha demostrado que aunque los estados más pobres tienen menor capacidad para gastar en programas de bienestar, mantienen su gasto en salud subsidiados por el </w:t>
      </w:r>
      <w:r>
        <w:rPr>
          <w:lang w:eastAsia="ar-SA"/>
        </w:rPr>
        <w:t>Gobierno</w:t>
      </w:r>
      <w:r w:rsidRPr="003A21B9">
        <w:rPr>
          <w:lang w:eastAsia="ar-SA"/>
        </w:rPr>
        <w:t xml:space="preserve"> federal.</w:t>
      </w:r>
      <w:r>
        <w:rPr>
          <w:lang w:eastAsia="ar-SA"/>
        </w:rPr>
        <w:t xml:space="preserve"> </w:t>
      </w:r>
      <w:r w:rsidRPr="005B5FEE">
        <w:rPr>
          <w:noProof/>
          <w:lang w:val="en-US" w:eastAsia="ar-SA"/>
        </w:rPr>
        <w:t>(The Lewin Group; The Nelson A. Rockfeller Institute of Government, 2004)</w:t>
      </w:r>
      <w:r w:rsidRPr="005B5FEE">
        <w:rPr>
          <w:lang w:val="en-US" w:eastAsia="ar-SA"/>
        </w:rPr>
        <w:t>.</w:t>
      </w:r>
      <w:r>
        <w:rPr>
          <w:lang w:val="en-US" w:eastAsia="ar-SA"/>
        </w:rPr>
        <w:t xml:space="preserve"> </w:t>
      </w:r>
    </w:p>
    <w:p w:rsidR="005A5E7D" w:rsidRDefault="005A5E7D" w:rsidP="005A5E7D">
      <w:pPr>
        <w:rPr>
          <w:noProof/>
          <w:lang w:eastAsia="ar-SA"/>
        </w:rPr>
      </w:pPr>
      <w:r>
        <w:rPr>
          <w:lang w:eastAsia="ar-SA"/>
        </w:rPr>
        <w:t>De acuerdo con e</w:t>
      </w:r>
      <w:r w:rsidRPr="003A21B9">
        <w:rPr>
          <w:lang w:eastAsia="ar-SA"/>
        </w:rPr>
        <w:t xml:space="preserve">l informe </w:t>
      </w:r>
      <w:r>
        <w:rPr>
          <w:noProof/>
          <w:lang w:eastAsia="ar-SA"/>
        </w:rPr>
        <w:t>de la</w:t>
      </w:r>
      <w:r w:rsidRPr="003A21B9">
        <w:rPr>
          <w:noProof/>
          <w:lang w:eastAsia="ar-SA"/>
        </w:rPr>
        <w:t xml:space="preserve"> </w:t>
      </w:r>
      <w:r w:rsidRPr="0076388E">
        <w:rPr>
          <w:i/>
          <w:noProof/>
          <w:lang w:eastAsia="ar-SA"/>
        </w:rPr>
        <w:t>Government Accountability Office</w:t>
      </w:r>
      <w:r>
        <w:rPr>
          <w:noProof/>
          <w:lang w:eastAsia="ar-SA"/>
        </w:rPr>
        <w:t xml:space="preserve"> </w:t>
      </w:r>
      <w:r w:rsidRPr="003A21B9">
        <w:rPr>
          <w:noProof/>
          <w:lang w:eastAsia="ar-SA"/>
        </w:rPr>
        <w:t>(</w:t>
      </w:r>
      <w:r>
        <w:rPr>
          <w:noProof/>
          <w:lang w:eastAsia="ar-SA"/>
        </w:rPr>
        <w:t>GAO, 2012), durante los ú</w:t>
      </w:r>
      <w:r w:rsidRPr="003A21B9">
        <w:rPr>
          <w:noProof/>
          <w:lang w:eastAsia="ar-SA"/>
        </w:rPr>
        <w:t xml:space="preserve">ltimos 30 años las transferencias por concepto de Medicaid han aumentado en más del triple; </w:t>
      </w:r>
      <w:r>
        <w:rPr>
          <w:noProof/>
          <w:lang w:eastAsia="ar-SA"/>
        </w:rPr>
        <w:t>del 2.4% de los gastos  totales (</w:t>
      </w:r>
      <w:r>
        <w:rPr>
          <w:i/>
          <w:noProof/>
          <w:lang w:eastAsia="ar-SA"/>
        </w:rPr>
        <w:t>outlays</w:t>
      </w:r>
      <w:r w:rsidRPr="00654642">
        <w:rPr>
          <w:noProof/>
          <w:lang w:eastAsia="ar-SA"/>
        </w:rPr>
        <w:t>)</w:t>
      </w:r>
      <w:r>
        <w:rPr>
          <w:i/>
          <w:noProof/>
          <w:lang w:eastAsia="ar-SA"/>
        </w:rPr>
        <w:t xml:space="preserve"> </w:t>
      </w:r>
      <w:r>
        <w:rPr>
          <w:noProof/>
          <w:lang w:eastAsia="ar-SA"/>
        </w:rPr>
        <w:t xml:space="preserve">del Gobierno federal </w:t>
      </w:r>
      <w:r w:rsidRPr="003A21B9">
        <w:rPr>
          <w:noProof/>
          <w:lang w:eastAsia="ar-SA"/>
        </w:rPr>
        <w:t>en el 1980 a</w:t>
      </w:r>
      <w:r>
        <w:rPr>
          <w:noProof/>
          <w:lang w:eastAsia="ar-SA"/>
        </w:rPr>
        <w:t>l</w:t>
      </w:r>
      <w:r w:rsidRPr="003A21B9">
        <w:rPr>
          <w:noProof/>
          <w:lang w:eastAsia="ar-SA"/>
        </w:rPr>
        <w:t xml:space="preserve"> </w:t>
      </w:r>
      <w:r>
        <w:rPr>
          <w:noProof/>
          <w:lang w:eastAsia="ar-SA"/>
        </w:rPr>
        <w:t>7.6%</w:t>
      </w:r>
      <w:r w:rsidRPr="003A21B9">
        <w:rPr>
          <w:noProof/>
          <w:lang w:eastAsia="ar-SA"/>
        </w:rPr>
        <w:t xml:space="preserve"> en el 2011</w:t>
      </w:r>
      <w:r>
        <w:rPr>
          <w:noProof/>
          <w:lang w:eastAsia="ar-SA"/>
        </w:rPr>
        <w:t xml:space="preserve">. </w:t>
      </w:r>
      <w:r w:rsidRPr="003A21B9">
        <w:rPr>
          <w:noProof/>
          <w:lang w:eastAsia="ar-SA"/>
        </w:rPr>
        <w:t>No obstante, el crecimiento de las aportaciones para los programas de salud se neutralizó con una disminución de tamaño similar en las aportaciones federales para programas de transportación, educación, y desarrollo regional.</w:t>
      </w:r>
      <w:r>
        <w:rPr>
          <w:noProof/>
          <w:lang w:eastAsia="ar-SA"/>
        </w:rPr>
        <w:t xml:space="preserve"> </w:t>
      </w:r>
      <w:r w:rsidRPr="003A21B9">
        <w:rPr>
          <w:noProof/>
          <w:lang w:eastAsia="ar-SA"/>
        </w:rPr>
        <w:t xml:space="preserve">Estas tendencias explican algunas diferencias entre los gastos actuales del </w:t>
      </w:r>
      <w:r>
        <w:rPr>
          <w:noProof/>
          <w:lang w:eastAsia="ar-SA"/>
        </w:rPr>
        <w:t>Gobierno</w:t>
      </w:r>
      <w:r w:rsidRPr="003A21B9">
        <w:rPr>
          <w:noProof/>
          <w:lang w:eastAsia="ar-SA"/>
        </w:rPr>
        <w:t xml:space="preserve"> de Puerto Rico versus los estados, a la vez que arrojan luz sobre como cambiaría la composición de los gastos del </w:t>
      </w:r>
      <w:r>
        <w:rPr>
          <w:noProof/>
          <w:lang w:eastAsia="ar-SA"/>
        </w:rPr>
        <w:t>Gobierno</w:t>
      </w:r>
      <w:r w:rsidRPr="003A21B9">
        <w:rPr>
          <w:noProof/>
          <w:lang w:eastAsia="ar-SA"/>
        </w:rPr>
        <w:t xml:space="preserve"> de Puerto Rico bajo la estadidad.</w:t>
      </w:r>
      <w:r>
        <w:rPr>
          <w:lang w:eastAsia="ar-SA"/>
        </w:rPr>
        <w:t xml:space="preserve"> </w:t>
      </w:r>
      <w:r w:rsidRPr="003A21B9">
        <w:rPr>
          <w:lang w:eastAsia="ar-SA"/>
        </w:rPr>
        <w:t>La reducción de recaudos de fuentes locales también obligaría a la reducción de servicios que no reciban mayores subvenciones federales.</w:t>
      </w:r>
      <w:r>
        <w:rPr>
          <w:lang w:eastAsia="ar-SA"/>
        </w:rPr>
        <w:t xml:space="preserve"> </w:t>
      </w:r>
    </w:p>
    <w:p w:rsidR="005A5E7D" w:rsidRPr="003A21B9" w:rsidRDefault="005A5E7D" w:rsidP="005A5E7D">
      <w:pPr>
        <w:rPr>
          <w:lang w:eastAsia="ar-SA"/>
        </w:rPr>
      </w:pPr>
    </w:p>
    <w:p w:rsidR="005A5E7D" w:rsidRDefault="0095547C" w:rsidP="005A5E7D">
      <w:pPr>
        <w:tabs>
          <w:tab w:val="left" w:pos="180"/>
          <w:tab w:val="left" w:pos="360"/>
        </w:tabs>
        <w:suppressAutoHyphens/>
        <w:ind w:firstLine="706"/>
        <w:jc w:val="center"/>
        <w:rPr>
          <w:rFonts w:eastAsia="+mn-ea"/>
          <w:b/>
          <w:color w:val="000000"/>
          <w:kern w:val="1"/>
          <w:szCs w:val="24"/>
          <w:lang w:eastAsia="ar-SA"/>
        </w:rPr>
      </w:pPr>
      <w:r>
        <w:rPr>
          <w:rFonts w:eastAsia="+mn-ea"/>
          <w:b/>
          <w:noProof/>
          <w:color w:val="000000"/>
          <w:kern w:val="1"/>
          <w:szCs w:val="24"/>
          <w:lang w:val="en-US"/>
        </w:rPr>
        <w:drawing>
          <wp:inline distT="0" distB="0" distL="0" distR="0">
            <wp:extent cx="4459623" cy="3696237"/>
            <wp:effectExtent l="19050" t="0" r="17127" b="0"/>
            <wp:docPr id="13"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C19A5" w:rsidRDefault="004C19A5" w:rsidP="005A5E7D">
      <w:pPr>
        <w:tabs>
          <w:tab w:val="left" w:pos="180"/>
          <w:tab w:val="left" w:pos="360"/>
        </w:tabs>
        <w:suppressAutoHyphens/>
        <w:ind w:firstLine="706"/>
        <w:jc w:val="center"/>
        <w:rPr>
          <w:rFonts w:eastAsia="+mn-ea"/>
          <w:b/>
          <w:color w:val="000000"/>
          <w:kern w:val="1"/>
          <w:szCs w:val="24"/>
          <w:lang w:eastAsia="ar-SA"/>
        </w:rPr>
      </w:pPr>
    </w:p>
    <w:p w:rsidR="004C19A5" w:rsidRDefault="004C19A5" w:rsidP="005A5E7D">
      <w:pPr>
        <w:tabs>
          <w:tab w:val="left" w:pos="180"/>
          <w:tab w:val="left" w:pos="360"/>
        </w:tabs>
        <w:suppressAutoHyphens/>
        <w:ind w:firstLine="706"/>
        <w:jc w:val="center"/>
        <w:rPr>
          <w:rFonts w:eastAsia="+mn-ea"/>
          <w:b/>
          <w:color w:val="000000"/>
          <w:kern w:val="1"/>
          <w:szCs w:val="24"/>
          <w:lang w:eastAsia="ar-SA"/>
        </w:rPr>
      </w:pPr>
    </w:p>
    <w:p w:rsidR="004C19A5" w:rsidRPr="003A21B9" w:rsidRDefault="004C19A5" w:rsidP="005A5E7D">
      <w:pPr>
        <w:tabs>
          <w:tab w:val="left" w:pos="180"/>
          <w:tab w:val="left" w:pos="360"/>
        </w:tabs>
        <w:suppressAutoHyphens/>
        <w:ind w:firstLine="706"/>
        <w:jc w:val="center"/>
        <w:rPr>
          <w:rFonts w:eastAsia="+mn-ea"/>
          <w:b/>
          <w:color w:val="000000"/>
          <w:kern w:val="1"/>
          <w:szCs w:val="24"/>
          <w:lang w:eastAsia="ar-SA"/>
        </w:rPr>
      </w:pPr>
    </w:p>
    <w:p w:rsidR="005A5E7D" w:rsidRPr="003A21B9" w:rsidRDefault="0095547C" w:rsidP="005A5E7D">
      <w:pPr>
        <w:tabs>
          <w:tab w:val="left" w:pos="180"/>
          <w:tab w:val="left" w:pos="360"/>
        </w:tabs>
        <w:suppressAutoHyphens/>
        <w:ind w:firstLine="706"/>
        <w:jc w:val="center"/>
        <w:rPr>
          <w:rFonts w:eastAsia="+mn-ea"/>
          <w:b/>
          <w:color w:val="000000"/>
          <w:kern w:val="1"/>
          <w:szCs w:val="24"/>
          <w:lang w:eastAsia="ar-SA"/>
        </w:rPr>
      </w:pPr>
      <w:r>
        <w:rPr>
          <w:rFonts w:eastAsia="+mn-ea"/>
          <w:b/>
          <w:noProof/>
          <w:color w:val="000000"/>
          <w:kern w:val="1"/>
          <w:szCs w:val="24"/>
          <w:lang w:val="en-US"/>
        </w:rPr>
        <w:drawing>
          <wp:inline distT="0" distB="0" distL="0" distR="0">
            <wp:extent cx="4461641" cy="3547241"/>
            <wp:effectExtent l="0" t="0" r="15240" b="15240"/>
            <wp:docPr id="14"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A5E7D" w:rsidRDefault="0095547C" w:rsidP="005A5E7D">
      <w:pPr>
        <w:tabs>
          <w:tab w:val="left" w:pos="180"/>
          <w:tab w:val="left" w:pos="360"/>
        </w:tabs>
        <w:suppressAutoHyphens/>
        <w:ind w:firstLine="706"/>
        <w:jc w:val="center"/>
        <w:rPr>
          <w:rFonts w:eastAsia="+mn-ea"/>
          <w:b/>
          <w:color w:val="000000"/>
          <w:kern w:val="1"/>
          <w:szCs w:val="24"/>
          <w:lang w:eastAsia="ar-SA"/>
        </w:rPr>
      </w:pPr>
      <w:r>
        <w:rPr>
          <w:rFonts w:eastAsia="+mn-ea"/>
          <w:b/>
          <w:noProof/>
          <w:color w:val="000000"/>
          <w:kern w:val="1"/>
          <w:szCs w:val="24"/>
          <w:lang w:val="en-US"/>
        </w:rPr>
        <w:drawing>
          <wp:inline distT="0" distB="0" distL="0" distR="0">
            <wp:extent cx="4533265" cy="3806825"/>
            <wp:effectExtent l="0" t="0" r="19685" b="22225"/>
            <wp:docPr id="15"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C19A5" w:rsidRPr="003A21B9" w:rsidRDefault="004C19A5" w:rsidP="005A5E7D">
      <w:pPr>
        <w:tabs>
          <w:tab w:val="left" w:pos="180"/>
          <w:tab w:val="left" w:pos="360"/>
        </w:tabs>
        <w:suppressAutoHyphens/>
        <w:ind w:firstLine="706"/>
        <w:jc w:val="center"/>
        <w:rPr>
          <w:rFonts w:eastAsia="+mn-ea"/>
          <w:b/>
          <w:color w:val="000000"/>
          <w:kern w:val="1"/>
          <w:szCs w:val="24"/>
          <w:lang w:eastAsia="ar-SA"/>
        </w:rPr>
      </w:pPr>
    </w:p>
    <w:p w:rsidR="005A5E7D" w:rsidRPr="003A21B9" w:rsidRDefault="0095547C" w:rsidP="005A5E7D">
      <w:pPr>
        <w:tabs>
          <w:tab w:val="left" w:pos="180"/>
          <w:tab w:val="left" w:pos="360"/>
        </w:tabs>
        <w:suppressAutoHyphens/>
        <w:ind w:firstLine="706"/>
        <w:jc w:val="center"/>
        <w:rPr>
          <w:rFonts w:eastAsia="+mn-ea" w:cs="Calibri"/>
          <w:kern w:val="1"/>
          <w:lang w:eastAsia="ar-SA"/>
        </w:rPr>
      </w:pPr>
      <w:r>
        <w:rPr>
          <w:rFonts w:eastAsia="+mn-ea"/>
          <w:b/>
          <w:noProof/>
          <w:color w:val="000000"/>
          <w:kern w:val="1"/>
          <w:szCs w:val="24"/>
          <w:lang w:val="en-US"/>
        </w:rPr>
        <w:drawing>
          <wp:inline distT="0" distB="0" distL="0" distR="0">
            <wp:extent cx="4619297" cy="3799490"/>
            <wp:effectExtent l="0" t="0" r="10160" b="10795"/>
            <wp:docPr id="16"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A5E7D" w:rsidRPr="003A21B9" w:rsidRDefault="005A5E7D" w:rsidP="005A5E7D">
      <w:pPr>
        <w:pStyle w:val="Heading2"/>
        <w:ind w:left="426" w:hanging="426"/>
        <w:rPr>
          <w:lang w:eastAsia="ar-SA"/>
        </w:rPr>
      </w:pPr>
      <w:r>
        <w:rPr>
          <w:lang w:eastAsia="ar-SA"/>
        </w:rPr>
        <w:br w:type="page"/>
      </w:r>
      <w:bookmarkStart w:id="61" w:name="_Toc384769755"/>
      <w:r>
        <w:rPr>
          <w:lang w:eastAsia="ar-SA"/>
        </w:rPr>
        <w:t>Comparación del t</w:t>
      </w:r>
      <w:r w:rsidRPr="003A21B9">
        <w:rPr>
          <w:lang w:eastAsia="ar-SA"/>
        </w:rPr>
        <w:t>amaño del Gobierno</w:t>
      </w:r>
      <w:bookmarkEnd w:id="61"/>
    </w:p>
    <w:p w:rsidR="005A5E7D" w:rsidRDefault="005A5E7D" w:rsidP="005A5E7D">
      <w:pPr>
        <w:spacing w:line="240" w:lineRule="auto"/>
        <w:rPr>
          <w:lang w:eastAsia="ar-SA"/>
        </w:rPr>
      </w:pPr>
    </w:p>
    <w:p w:rsidR="005A5E7D" w:rsidRPr="003A21B9" w:rsidRDefault="005A5E7D" w:rsidP="005A5E7D">
      <w:pPr>
        <w:rPr>
          <w:lang w:eastAsia="ar-SA"/>
        </w:rPr>
      </w:pPr>
      <w:r w:rsidRPr="003A21B9">
        <w:rPr>
          <w:lang w:eastAsia="ar-SA"/>
        </w:rPr>
        <w:t xml:space="preserve">El tema del tamaño del </w:t>
      </w:r>
      <w:r>
        <w:rPr>
          <w:lang w:eastAsia="ar-SA"/>
        </w:rPr>
        <w:t>Gobierno</w:t>
      </w:r>
      <w:r w:rsidRPr="003A21B9">
        <w:rPr>
          <w:lang w:eastAsia="ar-SA"/>
        </w:rPr>
        <w:t xml:space="preserve"> </w:t>
      </w:r>
      <w:r>
        <w:rPr>
          <w:lang w:eastAsia="ar-SA"/>
        </w:rPr>
        <w:t>en Puerto Rico ha sido una parte su</w:t>
      </w:r>
      <w:r w:rsidRPr="003A21B9">
        <w:rPr>
          <w:lang w:eastAsia="ar-SA"/>
        </w:rPr>
        <w:t xml:space="preserve">stancial y constante del debate en torno a la precariedad de las </w:t>
      </w:r>
      <w:r>
        <w:rPr>
          <w:lang w:eastAsia="ar-SA"/>
        </w:rPr>
        <w:t>finanzas públicas en la Isla y</w:t>
      </w:r>
      <w:r w:rsidRPr="003A21B9">
        <w:rPr>
          <w:lang w:eastAsia="ar-SA"/>
        </w:rPr>
        <w:t xml:space="preserve"> la alegada ineficiencia del sector público.</w:t>
      </w:r>
      <w:r>
        <w:rPr>
          <w:lang w:eastAsia="ar-SA"/>
        </w:rPr>
        <w:t xml:space="preserve"> </w:t>
      </w:r>
      <w:r w:rsidRPr="003A21B9">
        <w:rPr>
          <w:lang w:eastAsia="ar-SA"/>
        </w:rPr>
        <w:t xml:space="preserve">Se argumenta que el tamaño del </w:t>
      </w:r>
      <w:r>
        <w:rPr>
          <w:lang w:eastAsia="ar-SA"/>
        </w:rPr>
        <w:t>Gobierno</w:t>
      </w:r>
      <w:r w:rsidRPr="003A21B9">
        <w:rPr>
          <w:lang w:eastAsia="ar-SA"/>
        </w:rPr>
        <w:t xml:space="preserve"> </w:t>
      </w:r>
      <w:r w:rsidRPr="008B456C">
        <w:t>—</w:t>
      </w:r>
      <w:r w:rsidRPr="003A21B9">
        <w:rPr>
          <w:lang w:eastAsia="ar-SA"/>
        </w:rPr>
        <w:t>medido en términos del número de empleados</w:t>
      </w:r>
      <w:r w:rsidRPr="008B456C">
        <w:t>—</w:t>
      </w:r>
      <w:r w:rsidRPr="003A21B9">
        <w:rPr>
          <w:lang w:eastAsia="ar-SA"/>
        </w:rPr>
        <w:t xml:space="preserve"> es demasiado grande y se propone reiteradamente la necesidad de reducir la nómina gubernamental para disminuir el déficit estructural del presupuesto</w:t>
      </w:r>
      <w:r>
        <w:rPr>
          <w:lang w:eastAsia="ar-SA"/>
        </w:rPr>
        <w:t xml:space="preserve"> </w:t>
      </w:r>
      <w:r w:rsidRPr="003A21B9">
        <w:rPr>
          <w:lang w:eastAsia="ar-SA"/>
        </w:rPr>
        <w:t>de forma contable y mejorar la eficiencia de la gestión pública.</w:t>
      </w:r>
      <w:r>
        <w:rPr>
          <w:lang w:eastAsia="ar-SA"/>
        </w:rPr>
        <w:t xml:space="preserve"> </w:t>
      </w:r>
    </w:p>
    <w:p w:rsidR="005A5E7D" w:rsidRDefault="005A5E7D" w:rsidP="005A5E7D">
      <w:pPr>
        <w:rPr>
          <w:lang w:eastAsia="ar-SA"/>
        </w:rPr>
      </w:pPr>
      <w:r w:rsidRPr="003A21B9">
        <w:rPr>
          <w:lang w:eastAsia="ar-SA"/>
        </w:rPr>
        <w:t>Esta sección va dirigida a comparar el tamaño del sector público en Puerto Rico con el de los estados para el período 2010-2012</w:t>
      </w:r>
      <w:r>
        <w:rPr>
          <w:lang w:eastAsia="ar-SA"/>
        </w:rPr>
        <w:t>,</w:t>
      </w:r>
      <w:r w:rsidRPr="003A21B9">
        <w:rPr>
          <w:lang w:eastAsia="ar-SA"/>
        </w:rPr>
        <w:t xml:space="preserve"> en términos del </w:t>
      </w:r>
      <w:r>
        <w:rPr>
          <w:lang w:eastAsia="ar-SA"/>
        </w:rPr>
        <w:t>porcentaje</w:t>
      </w:r>
      <w:r w:rsidRPr="003A21B9">
        <w:rPr>
          <w:lang w:eastAsia="ar-SA"/>
        </w:rPr>
        <w:t xml:space="preserve"> del empleo público com</w:t>
      </w:r>
      <w:r>
        <w:rPr>
          <w:lang w:eastAsia="ar-SA"/>
        </w:rPr>
        <w:t>o porcentaje del empleo total</w:t>
      </w:r>
      <w:r w:rsidRPr="003A21B9">
        <w:rPr>
          <w:lang w:eastAsia="ar-SA"/>
        </w:rPr>
        <w:t>.</w:t>
      </w:r>
      <w:r>
        <w:rPr>
          <w:lang w:eastAsia="ar-SA"/>
        </w:rPr>
        <w:t xml:space="preserve"> </w:t>
      </w:r>
      <w:r w:rsidRPr="003A21B9">
        <w:rPr>
          <w:lang w:eastAsia="ar-SA"/>
        </w:rPr>
        <w:t>Se comparan los resultados para Puerto Rico con los del promedio de los 50 estados</w:t>
      </w:r>
      <w:r>
        <w:rPr>
          <w:lang w:eastAsia="ar-SA"/>
        </w:rPr>
        <w:t>,</w:t>
      </w:r>
      <w:r w:rsidRPr="003A21B9">
        <w:rPr>
          <w:lang w:eastAsia="ar-SA"/>
        </w:rPr>
        <w:t xml:space="preserve"> y con los de Alabama, </w:t>
      </w:r>
      <w:r>
        <w:rPr>
          <w:lang w:eastAsia="ar-SA"/>
        </w:rPr>
        <w:t>Misisipi</w:t>
      </w:r>
      <w:r w:rsidRPr="003A21B9">
        <w:rPr>
          <w:lang w:eastAsia="ar-SA"/>
        </w:rPr>
        <w:t xml:space="preserve">, </w:t>
      </w:r>
      <w:r>
        <w:rPr>
          <w:lang w:eastAsia="ar-SA"/>
        </w:rPr>
        <w:t>Hawái</w:t>
      </w:r>
      <w:r w:rsidRPr="003A21B9">
        <w:rPr>
          <w:lang w:eastAsia="ar-SA"/>
        </w:rPr>
        <w:t xml:space="preserve"> y Nuevo México.</w:t>
      </w:r>
      <w:r>
        <w:rPr>
          <w:lang w:eastAsia="ar-SA"/>
        </w:rPr>
        <w:t xml:space="preserve"> </w:t>
      </w:r>
      <w:r w:rsidRPr="003A21B9">
        <w:rPr>
          <w:lang w:eastAsia="ar-SA"/>
        </w:rPr>
        <w:t>De esta manera podemos emitir una opinión sobre cuán grande es el tamaño del sector público de la Isla en relación con los estados.</w:t>
      </w:r>
    </w:p>
    <w:p w:rsidR="005A5E7D" w:rsidRPr="003A21B9" w:rsidRDefault="005A5E7D" w:rsidP="005A5E7D">
      <w:pPr>
        <w:rPr>
          <w:lang w:eastAsia="ar-SA"/>
        </w:rPr>
      </w:pPr>
      <w:r>
        <w:rPr>
          <w:lang w:eastAsia="ar-SA"/>
        </w:rPr>
        <w:t>S</w:t>
      </w:r>
      <w:r w:rsidRPr="003A21B9">
        <w:rPr>
          <w:lang w:eastAsia="ar-SA"/>
        </w:rPr>
        <w:t xml:space="preserve">e procedió a sumar el empleo a nivel </w:t>
      </w:r>
      <w:r>
        <w:rPr>
          <w:lang w:eastAsia="ar-SA"/>
        </w:rPr>
        <w:t xml:space="preserve">federal, estatal y municipal de </w:t>
      </w:r>
      <w:r w:rsidRPr="003A21B9">
        <w:rPr>
          <w:lang w:eastAsia="ar-SA"/>
        </w:rPr>
        <w:t>los estados</w:t>
      </w:r>
      <w:r>
        <w:rPr>
          <w:lang w:eastAsia="ar-SA"/>
        </w:rPr>
        <w:t>. E</w:t>
      </w:r>
      <w:r w:rsidRPr="003A21B9">
        <w:rPr>
          <w:lang w:eastAsia="ar-SA"/>
        </w:rPr>
        <w:t>stima</w:t>
      </w:r>
      <w:r>
        <w:rPr>
          <w:lang w:eastAsia="ar-SA"/>
        </w:rPr>
        <w:t>mos</w:t>
      </w:r>
      <w:r w:rsidRPr="003A21B9">
        <w:rPr>
          <w:lang w:eastAsia="ar-SA"/>
        </w:rPr>
        <w:t xml:space="preserve"> dos medidas diferentes para Puerto Rico</w:t>
      </w:r>
      <w:r>
        <w:rPr>
          <w:lang w:eastAsia="ar-SA"/>
        </w:rPr>
        <w:t>, d</w:t>
      </w:r>
      <w:r w:rsidRPr="003A21B9">
        <w:rPr>
          <w:lang w:eastAsia="ar-SA"/>
        </w:rPr>
        <w:t xml:space="preserve">ebido a que el </w:t>
      </w:r>
      <w:r>
        <w:rPr>
          <w:lang w:eastAsia="ar-SA"/>
        </w:rPr>
        <w:t>Gobierno</w:t>
      </w:r>
      <w:r w:rsidRPr="003A21B9">
        <w:rPr>
          <w:lang w:eastAsia="ar-SA"/>
        </w:rPr>
        <w:t xml:space="preserve"> tiene la particularidad de que en su organización administrativa hay un gran número de corporaciones públicas</w:t>
      </w:r>
      <w:r w:rsidRPr="003A21B9">
        <w:rPr>
          <w:vertAlign w:val="superscript"/>
          <w:lang w:eastAsia="ar-SA"/>
        </w:rPr>
        <w:footnoteReference w:id="46"/>
      </w:r>
      <w:r w:rsidRPr="003A21B9">
        <w:rPr>
          <w:lang w:eastAsia="ar-SA"/>
        </w:rPr>
        <w:t xml:space="preserve"> que ofrecen servicios a la ciudadanía</w:t>
      </w:r>
      <w:r>
        <w:rPr>
          <w:lang w:eastAsia="ar-SA"/>
        </w:rPr>
        <w:t>,</w:t>
      </w:r>
      <w:r w:rsidRPr="003A21B9">
        <w:rPr>
          <w:lang w:eastAsia="ar-SA"/>
        </w:rPr>
        <w:t xml:space="preserve"> y que gran parte de sus empleos no se contabilizan en el estimado de empleo </w:t>
      </w:r>
      <w:r>
        <w:rPr>
          <w:lang w:eastAsia="ar-SA"/>
        </w:rPr>
        <w:t>total del sector gubernamental</w:t>
      </w:r>
      <w:r w:rsidRPr="003A21B9">
        <w:rPr>
          <w:lang w:eastAsia="ar-SA"/>
        </w:rPr>
        <w:t>. La primera</w:t>
      </w:r>
      <w:r>
        <w:rPr>
          <w:lang w:eastAsia="ar-SA"/>
        </w:rPr>
        <w:t xml:space="preserve"> </w:t>
      </w:r>
      <w:r w:rsidRPr="003A21B9">
        <w:rPr>
          <w:lang w:eastAsia="ar-SA"/>
        </w:rPr>
        <w:t>medida incluye las corporaciones públicas en el empleo gubernamental y la segunda no lo incluye.</w:t>
      </w:r>
      <w:r>
        <w:rPr>
          <w:lang w:eastAsia="ar-SA"/>
        </w:rPr>
        <w:t xml:space="preserve"> </w:t>
      </w:r>
      <w:r w:rsidRPr="003A21B9">
        <w:rPr>
          <w:lang w:eastAsia="ar-SA"/>
        </w:rPr>
        <w:t>En aras de mayor congruencia con los datos de los estados, entendemos qu</w:t>
      </w:r>
      <w:r>
        <w:rPr>
          <w:lang w:eastAsia="ar-SA"/>
        </w:rPr>
        <w:t>e la comparación relativa debe hace</w:t>
      </w:r>
      <w:r w:rsidRPr="003A21B9">
        <w:rPr>
          <w:lang w:eastAsia="ar-SA"/>
        </w:rPr>
        <w:t xml:space="preserve">rse excluyendo el empleo de las corporaciones públicas. </w:t>
      </w:r>
    </w:p>
    <w:p w:rsidR="00587A7B" w:rsidRPr="005830E0" w:rsidRDefault="00587A7B" w:rsidP="00587A7B">
      <w:pPr>
        <w:rPr>
          <w:lang w:eastAsia="ar-SA"/>
        </w:rPr>
      </w:pPr>
      <w:r w:rsidRPr="005830E0">
        <w:rPr>
          <w:lang w:eastAsia="ar-SA"/>
        </w:rPr>
        <w:t xml:space="preserve">La </w:t>
      </w:r>
      <w:r w:rsidRPr="005830E0">
        <w:rPr>
          <w:b/>
          <w:lang w:eastAsia="ar-SA"/>
        </w:rPr>
        <w:t>Gráfica 15</w:t>
      </w:r>
      <w:r w:rsidRPr="005830E0">
        <w:rPr>
          <w:lang w:eastAsia="ar-SA"/>
        </w:rPr>
        <w:t xml:space="preserve"> </w:t>
      </w:r>
      <w:r>
        <w:rPr>
          <w:lang w:eastAsia="ar-SA"/>
        </w:rPr>
        <w:t>reflej</w:t>
      </w:r>
      <w:r w:rsidRPr="005830E0">
        <w:rPr>
          <w:lang w:eastAsia="ar-SA"/>
        </w:rPr>
        <w:t xml:space="preserve">a que el </w:t>
      </w:r>
      <w:r>
        <w:rPr>
          <w:lang w:eastAsia="ar-SA"/>
        </w:rPr>
        <w:t>porcentaje</w:t>
      </w:r>
      <w:r w:rsidRPr="005830E0">
        <w:rPr>
          <w:lang w:eastAsia="ar-SA"/>
        </w:rPr>
        <w:t xml:space="preserve"> de los empleos gubernamentales de todos los empleos generados en </w:t>
      </w:r>
      <w:r>
        <w:rPr>
          <w:lang w:eastAsia="ar-SA"/>
        </w:rPr>
        <w:t>Estados Unidos</w:t>
      </w:r>
      <w:r w:rsidRPr="005830E0">
        <w:rPr>
          <w:lang w:eastAsia="ar-SA"/>
        </w:rPr>
        <w:t xml:space="preserve"> a todos los niveles político-administrativo</w:t>
      </w:r>
      <w:r>
        <w:rPr>
          <w:lang w:eastAsia="ar-SA"/>
        </w:rPr>
        <w:t>s</w:t>
      </w:r>
      <w:r w:rsidRPr="005830E0">
        <w:rPr>
          <w:lang w:eastAsia="ar-SA"/>
        </w:rPr>
        <w:t xml:space="preserve"> (federal, estatal y local) en el 2012</w:t>
      </w:r>
      <w:r>
        <w:rPr>
          <w:lang w:eastAsia="ar-SA"/>
        </w:rPr>
        <w:t xml:space="preserve"> </w:t>
      </w:r>
      <w:r w:rsidRPr="005830E0">
        <w:rPr>
          <w:lang w:eastAsia="ar-SA"/>
        </w:rPr>
        <w:t xml:space="preserve">fue </w:t>
      </w:r>
      <w:r>
        <w:rPr>
          <w:lang w:eastAsia="ar-SA"/>
        </w:rPr>
        <w:t>un</w:t>
      </w:r>
      <w:r w:rsidRPr="005830E0">
        <w:rPr>
          <w:lang w:eastAsia="ar-SA"/>
        </w:rPr>
        <w:t xml:space="preserve"> 5.5%</w:t>
      </w:r>
      <w:r>
        <w:rPr>
          <w:lang w:eastAsia="ar-SA"/>
        </w:rPr>
        <w:t>,</w:t>
      </w:r>
      <w:r w:rsidRPr="005830E0">
        <w:rPr>
          <w:lang w:eastAsia="ar-SA"/>
        </w:rPr>
        <w:t xml:space="preserve"> habiendo disminuido de 5.7% </w:t>
      </w:r>
      <w:r>
        <w:rPr>
          <w:lang w:eastAsia="ar-SA"/>
        </w:rPr>
        <w:t xml:space="preserve">y 5.9% en el 2011 y </w:t>
      </w:r>
      <w:r w:rsidRPr="005830E0">
        <w:rPr>
          <w:lang w:eastAsia="ar-SA"/>
        </w:rPr>
        <w:t>20</w:t>
      </w:r>
      <w:r>
        <w:rPr>
          <w:lang w:eastAsia="ar-SA"/>
        </w:rPr>
        <w:t>10, respectivamente. El porcentaje</w:t>
      </w:r>
      <w:r w:rsidRPr="005830E0">
        <w:rPr>
          <w:lang w:eastAsia="ar-SA"/>
        </w:rPr>
        <w:t xml:space="preserve"> correspondiente para Puerto Rico, sin incluir el emple</w:t>
      </w:r>
      <w:r>
        <w:rPr>
          <w:lang w:eastAsia="ar-SA"/>
        </w:rPr>
        <w:t>o de las corporaciones públicas,</w:t>
      </w:r>
      <w:r w:rsidRPr="005830E0">
        <w:rPr>
          <w:lang w:eastAsia="ar-SA"/>
        </w:rPr>
        <w:t xml:space="preserve"> fue </w:t>
      </w:r>
      <w:r>
        <w:rPr>
          <w:lang w:eastAsia="ar-SA"/>
        </w:rPr>
        <w:t>un</w:t>
      </w:r>
      <w:r w:rsidRPr="005830E0">
        <w:rPr>
          <w:lang w:eastAsia="ar-SA"/>
        </w:rPr>
        <w:t xml:space="preserve"> 8.9%</w:t>
      </w:r>
      <w:r>
        <w:rPr>
          <w:lang w:eastAsia="ar-SA"/>
        </w:rPr>
        <w:t xml:space="preserve"> en 2012,</w:t>
      </w:r>
      <w:r w:rsidRPr="005830E0">
        <w:rPr>
          <w:lang w:eastAsia="ar-SA"/>
        </w:rPr>
        <w:t xml:space="preserve"> a 0.99 desviación estándar</w:t>
      </w:r>
      <w:r>
        <w:rPr>
          <w:lang w:eastAsia="ar-SA"/>
        </w:rPr>
        <w:t xml:space="preserve"> </w:t>
      </w:r>
      <w:r w:rsidRPr="005830E0">
        <w:rPr>
          <w:lang w:eastAsia="ar-SA"/>
        </w:rPr>
        <w:t>por encima de la medida para lo</w:t>
      </w:r>
      <w:r>
        <w:rPr>
          <w:lang w:eastAsia="ar-SA"/>
        </w:rPr>
        <w:t>s 50 estados;</w:t>
      </w:r>
      <w:r w:rsidRPr="005830E0">
        <w:rPr>
          <w:lang w:eastAsia="ar-SA"/>
        </w:rPr>
        <w:t xml:space="preserve"> así que se encuentra en el borde del intervalo y</w:t>
      </w:r>
      <w:r>
        <w:rPr>
          <w:lang w:eastAsia="ar-SA"/>
        </w:rPr>
        <w:t xml:space="preserve"> puede</w:t>
      </w:r>
      <w:r w:rsidRPr="005830E0">
        <w:rPr>
          <w:lang w:eastAsia="ar-SA"/>
        </w:rPr>
        <w:t xml:space="preserve"> decirse</w:t>
      </w:r>
      <w:r>
        <w:rPr>
          <w:lang w:eastAsia="ar-SA"/>
        </w:rPr>
        <w:t xml:space="preserve"> que</w:t>
      </w:r>
      <w:r w:rsidRPr="005830E0">
        <w:rPr>
          <w:lang w:eastAsia="ar-SA"/>
        </w:rPr>
        <w:t xml:space="preserve"> la diferencia entre am</w:t>
      </w:r>
      <w:r>
        <w:rPr>
          <w:lang w:eastAsia="ar-SA"/>
        </w:rPr>
        <w:t>bas estructuras de empleo es</w:t>
      </w:r>
      <w:r w:rsidRPr="005830E0">
        <w:rPr>
          <w:lang w:eastAsia="ar-SA"/>
        </w:rPr>
        <w:t xml:space="preserve"> marginalmente insignificante.</w:t>
      </w:r>
      <w:r>
        <w:rPr>
          <w:lang w:eastAsia="ar-SA"/>
        </w:rPr>
        <w:t xml:space="preserve"> </w:t>
      </w:r>
    </w:p>
    <w:p w:rsidR="005A5E7D" w:rsidRPr="005830E0" w:rsidRDefault="005A5E7D" w:rsidP="005A5E7D">
      <w:pPr>
        <w:rPr>
          <w:lang w:eastAsia="ar-SA"/>
        </w:rPr>
      </w:pPr>
    </w:p>
    <w:p w:rsidR="005A5E7D" w:rsidRDefault="0095547C" w:rsidP="005A5E7D">
      <w:pPr>
        <w:spacing w:after="120"/>
        <w:jc w:val="center"/>
        <w:rPr>
          <w:lang w:eastAsia="ar-SA"/>
        </w:rPr>
      </w:pPr>
      <w:r>
        <w:rPr>
          <w:rFonts w:eastAsia="SimSun" w:cs="Calibri"/>
          <w:noProof/>
          <w:kern w:val="1"/>
          <w:lang w:val="en-US"/>
        </w:rPr>
        <w:drawing>
          <wp:inline distT="0" distB="0" distL="0" distR="0">
            <wp:extent cx="3921760" cy="3093720"/>
            <wp:effectExtent l="0" t="0" r="21590" b="1143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4C19A5" w:rsidRDefault="004C19A5" w:rsidP="005A5E7D">
      <w:pPr>
        <w:rPr>
          <w:lang w:eastAsia="ar-SA"/>
        </w:rPr>
      </w:pPr>
    </w:p>
    <w:p w:rsidR="005A5E7D" w:rsidRDefault="005A5E7D" w:rsidP="005A5E7D">
      <w:pPr>
        <w:rPr>
          <w:lang w:eastAsia="ar-SA"/>
        </w:rPr>
      </w:pPr>
      <w:r w:rsidRPr="005830E0">
        <w:rPr>
          <w:lang w:eastAsia="ar-SA"/>
        </w:rPr>
        <w:t>Se observa una disminución relativa</w:t>
      </w:r>
      <w:r>
        <w:rPr>
          <w:lang w:eastAsia="ar-SA"/>
        </w:rPr>
        <w:t xml:space="preserve"> </w:t>
      </w:r>
      <w:r w:rsidRPr="005830E0">
        <w:rPr>
          <w:lang w:eastAsia="ar-SA"/>
        </w:rPr>
        <w:t>del empleo público en Puerto Rico, sin incluir el emple</w:t>
      </w:r>
      <w:r>
        <w:rPr>
          <w:lang w:eastAsia="ar-SA"/>
        </w:rPr>
        <w:t>o de las corporaciones públicas,</w:t>
      </w:r>
      <w:r w:rsidRPr="005830E0">
        <w:rPr>
          <w:lang w:eastAsia="ar-SA"/>
        </w:rPr>
        <w:t xml:space="preserve"> con respecto al año 2010 cuando la participación era </w:t>
      </w:r>
      <w:r>
        <w:rPr>
          <w:lang w:eastAsia="ar-SA"/>
        </w:rPr>
        <w:t>un</w:t>
      </w:r>
      <w:r w:rsidRPr="005830E0">
        <w:rPr>
          <w:lang w:eastAsia="ar-SA"/>
        </w:rPr>
        <w:t xml:space="preserve"> 9.7%.</w:t>
      </w:r>
      <w:r>
        <w:rPr>
          <w:lang w:eastAsia="ar-SA"/>
        </w:rPr>
        <w:t xml:space="preserve"> </w:t>
      </w:r>
      <w:r w:rsidRPr="005830E0">
        <w:rPr>
          <w:lang w:eastAsia="ar-SA"/>
        </w:rPr>
        <w:t>Con respecto al 2010, Puerto Rico se coloca a 1.08 desviaciones estándares del promedio para los 50 estados</w:t>
      </w:r>
      <w:r>
        <w:rPr>
          <w:lang w:eastAsia="ar-SA"/>
        </w:rPr>
        <w:t>;</w:t>
      </w:r>
      <w:r w:rsidRPr="005830E0">
        <w:rPr>
          <w:lang w:eastAsia="ar-SA"/>
        </w:rPr>
        <w:t xml:space="preserve"> así que puede concluirse que la diferencia entre las dos razones está disminuyendo.</w:t>
      </w:r>
      <w:r>
        <w:rPr>
          <w:lang w:eastAsia="ar-SA"/>
        </w:rPr>
        <w:t xml:space="preserve"> </w:t>
      </w:r>
      <w:r w:rsidRPr="005830E0">
        <w:rPr>
          <w:lang w:eastAsia="ar-SA"/>
        </w:rPr>
        <w:t>Al comparar los datos del empleo gubernamental con relación al</w:t>
      </w:r>
      <w:r>
        <w:rPr>
          <w:lang w:eastAsia="ar-SA"/>
        </w:rPr>
        <w:t xml:space="preserve"> </w:t>
      </w:r>
      <w:r w:rsidRPr="005830E0">
        <w:rPr>
          <w:lang w:eastAsia="ar-SA"/>
        </w:rPr>
        <w:t xml:space="preserve">total de empleo de Puerto Rico con los cuatro estados seleccionados, se concluye que </w:t>
      </w:r>
      <w:r>
        <w:rPr>
          <w:lang w:eastAsia="ar-SA"/>
        </w:rPr>
        <w:t xml:space="preserve">la razón </w:t>
      </w:r>
      <w:r w:rsidRPr="005830E0">
        <w:rPr>
          <w:lang w:eastAsia="ar-SA"/>
        </w:rPr>
        <w:t xml:space="preserve">es más alta que todos los casos </w:t>
      </w:r>
      <w:r>
        <w:rPr>
          <w:lang w:eastAsia="ar-SA"/>
        </w:rPr>
        <w:t xml:space="preserve">estudiados </w:t>
      </w:r>
      <w:r w:rsidRPr="005830E0">
        <w:rPr>
          <w:lang w:eastAsia="ar-SA"/>
        </w:rPr>
        <w:t>y más cercana a la estructura de Nuevo México.</w:t>
      </w:r>
      <w:r>
        <w:rPr>
          <w:lang w:eastAsia="ar-SA"/>
        </w:rPr>
        <w:t xml:space="preserve"> </w:t>
      </w:r>
      <w:r w:rsidRPr="005830E0">
        <w:rPr>
          <w:lang w:eastAsia="ar-SA"/>
        </w:rPr>
        <w:t>También se observa que la razón está disminuyendo en los cuatro estados seleccionados.</w:t>
      </w:r>
      <w:r>
        <w:rPr>
          <w:lang w:eastAsia="ar-SA"/>
        </w:rPr>
        <w:t xml:space="preserve"> </w:t>
      </w:r>
      <w:r w:rsidRPr="005830E0">
        <w:rPr>
          <w:lang w:eastAsia="ar-SA"/>
        </w:rPr>
        <w:t>Al tomar en consideración los empleos de las corporaciones pública</w:t>
      </w:r>
      <w:r>
        <w:rPr>
          <w:lang w:eastAsia="ar-SA"/>
        </w:rPr>
        <w:t>s</w:t>
      </w:r>
      <w:r w:rsidRPr="005830E0">
        <w:rPr>
          <w:lang w:eastAsia="ar-SA"/>
        </w:rPr>
        <w:t>, el aumento en la razón</w:t>
      </w:r>
      <w:r>
        <w:rPr>
          <w:lang w:eastAsia="ar-SA"/>
        </w:rPr>
        <w:t xml:space="preserve"> es significativa ya que el porcentaje</w:t>
      </w:r>
      <w:r w:rsidRPr="005830E0">
        <w:rPr>
          <w:lang w:eastAsia="ar-SA"/>
        </w:rPr>
        <w:t xml:space="preserve"> de empleo gubernamental a empleo total en Puerto Rico sería </w:t>
      </w:r>
      <w:r>
        <w:rPr>
          <w:lang w:eastAsia="ar-SA"/>
        </w:rPr>
        <w:t xml:space="preserve">un </w:t>
      </w:r>
      <w:r w:rsidRPr="005830E0">
        <w:rPr>
          <w:lang w:eastAsia="ar-SA"/>
        </w:rPr>
        <w:t>27.3% para el 2012, habiendo disminuido de</w:t>
      </w:r>
      <w:r>
        <w:rPr>
          <w:lang w:eastAsia="ar-SA"/>
        </w:rPr>
        <w:t>l</w:t>
      </w:r>
      <w:r w:rsidRPr="005830E0">
        <w:rPr>
          <w:lang w:eastAsia="ar-SA"/>
        </w:rPr>
        <w:t xml:space="preserve"> 28.2% en el 2010.</w:t>
      </w:r>
    </w:p>
    <w:p w:rsidR="005A5E7D" w:rsidRPr="00C934DA" w:rsidRDefault="005A5E7D" w:rsidP="005A5E7D">
      <w:pPr>
        <w:spacing w:line="240" w:lineRule="auto"/>
        <w:rPr>
          <w:sz w:val="16"/>
          <w:lang w:eastAsia="ar-SA"/>
        </w:rPr>
      </w:pPr>
    </w:p>
    <w:p w:rsidR="005A5E7D" w:rsidRDefault="005A5E7D" w:rsidP="005A5E7D">
      <w:pPr>
        <w:pStyle w:val="Heading2"/>
        <w:ind w:left="426" w:hanging="426"/>
        <w:rPr>
          <w:lang w:eastAsia="ar-SA"/>
        </w:rPr>
      </w:pPr>
      <w:bookmarkStart w:id="62" w:name="_Toc384769756"/>
      <w:r w:rsidRPr="003A21B9">
        <w:rPr>
          <w:lang w:eastAsia="ar-SA"/>
        </w:rPr>
        <w:t>Conclusiones</w:t>
      </w:r>
      <w:bookmarkEnd w:id="62"/>
    </w:p>
    <w:p w:rsidR="005A5E7D" w:rsidRPr="000F3223" w:rsidRDefault="005A5E7D" w:rsidP="005A5E7D">
      <w:pPr>
        <w:spacing w:line="360" w:lineRule="auto"/>
        <w:rPr>
          <w:lang w:eastAsia="ar-SA"/>
        </w:rPr>
      </w:pPr>
    </w:p>
    <w:p w:rsidR="005A5E7D" w:rsidRPr="003A21B9" w:rsidRDefault="005A5E7D" w:rsidP="005A5E7D">
      <w:pPr>
        <w:rPr>
          <w:lang w:eastAsia="ar-SA"/>
        </w:rPr>
      </w:pPr>
      <w:r w:rsidRPr="003A21B9">
        <w:rPr>
          <w:lang w:eastAsia="ar-SA"/>
        </w:rPr>
        <w:t xml:space="preserve">El examen comparativo del sistema fiscal del </w:t>
      </w:r>
      <w:r>
        <w:rPr>
          <w:lang w:eastAsia="ar-SA"/>
        </w:rPr>
        <w:t>Gobierno</w:t>
      </w:r>
      <w:r w:rsidRPr="003A21B9">
        <w:rPr>
          <w:lang w:eastAsia="ar-SA"/>
        </w:rPr>
        <w:t xml:space="preserve"> de Puerto Rico con los sistemas estatales de Estados Unidos resalta las similitudes y diferencias entre ambos. Tanto los gobiernos estatales como el </w:t>
      </w:r>
      <w:r>
        <w:rPr>
          <w:lang w:eastAsia="ar-SA"/>
        </w:rPr>
        <w:t>Gobierno</w:t>
      </w:r>
      <w:r w:rsidRPr="003A21B9">
        <w:rPr>
          <w:lang w:eastAsia="ar-SA"/>
        </w:rPr>
        <w:t xml:space="preserve"> de Puerto Rico reciben cerca del 36% de sus ingresos de aportaciones </w:t>
      </w:r>
      <w:r>
        <w:rPr>
          <w:lang w:eastAsia="ar-SA"/>
        </w:rPr>
        <w:t>f</w:t>
      </w:r>
      <w:r w:rsidRPr="003A21B9">
        <w:rPr>
          <w:lang w:eastAsia="ar-SA"/>
        </w:rPr>
        <w:t>ederales.</w:t>
      </w:r>
      <w:r>
        <w:rPr>
          <w:lang w:eastAsia="ar-SA"/>
        </w:rPr>
        <w:t xml:space="preserve"> </w:t>
      </w:r>
      <w:r w:rsidRPr="003A21B9">
        <w:rPr>
          <w:lang w:eastAsia="ar-SA"/>
        </w:rPr>
        <w:t xml:space="preserve">No obstante, la dependencia del </w:t>
      </w:r>
      <w:r>
        <w:rPr>
          <w:lang w:eastAsia="ar-SA"/>
        </w:rPr>
        <w:t>Gobierno</w:t>
      </w:r>
      <w:r w:rsidRPr="003A21B9">
        <w:rPr>
          <w:lang w:eastAsia="ar-SA"/>
        </w:rPr>
        <w:t xml:space="preserve"> de la Isla de fuentes tributarias es mayor.</w:t>
      </w:r>
      <w:r>
        <w:rPr>
          <w:lang w:eastAsia="ar-SA"/>
        </w:rPr>
        <w:t xml:space="preserve"> </w:t>
      </w:r>
      <w:r w:rsidRPr="003A21B9">
        <w:rPr>
          <w:lang w:eastAsia="ar-SA"/>
        </w:rPr>
        <w:t xml:space="preserve">El </w:t>
      </w:r>
      <w:r>
        <w:rPr>
          <w:lang w:eastAsia="ar-SA"/>
        </w:rPr>
        <w:t>Gobierno</w:t>
      </w:r>
      <w:r w:rsidRPr="003A21B9">
        <w:rPr>
          <w:lang w:eastAsia="ar-SA"/>
        </w:rPr>
        <w:t xml:space="preserve"> de Puerto Rico recibe el 58% de sus ingresos de fuentes contributivas, mientras </w:t>
      </w:r>
      <w:r>
        <w:rPr>
          <w:lang w:eastAsia="ar-SA"/>
        </w:rPr>
        <w:t>la cifra</w:t>
      </w:r>
      <w:r w:rsidRPr="003A21B9">
        <w:rPr>
          <w:lang w:eastAsia="ar-SA"/>
        </w:rPr>
        <w:t xml:space="preserve"> promedio para los estados es </w:t>
      </w:r>
      <w:r>
        <w:rPr>
          <w:lang w:eastAsia="ar-SA"/>
        </w:rPr>
        <w:t>un</w:t>
      </w:r>
      <w:r w:rsidRPr="003A21B9">
        <w:rPr>
          <w:lang w:eastAsia="ar-SA"/>
        </w:rPr>
        <w:t xml:space="preserve"> 44%.</w:t>
      </w:r>
      <w:r>
        <w:rPr>
          <w:lang w:eastAsia="ar-SA"/>
        </w:rPr>
        <w:t xml:space="preserve"> </w:t>
      </w:r>
      <w:r w:rsidRPr="003A21B9">
        <w:rPr>
          <w:lang w:eastAsia="ar-SA"/>
        </w:rPr>
        <w:t>Dentro de estas fuentes cabe destacar el rol que tienen los impuestos corporativos como fuente de recaudos para el fisco de Puerto Rico, representando el 13% de los ingresos fiscales</w:t>
      </w:r>
      <w:r>
        <w:rPr>
          <w:lang w:eastAsia="ar-SA"/>
        </w:rPr>
        <w:t>,</w:t>
      </w:r>
      <w:r w:rsidRPr="003A21B9">
        <w:rPr>
          <w:lang w:eastAsia="ar-SA"/>
        </w:rPr>
        <w:t xml:space="preserve"> comparado al 3% de los ingresos estatales.</w:t>
      </w:r>
    </w:p>
    <w:p w:rsidR="005A5E7D" w:rsidRPr="003A21B9" w:rsidRDefault="005A5E7D" w:rsidP="005A5E7D">
      <w:pPr>
        <w:rPr>
          <w:lang w:eastAsia="ar-SA"/>
        </w:rPr>
      </w:pPr>
      <w:r w:rsidRPr="003A21B9">
        <w:rPr>
          <w:lang w:eastAsia="ar-SA"/>
        </w:rPr>
        <w:t>Otro aspecto relevante es la carga contributiva que enfrentan los residentes de Puerto Rico versus los residentes de los estados.</w:t>
      </w:r>
      <w:r>
        <w:rPr>
          <w:lang w:eastAsia="ar-SA"/>
        </w:rPr>
        <w:t xml:space="preserve"> </w:t>
      </w:r>
      <w:r w:rsidRPr="003A21B9">
        <w:rPr>
          <w:lang w:eastAsia="ar-SA"/>
        </w:rPr>
        <w:t xml:space="preserve">Si evaluamos solamente los impuestos a nivel estatal, la carga contributiva </w:t>
      </w:r>
      <w:r w:rsidRPr="008B456C">
        <w:t>—</w:t>
      </w:r>
      <w:r w:rsidRPr="003A21B9">
        <w:rPr>
          <w:lang w:eastAsia="ar-SA"/>
        </w:rPr>
        <w:t>medida como la razón entre el impuesto per cápita y el ingreso per cápita</w:t>
      </w:r>
      <w:r w:rsidRPr="008B456C">
        <w:t>—</w:t>
      </w:r>
      <w:r w:rsidRPr="003A21B9">
        <w:rPr>
          <w:lang w:eastAsia="ar-SA"/>
        </w:rPr>
        <w:t xml:space="preserve"> es mayor para los residentes de Puerto Rico.</w:t>
      </w:r>
      <w:r>
        <w:rPr>
          <w:lang w:eastAsia="ar-SA"/>
        </w:rPr>
        <w:t xml:space="preserve"> </w:t>
      </w:r>
      <w:r w:rsidRPr="003A21B9">
        <w:rPr>
          <w:lang w:eastAsia="ar-SA"/>
        </w:rPr>
        <w:t xml:space="preserve">Los impuestos no corporativos per cápita en Puerto Rico representan el 8.2% del ingreso per cápita, mientras el </w:t>
      </w:r>
      <w:r>
        <w:rPr>
          <w:lang w:eastAsia="ar-SA"/>
        </w:rPr>
        <w:t>porcentaje</w:t>
      </w:r>
      <w:r w:rsidRPr="003A21B9">
        <w:rPr>
          <w:lang w:eastAsia="ar-SA"/>
        </w:rPr>
        <w:t xml:space="preserve"> correspondiente en promedio para los estados es </w:t>
      </w:r>
      <w:r>
        <w:rPr>
          <w:lang w:eastAsia="ar-SA"/>
        </w:rPr>
        <w:t xml:space="preserve">un </w:t>
      </w:r>
      <w:r w:rsidRPr="003A21B9">
        <w:rPr>
          <w:lang w:eastAsia="ar-SA"/>
        </w:rPr>
        <w:t>6%.</w:t>
      </w:r>
      <w:r>
        <w:rPr>
          <w:lang w:eastAsia="ar-SA"/>
        </w:rPr>
        <w:t xml:space="preserve"> </w:t>
      </w:r>
      <w:r w:rsidRPr="003A21B9">
        <w:rPr>
          <w:lang w:eastAsia="ar-SA"/>
        </w:rPr>
        <w:t>Al añadir los impuestos a nivel federal, la carga tributaria para los residentes de los estados sube a</w:t>
      </w:r>
      <w:r>
        <w:rPr>
          <w:lang w:eastAsia="ar-SA"/>
        </w:rPr>
        <w:t>l</w:t>
      </w:r>
      <w:r w:rsidRPr="003A21B9">
        <w:rPr>
          <w:lang w:eastAsia="ar-SA"/>
        </w:rPr>
        <w:t xml:space="preserve"> 21%</w:t>
      </w:r>
      <w:r>
        <w:rPr>
          <w:lang w:eastAsia="ar-SA"/>
        </w:rPr>
        <w:t>,</w:t>
      </w:r>
      <w:r w:rsidRPr="003A21B9">
        <w:rPr>
          <w:lang w:eastAsia="ar-SA"/>
        </w:rPr>
        <w:t xml:space="preserve"> comparado con </w:t>
      </w:r>
      <w:r>
        <w:rPr>
          <w:lang w:eastAsia="ar-SA"/>
        </w:rPr>
        <w:t xml:space="preserve">un </w:t>
      </w:r>
      <w:r w:rsidRPr="003A21B9">
        <w:rPr>
          <w:lang w:eastAsia="ar-SA"/>
        </w:rPr>
        <w:t>13% para Puerto Rico.</w:t>
      </w:r>
      <w:r>
        <w:rPr>
          <w:lang w:eastAsia="ar-SA"/>
        </w:rPr>
        <w:t xml:space="preserve"> </w:t>
      </w:r>
      <w:r w:rsidRPr="003A21B9">
        <w:rPr>
          <w:lang w:eastAsia="ar-SA"/>
        </w:rPr>
        <w:t>Por tanto,</w:t>
      </w:r>
      <w:r>
        <w:rPr>
          <w:lang w:eastAsia="ar-SA"/>
        </w:rPr>
        <w:t xml:space="preserve"> </w:t>
      </w:r>
      <w:r w:rsidRPr="003A21B9">
        <w:rPr>
          <w:lang w:eastAsia="ar-SA"/>
        </w:rPr>
        <w:t xml:space="preserve">aunque los residentes de Puerto Rico pagan una mayor cantidad al </w:t>
      </w:r>
      <w:r>
        <w:rPr>
          <w:lang w:eastAsia="ar-SA"/>
        </w:rPr>
        <w:t>Gobierno</w:t>
      </w:r>
      <w:r w:rsidRPr="003A21B9">
        <w:rPr>
          <w:lang w:eastAsia="ar-SA"/>
        </w:rPr>
        <w:t xml:space="preserve"> </w:t>
      </w:r>
      <w:r>
        <w:rPr>
          <w:lang w:eastAsia="ar-SA"/>
        </w:rPr>
        <w:t>de la Isla</w:t>
      </w:r>
      <w:r w:rsidRPr="003A21B9">
        <w:rPr>
          <w:lang w:eastAsia="ar-SA"/>
        </w:rPr>
        <w:t>, la carga contributiva total es mayor para los residentes de los estados, debido a que estos pagan la mayor parte de sus contribuciones al fisco federal.</w:t>
      </w:r>
      <w:r>
        <w:rPr>
          <w:lang w:eastAsia="ar-SA"/>
        </w:rPr>
        <w:t xml:space="preserve"> </w:t>
      </w:r>
      <w:r w:rsidRPr="003A21B9">
        <w:rPr>
          <w:lang w:eastAsia="ar-SA"/>
        </w:rPr>
        <w:t>En el caso de los impuestos corporativos, independientemente de si tomamos en consideración los impuestos tanto a nivel local como a nivel federal, la carga tributaria es mayor en Puerto Rico.</w:t>
      </w:r>
      <w:r>
        <w:rPr>
          <w:lang w:eastAsia="ar-SA"/>
        </w:rPr>
        <w:t xml:space="preserve"> </w:t>
      </w:r>
      <w:r w:rsidRPr="003A21B9">
        <w:rPr>
          <w:lang w:eastAsia="ar-SA"/>
        </w:rPr>
        <w:t>La carga tributaria de impuestos corporativos a nivel de los estados es mínima.</w:t>
      </w:r>
    </w:p>
    <w:p w:rsidR="005A5E7D" w:rsidRPr="003A21B9" w:rsidRDefault="005A5E7D" w:rsidP="005A5E7D">
      <w:pPr>
        <w:rPr>
          <w:lang w:eastAsia="ar-SA"/>
        </w:rPr>
      </w:pPr>
      <w:r w:rsidRPr="003A21B9">
        <w:rPr>
          <w:lang w:eastAsia="ar-SA"/>
        </w:rPr>
        <w:t>Al comparar los renglones de gastos gubernamentales, vemos que el gasto a nivel estatal se concentra en las áreas de bienestar social y educación.</w:t>
      </w:r>
      <w:r>
        <w:rPr>
          <w:lang w:eastAsia="ar-SA"/>
        </w:rPr>
        <w:t xml:space="preserve"> </w:t>
      </w:r>
      <w:r w:rsidRPr="003A21B9">
        <w:rPr>
          <w:lang w:eastAsia="ar-SA"/>
        </w:rPr>
        <w:t xml:space="preserve">En promedio, los estados dedican el 38.8% de su gasto en bienestar social, el cual incluye el gasto en Medicaid </w:t>
      </w:r>
      <w:r>
        <w:rPr>
          <w:lang w:eastAsia="ar-SA"/>
        </w:rPr>
        <w:t>que</w:t>
      </w:r>
      <w:r w:rsidRPr="003A21B9">
        <w:rPr>
          <w:lang w:eastAsia="ar-SA"/>
        </w:rPr>
        <w:t xml:space="preserve"> es el programa que recibe la mayor subvención federal.</w:t>
      </w:r>
    </w:p>
    <w:p w:rsidR="005A5E7D" w:rsidRPr="003A21B9" w:rsidRDefault="005A5E7D" w:rsidP="005A5E7D">
      <w:pPr>
        <w:rPr>
          <w:lang w:eastAsia="ar-SA"/>
        </w:rPr>
      </w:pPr>
      <w:r w:rsidRPr="003A21B9">
        <w:rPr>
          <w:lang w:eastAsia="ar-SA"/>
        </w:rPr>
        <w:t>La incorporación total de Puerto Rico al sistema fiscal de Estados Unidos crea</w:t>
      </w:r>
      <w:r>
        <w:rPr>
          <w:lang w:eastAsia="ar-SA"/>
        </w:rPr>
        <w:t>ría</w:t>
      </w:r>
      <w:r w:rsidRPr="003A21B9">
        <w:rPr>
          <w:lang w:eastAsia="ar-SA"/>
        </w:rPr>
        <w:t xml:space="preserve"> la necesidad de transformar el sistema fiscal </w:t>
      </w:r>
      <w:r>
        <w:rPr>
          <w:lang w:eastAsia="ar-SA"/>
        </w:rPr>
        <w:t>de la Isla</w:t>
      </w:r>
      <w:r w:rsidRPr="003A21B9">
        <w:rPr>
          <w:lang w:eastAsia="ar-SA"/>
        </w:rPr>
        <w:t>.</w:t>
      </w:r>
      <w:r>
        <w:rPr>
          <w:rFonts w:eastAsia="SimSun"/>
          <w:color w:val="C32D2E"/>
          <w:lang w:eastAsia="ar-SA"/>
        </w:rPr>
        <w:t xml:space="preserve"> </w:t>
      </w:r>
      <w:r w:rsidRPr="003A21B9">
        <w:rPr>
          <w:lang w:eastAsia="ar-SA"/>
        </w:rPr>
        <w:t>Dicha incorporación v</w:t>
      </w:r>
      <w:r>
        <w:rPr>
          <w:lang w:eastAsia="ar-SA"/>
        </w:rPr>
        <w:t>endría</w:t>
      </w:r>
      <w:r w:rsidRPr="003A21B9">
        <w:rPr>
          <w:lang w:eastAsia="ar-SA"/>
        </w:rPr>
        <w:t xml:space="preserve"> acompañada de cambios notables como la imposición de las contribuciones federales, la extensión de programas federales a la Isla a los cuales no tiene acceso</w:t>
      </w:r>
      <w:r>
        <w:rPr>
          <w:lang w:eastAsia="ar-SA"/>
        </w:rPr>
        <w:t xml:space="preserve"> </w:t>
      </w:r>
      <w:r w:rsidRPr="003A21B9">
        <w:rPr>
          <w:lang w:eastAsia="ar-SA"/>
        </w:rPr>
        <w:t>actualmente</w:t>
      </w:r>
      <w:r>
        <w:rPr>
          <w:lang w:eastAsia="ar-SA"/>
        </w:rPr>
        <w:t xml:space="preserve"> o</w:t>
      </w:r>
      <w:r w:rsidRPr="003A21B9">
        <w:rPr>
          <w:lang w:eastAsia="ar-SA"/>
        </w:rPr>
        <w:t xml:space="preserve"> </w:t>
      </w:r>
      <w:r w:rsidRPr="008B456C">
        <w:t>—</w:t>
      </w:r>
      <w:r w:rsidRPr="003A21B9">
        <w:rPr>
          <w:lang w:eastAsia="ar-SA"/>
        </w:rPr>
        <w:t>en la mayoría de los casos</w:t>
      </w:r>
      <w:r w:rsidRPr="008B456C">
        <w:t>—</w:t>
      </w:r>
      <w:r w:rsidRPr="003A21B9">
        <w:rPr>
          <w:lang w:eastAsia="ar-SA"/>
        </w:rPr>
        <w:t xml:space="preserve"> tiene un acceso restringido (en particular</w:t>
      </w:r>
      <w:r>
        <w:rPr>
          <w:lang w:eastAsia="ar-SA"/>
        </w:rPr>
        <w:t>,</w:t>
      </w:r>
      <w:r w:rsidRPr="003A21B9">
        <w:rPr>
          <w:lang w:eastAsia="ar-SA"/>
        </w:rPr>
        <w:t xml:space="preserve"> Medicaid).</w:t>
      </w:r>
      <w:r>
        <w:rPr>
          <w:lang w:eastAsia="ar-SA"/>
        </w:rPr>
        <w:t xml:space="preserve"> </w:t>
      </w:r>
      <w:r w:rsidRPr="003A21B9">
        <w:rPr>
          <w:lang w:eastAsia="ar-SA"/>
        </w:rPr>
        <w:t xml:space="preserve">También se requerirán cambios reglamentarios al impuesto sobre </w:t>
      </w:r>
      <w:r>
        <w:rPr>
          <w:lang w:eastAsia="ar-SA"/>
        </w:rPr>
        <w:t>el ingreso de las corporaciones,</w:t>
      </w:r>
      <w:r w:rsidRPr="003A21B9">
        <w:rPr>
          <w:lang w:eastAsia="ar-SA"/>
        </w:rPr>
        <w:t xml:space="preserve"> especialmente en lo que compete a las compañías de Estados Unidos radicadas actualmente en Puerto Rico.</w:t>
      </w:r>
      <w:r>
        <w:rPr>
          <w:lang w:eastAsia="ar-SA"/>
        </w:rPr>
        <w:t xml:space="preserve"> Este estudio presenta</w:t>
      </w:r>
      <w:r w:rsidRPr="003A21B9">
        <w:rPr>
          <w:lang w:eastAsia="ar-SA"/>
        </w:rPr>
        <w:t xml:space="preserve"> varias simulaciones</w:t>
      </w:r>
      <w:r>
        <w:rPr>
          <w:lang w:eastAsia="ar-SA"/>
        </w:rPr>
        <w:t xml:space="preserve"> </w:t>
      </w:r>
      <w:r w:rsidRPr="003A21B9">
        <w:rPr>
          <w:lang w:eastAsia="ar-SA"/>
        </w:rPr>
        <w:t>encaminadas a medir la magnitud de los cambios esperados e identificar sus posibles consecuencias.</w:t>
      </w:r>
    </w:p>
    <w:p w:rsidR="005A5E7D" w:rsidRPr="003A21B9" w:rsidRDefault="005A5E7D" w:rsidP="005A5E7D">
      <w:pPr>
        <w:rPr>
          <w:rFonts w:cs="Calibri"/>
          <w:lang w:eastAsia="ar-SA"/>
        </w:rPr>
      </w:pPr>
      <w:r w:rsidRPr="003A21B9">
        <w:rPr>
          <w:lang w:eastAsia="ar-SA"/>
        </w:rPr>
        <w:t xml:space="preserve">Se espera que la estadidad conlleve a un aumento sustancial en las aportaciones federales al </w:t>
      </w:r>
      <w:r>
        <w:rPr>
          <w:lang w:eastAsia="ar-SA"/>
        </w:rPr>
        <w:t xml:space="preserve">Gobierno de la Isla, mayormente relacionadas al programa </w:t>
      </w:r>
      <w:r w:rsidRPr="003A21B9">
        <w:rPr>
          <w:lang w:eastAsia="ar-SA"/>
        </w:rPr>
        <w:t xml:space="preserve">Medicaid. </w:t>
      </w:r>
      <w:r w:rsidRPr="003A21B9">
        <w:rPr>
          <w:rFonts w:cs="Calibri"/>
          <w:lang w:eastAsia="ar-SA"/>
        </w:rPr>
        <w:t xml:space="preserve">Si el </w:t>
      </w:r>
      <w:r>
        <w:rPr>
          <w:rFonts w:cs="Calibri"/>
          <w:lang w:eastAsia="ar-SA"/>
        </w:rPr>
        <w:t>Gobierno</w:t>
      </w:r>
      <w:r w:rsidRPr="003A21B9">
        <w:rPr>
          <w:rFonts w:cs="Calibri"/>
          <w:lang w:eastAsia="ar-SA"/>
        </w:rPr>
        <w:t xml:space="preserve"> de Puerto Rico hubiese recibido la misma cantidad de transferencias per cápita que recibieron en promedio los estados en el 2011, las transferencias federales hubiesen aumentado de $4,482 millones a $7,750 millones.</w:t>
      </w:r>
    </w:p>
    <w:p w:rsidR="005A5E7D" w:rsidRPr="003A21B9" w:rsidRDefault="005A5E7D" w:rsidP="005A5E7D">
      <w:pPr>
        <w:rPr>
          <w:rFonts w:cs="Calibri"/>
          <w:lang w:eastAsia="ar-SA"/>
        </w:rPr>
      </w:pPr>
      <w:r>
        <w:rPr>
          <w:rFonts w:cs="Calibri"/>
          <w:lang w:eastAsia="ar-SA"/>
        </w:rPr>
        <w:t>S</w:t>
      </w:r>
      <w:r w:rsidRPr="003A21B9">
        <w:rPr>
          <w:rFonts w:cs="Calibri"/>
          <w:lang w:eastAsia="ar-SA"/>
        </w:rPr>
        <w:t>e estim</w:t>
      </w:r>
      <w:r>
        <w:rPr>
          <w:rFonts w:cs="Calibri"/>
          <w:lang w:eastAsia="ar-SA"/>
        </w:rPr>
        <w:t>ó</w:t>
      </w:r>
      <w:r w:rsidRPr="003A21B9">
        <w:rPr>
          <w:rFonts w:cs="Calibri"/>
          <w:lang w:eastAsia="ar-SA"/>
        </w:rPr>
        <w:t xml:space="preserve"> que de ser estado, las aportaciones federales pudiesen llegar a ser entre el 58% al 71% de los ingresos fiscales</w:t>
      </w:r>
      <w:r>
        <w:rPr>
          <w:rFonts w:cs="Calibri"/>
          <w:lang w:eastAsia="ar-SA"/>
        </w:rPr>
        <w:t xml:space="preserve"> de </w:t>
      </w:r>
      <w:r w:rsidRPr="003A21B9">
        <w:rPr>
          <w:rFonts w:cs="Calibri"/>
          <w:lang w:eastAsia="ar-SA"/>
        </w:rPr>
        <w:t>Puerto Rico</w:t>
      </w:r>
      <w:r>
        <w:rPr>
          <w:rFonts w:cs="Calibri"/>
          <w:lang w:eastAsia="ar-SA"/>
        </w:rPr>
        <w:t xml:space="preserve">, a base de </w:t>
      </w:r>
      <w:r w:rsidRPr="003A21B9">
        <w:rPr>
          <w:rFonts w:cs="Calibri"/>
          <w:lang w:eastAsia="ar-SA"/>
        </w:rPr>
        <w:t>la experiencia promedio para los estados y la experiencia de estados particu</w:t>
      </w:r>
      <w:r>
        <w:rPr>
          <w:rFonts w:cs="Calibri"/>
          <w:lang w:eastAsia="ar-SA"/>
        </w:rPr>
        <w:t>lares</w:t>
      </w:r>
      <w:r w:rsidRPr="003A21B9">
        <w:rPr>
          <w:rFonts w:cs="Calibri"/>
          <w:lang w:eastAsia="ar-SA"/>
        </w:rPr>
        <w:t xml:space="preserve">. Esta dependencia compromete el desarrollo de programas y servicios públicos a las prioridades de políticas públicas del </w:t>
      </w:r>
      <w:r>
        <w:rPr>
          <w:rFonts w:cs="Calibri"/>
          <w:lang w:eastAsia="ar-SA"/>
        </w:rPr>
        <w:t>Gobierno</w:t>
      </w:r>
      <w:r w:rsidRPr="003A21B9">
        <w:rPr>
          <w:rFonts w:cs="Calibri"/>
          <w:lang w:eastAsia="ar-SA"/>
        </w:rPr>
        <w:t xml:space="preserve"> federal, limitando el campo de opciones de estrategias de desarrollo económico y otras políticas públicas.</w:t>
      </w:r>
    </w:p>
    <w:p w:rsidR="005A5E7D" w:rsidRDefault="005A5E7D" w:rsidP="005A5E7D">
      <w:pPr>
        <w:rPr>
          <w:rFonts w:cs="Calibri"/>
          <w:lang w:eastAsia="ar-SA"/>
        </w:rPr>
      </w:pPr>
      <w:r w:rsidRPr="003A21B9">
        <w:rPr>
          <w:rFonts w:cs="Calibri"/>
          <w:lang w:eastAsia="ar-SA"/>
        </w:rPr>
        <w:t>Nuestros estimados indican que la imposición de la tributación federal a la Isla aumentaría la carga contributiva de los individuos del 13.4%</w:t>
      </w:r>
      <w:r>
        <w:rPr>
          <w:rFonts w:cs="Calibri"/>
          <w:lang w:eastAsia="ar-SA"/>
        </w:rPr>
        <w:t xml:space="preserve"> </w:t>
      </w:r>
      <w:r w:rsidRPr="003A21B9">
        <w:rPr>
          <w:rFonts w:cs="Calibri"/>
          <w:lang w:eastAsia="ar-SA"/>
        </w:rPr>
        <w:t>al 16.5% del ingreso personal per cápita.</w:t>
      </w:r>
      <w:r>
        <w:rPr>
          <w:rFonts w:cs="Calibri"/>
          <w:lang w:eastAsia="ar-SA"/>
        </w:rPr>
        <w:t xml:space="preserve"> </w:t>
      </w:r>
      <w:r w:rsidRPr="003A21B9">
        <w:rPr>
          <w:rFonts w:cs="Calibri"/>
          <w:lang w:eastAsia="ar-SA"/>
        </w:rPr>
        <w:t>Esto implica que los residentes d</w:t>
      </w:r>
      <w:r>
        <w:rPr>
          <w:rFonts w:cs="Calibri"/>
          <w:lang w:eastAsia="ar-SA"/>
        </w:rPr>
        <w:t>e Puerto Rico pagarían $1,</w:t>
      </w:r>
      <w:r w:rsidRPr="003A21B9">
        <w:rPr>
          <w:rFonts w:cs="Calibri"/>
          <w:lang w:eastAsia="ar-SA"/>
        </w:rPr>
        <w:t>9</w:t>
      </w:r>
      <w:r>
        <w:rPr>
          <w:rFonts w:cs="Calibri"/>
          <w:lang w:eastAsia="ar-SA"/>
        </w:rPr>
        <w:t>00 m</w:t>
      </w:r>
      <w:r w:rsidRPr="003A21B9">
        <w:rPr>
          <w:rFonts w:cs="Calibri"/>
          <w:lang w:eastAsia="ar-SA"/>
        </w:rPr>
        <w:t>illones adicionales al fisco federal en impuestos no corporativos.</w:t>
      </w:r>
      <w:r>
        <w:rPr>
          <w:rFonts w:cs="Calibri"/>
          <w:lang w:eastAsia="ar-SA"/>
        </w:rPr>
        <w:t xml:space="preserve"> </w:t>
      </w:r>
      <w:r w:rsidRPr="003A21B9">
        <w:rPr>
          <w:rFonts w:cs="Calibri"/>
          <w:lang w:eastAsia="ar-SA"/>
        </w:rPr>
        <w:t>Mientras, los impuestos corporativos podrían aumentar del 4.2% al 14.1%</w:t>
      </w:r>
      <w:r>
        <w:rPr>
          <w:rFonts w:cs="Calibri"/>
          <w:lang w:eastAsia="ar-SA"/>
        </w:rPr>
        <w:t xml:space="preserve"> </w:t>
      </w:r>
      <w:r w:rsidRPr="003A21B9">
        <w:rPr>
          <w:rFonts w:cs="Calibri"/>
          <w:lang w:eastAsia="ar-SA"/>
        </w:rPr>
        <w:t>del ingreso personal per cápita,</w:t>
      </w:r>
      <w:r>
        <w:rPr>
          <w:rFonts w:cs="Calibri"/>
          <w:lang w:eastAsia="ar-SA"/>
        </w:rPr>
        <w:t xml:space="preserve"> </w:t>
      </w:r>
      <w:r w:rsidRPr="003A21B9">
        <w:rPr>
          <w:rFonts w:cs="Calibri"/>
          <w:lang w:eastAsia="ar-SA"/>
        </w:rPr>
        <w:t>lo que representa un aumento en co</w:t>
      </w:r>
      <w:r>
        <w:rPr>
          <w:rFonts w:cs="Calibri"/>
          <w:lang w:eastAsia="ar-SA"/>
        </w:rPr>
        <w:t>ntribuciones de $5,</w:t>
      </w:r>
      <w:r w:rsidRPr="003A21B9">
        <w:rPr>
          <w:rFonts w:cs="Calibri"/>
          <w:lang w:eastAsia="ar-SA"/>
        </w:rPr>
        <w:t>3</w:t>
      </w:r>
      <w:r>
        <w:rPr>
          <w:rFonts w:cs="Calibri"/>
          <w:lang w:eastAsia="ar-SA"/>
        </w:rPr>
        <w:t>00 m</w:t>
      </w:r>
      <w:r w:rsidRPr="003A21B9">
        <w:rPr>
          <w:rFonts w:cs="Calibri"/>
          <w:lang w:eastAsia="ar-SA"/>
        </w:rPr>
        <w:t>illones.</w:t>
      </w:r>
    </w:p>
    <w:p w:rsidR="005A5E7D" w:rsidRPr="003A21B9" w:rsidRDefault="005A5E7D" w:rsidP="005A5E7D">
      <w:pPr>
        <w:rPr>
          <w:rFonts w:cs="Calibri"/>
          <w:lang w:eastAsia="ar-SA"/>
        </w:rPr>
      </w:pPr>
      <w:r w:rsidRPr="003A21B9">
        <w:rPr>
          <w:rFonts w:cs="Calibri"/>
          <w:lang w:eastAsia="ar-SA"/>
        </w:rPr>
        <w:t>Se estima que las corporaciones radicadas en Puerto Rico sujetas a co</w:t>
      </w:r>
      <w:r>
        <w:rPr>
          <w:rFonts w:cs="Calibri"/>
          <w:lang w:eastAsia="ar-SA"/>
        </w:rPr>
        <w:t>ntribución regular pagarían $758</w:t>
      </w:r>
      <w:r w:rsidRPr="003A21B9">
        <w:rPr>
          <w:rFonts w:cs="Calibri"/>
          <w:lang w:eastAsia="ar-SA"/>
        </w:rPr>
        <w:t xml:space="preserve"> millones al fisco federal.</w:t>
      </w:r>
      <w:r>
        <w:rPr>
          <w:rFonts w:cs="Calibri"/>
          <w:lang w:eastAsia="ar-SA"/>
        </w:rPr>
        <w:t xml:space="preserve"> </w:t>
      </w:r>
      <w:r w:rsidRPr="003A21B9">
        <w:rPr>
          <w:rFonts w:cs="Calibri"/>
          <w:lang w:eastAsia="ar-SA"/>
        </w:rPr>
        <w:t xml:space="preserve">De no alterarse las contribuciones </w:t>
      </w:r>
      <w:r>
        <w:rPr>
          <w:rFonts w:cs="Calibri"/>
          <w:lang w:eastAsia="ar-SA"/>
        </w:rPr>
        <w:t>de la Isla</w:t>
      </w:r>
      <w:r w:rsidRPr="003A21B9">
        <w:rPr>
          <w:rFonts w:cs="Calibri"/>
          <w:lang w:eastAsia="ar-SA"/>
        </w:rPr>
        <w:t>, la carga</w:t>
      </w:r>
      <w:r>
        <w:rPr>
          <w:rFonts w:cs="Calibri"/>
          <w:lang w:eastAsia="ar-SA"/>
        </w:rPr>
        <w:t xml:space="preserve"> contributiva total aumentaría</w:t>
      </w:r>
      <w:r w:rsidRPr="003A21B9">
        <w:rPr>
          <w:rFonts w:cs="Calibri"/>
          <w:lang w:eastAsia="ar-SA"/>
        </w:rPr>
        <w:t xml:space="preserve"> entre </w:t>
      </w:r>
      <w:r>
        <w:rPr>
          <w:rFonts w:cs="Calibri"/>
          <w:lang w:eastAsia="ar-SA"/>
        </w:rPr>
        <w:t>el 20.9% y e</w:t>
      </w:r>
      <w:r w:rsidRPr="003A21B9">
        <w:rPr>
          <w:rFonts w:cs="Calibri"/>
          <w:lang w:eastAsia="ar-SA"/>
        </w:rPr>
        <w:t>l 30.6% del ingreso personal.</w:t>
      </w:r>
      <w:r>
        <w:rPr>
          <w:rFonts w:cs="Calibri"/>
          <w:lang w:eastAsia="ar-SA"/>
        </w:rPr>
        <w:t xml:space="preserve"> </w:t>
      </w:r>
      <w:r w:rsidRPr="003A21B9">
        <w:rPr>
          <w:rFonts w:cs="Calibri"/>
          <w:lang w:eastAsia="ar-SA"/>
        </w:rPr>
        <w:t xml:space="preserve">Dado que hoy día la carga tributaria relativa sobre </w:t>
      </w:r>
      <w:r>
        <w:rPr>
          <w:rFonts w:cs="Calibri"/>
          <w:lang w:eastAsia="ar-SA"/>
        </w:rPr>
        <w:t xml:space="preserve">las </w:t>
      </w:r>
      <w:r w:rsidRPr="003A21B9">
        <w:rPr>
          <w:rFonts w:cs="Calibri"/>
          <w:lang w:eastAsia="ar-SA"/>
        </w:rPr>
        <w:t>corporaciones es mayor en Puerto Rico que en Estados Unidos, aplicar las con</w:t>
      </w:r>
      <w:r>
        <w:rPr>
          <w:rFonts w:cs="Calibri"/>
          <w:lang w:eastAsia="ar-SA"/>
        </w:rPr>
        <w:t>tribuciones federales a la Isla</w:t>
      </w:r>
      <w:r w:rsidRPr="003A21B9">
        <w:rPr>
          <w:rFonts w:cs="Calibri"/>
          <w:lang w:eastAsia="ar-SA"/>
        </w:rPr>
        <w:t xml:space="preserve"> presionaría al </w:t>
      </w:r>
      <w:r>
        <w:rPr>
          <w:rFonts w:cs="Calibri"/>
          <w:lang w:eastAsia="ar-SA"/>
        </w:rPr>
        <w:t>Gobierno</w:t>
      </w:r>
      <w:r w:rsidRPr="003A21B9">
        <w:rPr>
          <w:rFonts w:cs="Calibri"/>
          <w:lang w:eastAsia="ar-SA"/>
        </w:rPr>
        <w:t xml:space="preserve"> </w:t>
      </w:r>
      <w:r>
        <w:rPr>
          <w:rFonts w:cs="Calibri"/>
          <w:lang w:eastAsia="ar-SA"/>
        </w:rPr>
        <w:t>de Puerto Rico</w:t>
      </w:r>
      <w:r w:rsidRPr="003A21B9">
        <w:rPr>
          <w:rFonts w:cs="Calibri"/>
          <w:lang w:eastAsia="ar-SA"/>
        </w:rPr>
        <w:t xml:space="preserve"> a reducir su impuesto corporativo.</w:t>
      </w:r>
      <w:r>
        <w:rPr>
          <w:rFonts w:cs="Calibri"/>
          <w:lang w:eastAsia="ar-SA"/>
        </w:rPr>
        <w:t xml:space="preserve"> </w:t>
      </w:r>
      <w:r w:rsidRPr="003A21B9">
        <w:rPr>
          <w:rFonts w:cs="Calibri"/>
          <w:lang w:eastAsia="ar-SA"/>
        </w:rPr>
        <w:t>Parte de esta reducción vendría con la eliminación o modificación de los arbitrios impuestos por la Ley 154. No obstante, de no modificarse el sistema tributario, el aumento en contribuciones podría tener un impacto negativo en las empresas en Puerto Rico.</w:t>
      </w:r>
      <w:r>
        <w:rPr>
          <w:rFonts w:cs="Calibri"/>
          <w:lang w:eastAsia="ar-SA"/>
        </w:rPr>
        <w:t xml:space="preserve"> </w:t>
      </w:r>
      <w:r w:rsidRPr="003A21B9">
        <w:rPr>
          <w:rFonts w:cs="Calibri"/>
          <w:lang w:eastAsia="ar-SA"/>
        </w:rPr>
        <w:t>Dicho efecto se vislumbra mayor en las pequeñas y medianas empresas</w:t>
      </w:r>
      <w:r>
        <w:rPr>
          <w:rFonts w:cs="Calibri"/>
          <w:lang w:eastAsia="ar-SA"/>
        </w:rPr>
        <w:t>, ya que</w:t>
      </w:r>
      <w:r w:rsidRPr="003A21B9">
        <w:rPr>
          <w:rFonts w:cs="Calibri"/>
          <w:lang w:eastAsia="ar-SA"/>
        </w:rPr>
        <w:t xml:space="preserve"> </w:t>
      </w:r>
      <w:r w:rsidRPr="008B456C">
        <w:t>—</w:t>
      </w:r>
      <w:r w:rsidRPr="003A21B9">
        <w:rPr>
          <w:rFonts w:cs="Calibri"/>
          <w:lang w:eastAsia="ar-SA"/>
        </w:rPr>
        <w:t xml:space="preserve">como se aprecia en la </w:t>
      </w:r>
      <w:r w:rsidRPr="003A21B9">
        <w:rPr>
          <w:rFonts w:cs="Calibri"/>
          <w:b/>
          <w:lang w:eastAsia="ar-SA"/>
        </w:rPr>
        <w:t>Tabla 4</w:t>
      </w:r>
      <w:r w:rsidRPr="008B456C">
        <w:t>—</w:t>
      </w:r>
      <w:r w:rsidRPr="003A21B9">
        <w:rPr>
          <w:rFonts w:cs="Calibri"/>
          <w:lang w:eastAsia="ar-SA"/>
        </w:rPr>
        <w:t xml:space="preserve"> la progresividad del impuesto corporativo a nivel federal no es tan marcada como en el caso del impuesto al </w:t>
      </w:r>
      <w:r w:rsidR="00B94D73">
        <w:rPr>
          <w:rFonts w:cs="Calibri"/>
          <w:lang w:eastAsia="ar-SA"/>
        </w:rPr>
        <w:t>ingreso</w:t>
      </w:r>
      <w:r w:rsidRPr="003A21B9">
        <w:rPr>
          <w:rFonts w:cs="Calibri"/>
          <w:lang w:eastAsia="ar-SA"/>
        </w:rPr>
        <w:t xml:space="preserve">. </w:t>
      </w:r>
    </w:p>
    <w:p w:rsidR="005A5E7D" w:rsidRPr="003A21B9" w:rsidRDefault="005A5E7D" w:rsidP="005A5E7D">
      <w:pPr>
        <w:rPr>
          <w:lang w:eastAsia="ar-SA"/>
        </w:rPr>
      </w:pPr>
      <w:r w:rsidRPr="003A21B9">
        <w:rPr>
          <w:rFonts w:cs="Calibri"/>
          <w:lang w:eastAsia="ar-SA"/>
        </w:rPr>
        <w:t xml:space="preserve">Para mitigar el impacto adverso del aumento en las contribuciones federales al impuesto corporativo, el </w:t>
      </w:r>
      <w:r>
        <w:rPr>
          <w:rFonts w:cs="Calibri"/>
          <w:lang w:eastAsia="ar-SA"/>
        </w:rPr>
        <w:t>Gobierno</w:t>
      </w:r>
      <w:r w:rsidRPr="003A21B9">
        <w:rPr>
          <w:rFonts w:cs="Calibri"/>
          <w:lang w:eastAsia="ar-SA"/>
        </w:rPr>
        <w:t xml:space="preserve"> de </w:t>
      </w:r>
      <w:r>
        <w:rPr>
          <w:rFonts w:cs="Calibri"/>
          <w:lang w:eastAsia="ar-SA"/>
        </w:rPr>
        <w:t>Puerto Rico</w:t>
      </w:r>
      <w:r w:rsidRPr="003A21B9">
        <w:rPr>
          <w:rFonts w:cs="Calibri"/>
          <w:lang w:eastAsia="ar-SA"/>
        </w:rPr>
        <w:t xml:space="preserve"> podría optar por buscar fuentes de fondos alternas, incluyendo aumentos en impuestos a individuos</w:t>
      </w:r>
      <w:r>
        <w:rPr>
          <w:rFonts w:cs="Calibri"/>
          <w:lang w:eastAsia="ar-SA"/>
        </w:rPr>
        <w:t xml:space="preserve"> </w:t>
      </w:r>
      <w:r w:rsidRPr="008B456C">
        <w:t>—</w:t>
      </w:r>
      <w:r>
        <w:rPr>
          <w:rFonts w:cs="Calibri"/>
          <w:lang w:eastAsia="ar-SA"/>
        </w:rPr>
        <w:t>con las implicaciones negativas que eso tendría</w:t>
      </w:r>
      <w:r w:rsidRPr="003A21B9">
        <w:rPr>
          <w:rFonts w:cs="Calibri"/>
          <w:lang w:eastAsia="ar-SA"/>
        </w:rPr>
        <w:t>.</w:t>
      </w:r>
      <w:r>
        <w:rPr>
          <w:rFonts w:cs="Calibri"/>
          <w:lang w:eastAsia="ar-SA"/>
        </w:rPr>
        <w:t xml:space="preserve"> </w:t>
      </w:r>
      <w:r w:rsidRPr="003A21B9">
        <w:rPr>
          <w:rFonts w:cs="Calibri"/>
          <w:lang w:eastAsia="ar-SA"/>
        </w:rPr>
        <w:t>Otra alternativa sería reducir aquellas áreas de gasto que no estén subvencionadas por aportaciones federales.</w:t>
      </w:r>
      <w:r>
        <w:rPr>
          <w:rFonts w:cs="Calibri"/>
          <w:lang w:eastAsia="ar-SA"/>
        </w:rPr>
        <w:t xml:space="preserve"> </w:t>
      </w:r>
      <w:r w:rsidRPr="003A21B9">
        <w:rPr>
          <w:rFonts w:cs="Calibri"/>
          <w:lang w:eastAsia="ar-SA"/>
        </w:rPr>
        <w:t xml:space="preserve">Por otro lado, un </w:t>
      </w:r>
      <w:r w:rsidRPr="003A21B9">
        <w:rPr>
          <w:lang w:eastAsia="ar-SA"/>
        </w:rPr>
        <w:t>aspecto positivo de la extensión de impuestos federales a la Isla p</w:t>
      </w:r>
      <w:r>
        <w:rPr>
          <w:lang w:eastAsia="ar-SA"/>
        </w:rPr>
        <w:t>odrí</w:t>
      </w:r>
      <w:r w:rsidRPr="003A21B9">
        <w:rPr>
          <w:lang w:eastAsia="ar-SA"/>
        </w:rPr>
        <w:t xml:space="preserve">a ser que la capacidad fiscalizadora del IRS </w:t>
      </w:r>
      <w:r>
        <w:rPr>
          <w:lang w:eastAsia="ar-SA"/>
        </w:rPr>
        <w:t>ayude</w:t>
      </w:r>
      <w:r w:rsidRPr="003A21B9">
        <w:rPr>
          <w:lang w:eastAsia="ar-SA"/>
        </w:rPr>
        <w:t xml:space="preserve"> a una mayor disminución de la evasión contributiva.</w:t>
      </w:r>
      <w:r>
        <w:rPr>
          <w:lang w:eastAsia="ar-SA"/>
        </w:rPr>
        <w:t xml:space="preserve"> </w:t>
      </w:r>
    </w:p>
    <w:p w:rsidR="005A5E7D" w:rsidRPr="003A21B9" w:rsidRDefault="005A5E7D" w:rsidP="005A5E7D">
      <w:pPr>
        <w:rPr>
          <w:lang w:eastAsia="ar-SA"/>
        </w:rPr>
      </w:pPr>
      <w:r w:rsidRPr="003A21B9">
        <w:rPr>
          <w:lang w:eastAsia="ar-SA"/>
        </w:rPr>
        <w:t>A base de la comparación de cargas contributivas presentadas anteriormente, coincidimos</w:t>
      </w:r>
      <w:r>
        <w:rPr>
          <w:lang w:eastAsia="ar-SA"/>
        </w:rPr>
        <w:t xml:space="preserve"> </w:t>
      </w:r>
      <w:r w:rsidRPr="003A21B9">
        <w:rPr>
          <w:lang w:eastAsia="ar-SA"/>
        </w:rPr>
        <w:t xml:space="preserve">con el informe del </w:t>
      </w:r>
      <w:r w:rsidRPr="007B392C">
        <w:rPr>
          <w:i/>
          <w:noProof/>
          <w:lang w:eastAsia="ar-SA"/>
        </w:rPr>
        <w:t>Joint Committee on Taxation</w:t>
      </w:r>
      <w:r w:rsidRPr="003A21B9">
        <w:rPr>
          <w:noProof/>
          <w:lang w:eastAsia="ar-SA"/>
        </w:rPr>
        <w:t xml:space="preserve"> (2006)</w:t>
      </w:r>
      <w:r w:rsidRPr="003A21B9">
        <w:rPr>
          <w:lang w:eastAsia="ar-SA"/>
        </w:rPr>
        <w:t xml:space="preserve"> en que la extensión de los impuestos federa</w:t>
      </w:r>
      <w:r>
        <w:rPr>
          <w:lang w:eastAsia="ar-SA"/>
        </w:rPr>
        <w:t>les a la Isla provocaría una re</w:t>
      </w:r>
      <w:r w:rsidRPr="003A21B9">
        <w:rPr>
          <w:lang w:eastAsia="ar-SA"/>
        </w:rPr>
        <w:t>estructuración del sistema tributario en Puerto Rico.</w:t>
      </w:r>
      <w:r>
        <w:rPr>
          <w:lang w:eastAsia="ar-SA"/>
        </w:rPr>
        <w:t xml:space="preserve"> </w:t>
      </w:r>
      <w:r w:rsidRPr="003A21B9">
        <w:rPr>
          <w:lang w:eastAsia="ar-SA"/>
        </w:rPr>
        <w:t>Esto representa un reto</w:t>
      </w:r>
      <w:r>
        <w:rPr>
          <w:lang w:eastAsia="ar-SA"/>
        </w:rPr>
        <w:t>,</w:t>
      </w:r>
      <w:r w:rsidRPr="003A21B9">
        <w:rPr>
          <w:lang w:eastAsia="ar-SA"/>
        </w:rPr>
        <w:t xml:space="preserve"> dada la situación económica actual de la Isla.</w:t>
      </w:r>
      <w:r>
        <w:rPr>
          <w:lang w:eastAsia="ar-SA"/>
        </w:rPr>
        <w:t xml:space="preserve"> </w:t>
      </w:r>
      <w:r w:rsidRPr="003A21B9">
        <w:rPr>
          <w:lang w:eastAsia="ar-SA"/>
        </w:rPr>
        <w:t>Puerto Rico tiene dos características que hace</w:t>
      </w:r>
      <w:r>
        <w:rPr>
          <w:lang w:eastAsia="ar-SA"/>
        </w:rPr>
        <w:t>n</w:t>
      </w:r>
      <w:r w:rsidRPr="003A21B9">
        <w:rPr>
          <w:lang w:eastAsia="ar-SA"/>
        </w:rPr>
        <w:t xml:space="preserve"> de este proceso uno retante: la alta carga tributaria relativa</w:t>
      </w:r>
      <w:r>
        <w:rPr>
          <w:lang w:eastAsia="ar-SA"/>
        </w:rPr>
        <w:t xml:space="preserve"> </w:t>
      </w:r>
      <w:r w:rsidRPr="003A21B9">
        <w:rPr>
          <w:lang w:eastAsia="ar-SA"/>
        </w:rPr>
        <w:t>y la alta dependencia de transferencias intergubernamentales.</w:t>
      </w:r>
      <w:r>
        <w:rPr>
          <w:lang w:eastAsia="ar-SA"/>
        </w:rPr>
        <w:t xml:space="preserve"> </w:t>
      </w:r>
      <w:r w:rsidRPr="003A21B9">
        <w:rPr>
          <w:lang w:eastAsia="ar-SA"/>
        </w:rPr>
        <w:t>Aunque la carga relativa en Puerto Rico es más alta, el total de contribuciones es menor debido a que se parte de un ingreso personal más bajo.</w:t>
      </w:r>
      <w:r>
        <w:rPr>
          <w:lang w:eastAsia="ar-SA"/>
        </w:rPr>
        <w:t xml:space="preserve"> </w:t>
      </w:r>
      <w:r w:rsidRPr="003A21B9">
        <w:rPr>
          <w:lang w:eastAsia="ar-SA"/>
        </w:rPr>
        <w:t xml:space="preserve">Esto implica que </w:t>
      </w:r>
      <w:r w:rsidRPr="008B456C">
        <w:t>—</w:t>
      </w:r>
      <w:r>
        <w:rPr>
          <w:lang w:eastAsia="ar-SA"/>
        </w:rPr>
        <w:t>incluso</w:t>
      </w:r>
      <w:r w:rsidRPr="003A21B9">
        <w:rPr>
          <w:lang w:eastAsia="ar-SA"/>
        </w:rPr>
        <w:t xml:space="preserve"> con una inyección sustancial de aportaciones federales</w:t>
      </w:r>
      <w:r w:rsidRPr="008B456C">
        <w:t>—</w:t>
      </w:r>
      <w:r w:rsidRPr="003A21B9">
        <w:rPr>
          <w:lang w:eastAsia="ar-SA"/>
        </w:rPr>
        <w:t xml:space="preserve"> el nivel de recursos disponible en Puerto Rico es menor a los recursos que tienen los estados para llevar a cabo su labor</w:t>
      </w:r>
      <w:r>
        <w:rPr>
          <w:lang w:eastAsia="ar-SA"/>
        </w:rPr>
        <w:t>,</w:t>
      </w:r>
      <w:r w:rsidRPr="003A21B9">
        <w:rPr>
          <w:lang w:eastAsia="ar-SA"/>
        </w:rPr>
        <w:t xml:space="preserve"> por lo cual se acrecentaría la dependencia fiscal en las aportaciones federales.</w:t>
      </w:r>
      <w:r>
        <w:rPr>
          <w:lang w:eastAsia="ar-SA"/>
        </w:rPr>
        <w:t xml:space="preserve"> </w:t>
      </w:r>
      <w:r w:rsidRPr="003A21B9">
        <w:rPr>
          <w:lang w:eastAsia="ar-SA"/>
        </w:rPr>
        <w:t xml:space="preserve">Es de esperarse que el alcance de la gestión gubernamental </w:t>
      </w:r>
      <w:r>
        <w:rPr>
          <w:lang w:eastAsia="ar-SA"/>
        </w:rPr>
        <w:t>de Puerto Rico</w:t>
      </w:r>
      <w:r w:rsidRPr="003A21B9">
        <w:rPr>
          <w:lang w:eastAsia="ar-SA"/>
        </w:rPr>
        <w:t xml:space="preserve"> se reajust</w:t>
      </w:r>
      <w:r>
        <w:rPr>
          <w:lang w:eastAsia="ar-SA"/>
        </w:rPr>
        <w:t>ase</w:t>
      </w:r>
      <w:r w:rsidRPr="003A21B9">
        <w:rPr>
          <w:lang w:eastAsia="ar-SA"/>
        </w:rPr>
        <w:t xml:space="preserve"> dramáticamente con una tendencia a la reducción en el tamaño del </w:t>
      </w:r>
      <w:r>
        <w:rPr>
          <w:lang w:eastAsia="ar-SA"/>
        </w:rPr>
        <w:t>Gobierno de la Isla</w:t>
      </w:r>
      <w:r w:rsidRPr="003A21B9">
        <w:rPr>
          <w:lang w:eastAsia="ar-SA"/>
        </w:rPr>
        <w:t>.</w:t>
      </w:r>
      <w:r>
        <w:rPr>
          <w:lang w:eastAsia="ar-SA"/>
        </w:rPr>
        <w:t xml:space="preserve"> </w:t>
      </w:r>
    </w:p>
    <w:p w:rsidR="005A5E7D" w:rsidRPr="003A21B9" w:rsidRDefault="005A5E7D" w:rsidP="005A5E7D">
      <w:pPr>
        <w:rPr>
          <w:lang w:eastAsia="ar-SA"/>
        </w:rPr>
      </w:pPr>
      <w:r w:rsidRPr="003A21B9">
        <w:rPr>
          <w:lang w:eastAsia="ar-SA"/>
        </w:rPr>
        <w:t>Finalmente, los cambios previstos tienen implicaciones en términos del efecto multiplicador macroeconómico.</w:t>
      </w:r>
      <w:r>
        <w:rPr>
          <w:lang w:eastAsia="ar-SA"/>
        </w:rPr>
        <w:t xml:space="preserve"> </w:t>
      </w:r>
      <w:r w:rsidRPr="003A21B9">
        <w:rPr>
          <w:lang w:eastAsia="ar-SA"/>
        </w:rPr>
        <w:t xml:space="preserve">Por un lado, la necesidad de reducir el gasto tendría un efecto recesionario en la economía, mientras el aumento en transferencias federales </w:t>
      </w:r>
      <w:r w:rsidRPr="008B456C">
        <w:t>—</w:t>
      </w:r>
      <w:r w:rsidRPr="003A21B9">
        <w:rPr>
          <w:lang w:eastAsia="ar-SA"/>
        </w:rPr>
        <w:t xml:space="preserve">tanto a individuos como al </w:t>
      </w:r>
      <w:r>
        <w:rPr>
          <w:lang w:eastAsia="ar-SA"/>
        </w:rPr>
        <w:t>Gobierno</w:t>
      </w:r>
      <w:r w:rsidRPr="003A21B9">
        <w:rPr>
          <w:lang w:eastAsia="ar-SA"/>
        </w:rPr>
        <w:t xml:space="preserve"> </w:t>
      </w:r>
      <w:r>
        <w:rPr>
          <w:lang w:eastAsia="ar-SA"/>
        </w:rPr>
        <w:t>de Puerto Rico</w:t>
      </w:r>
      <w:r w:rsidRPr="008B456C">
        <w:t>—</w:t>
      </w:r>
      <w:r>
        <w:rPr>
          <w:lang w:eastAsia="ar-SA"/>
        </w:rPr>
        <w:t xml:space="preserve"> conlleva</w:t>
      </w:r>
      <w:r w:rsidRPr="003A21B9">
        <w:rPr>
          <w:lang w:eastAsia="ar-SA"/>
        </w:rPr>
        <w:t xml:space="preserve"> un efecto expansionario.</w:t>
      </w:r>
      <w:r>
        <w:rPr>
          <w:lang w:eastAsia="ar-SA"/>
        </w:rPr>
        <w:t xml:space="preserve"> Un ejemplo de esto lo sería el potencial aumento en el empleo en el sector de la salud, a consecuencia del aumento en los fondos de Medicaid. </w:t>
      </w:r>
      <w:r w:rsidRPr="003A21B9">
        <w:rPr>
          <w:lang w:eastAsia="ar-SA"/>
        </w:rPr>
        <w:t>El resultado final depende del comportamiento</w:t>
      </w:r>
      <w:r>
        <w:rPr>
          <w:lang w:eastAsia="ar-SA"/>
        </w:rPr>
        <w:t>, en otras cosas,</w:t>
      </w:r>
      <w:r w:rsidRPr="003A21B9">
        <w:rPr>
          <w:lang w:eastAsia="ar-SA"/>
        </w:rPr>
        <w:t xml:space="preserve"> de los residentes de</w:t>
      </w:r>
      <w:r>
        <w:rPr>
          <w:lang w:eastAsia="ar-SA"/>
        </w:rPr>
        <w:t xml:space="preserve"> Puerto Rico</w:t>
      </w:r>
      <w:r w:rsidRPr="003A21B9">
        <w:rPr>
          <w:lang w:eastAsia="ar-SA"/>
        </w:rPr>
        <w:t xml:space="preserve"> con respecto a la tendencia migratoria</w:t>
      </w:r>
      <w:r>
        <w:rPr>
          <w:lang w:eastAsia="ar-SA"/>
        </w:rPr>
        <w:t>,</w:t>
      </w:r>
      <w:r w:rsidRPr="003A21B9">
        <w:rPr>
          <w:lang w:eastAsia="ar-SA"/>
        </w:rPr>
        <w:t xml:space="preserve"> ya que el aumento en las contribuciones de individuos de ingresos medianos o altos puede aumentar la emigración de profesionales y la fuga de capital humano.</w:t>
      </w:r>
      <w:r>
        <w:rPr>
          <w:lang w:eastAsia="ar-SA"/>
        </w:rPr>
        <w:t xml:space="preserve"> También depende de cómo el aumento en la carga impositiva afecte el clima empresarial en la Isla.</w:t>
      </w:r>
    </w:p>
    <w:p w:rsidR="005A5E7D" w:rsidRPr="003A21B9" w:rsidRDefault="005A5E7D" w:rsidP="005A5E7D">
      <w:pPr>
        <w:rPr>
          <w:lang w:eastAsia="ar-SA"/>
        </w:rPr>
      </w:pPr>
      <w:r>
        <w:rPr>
          <w:lang w:eastAsia="ar-SA"/>
        </w:rPr>
        <w:t>B</w:t>
      </w:r>
      <w:r w:rsidRPr="003A21B9">
        <w:rPr>
          <w:lang w:eastAsia="ar-SA"/>
        </w:rPr>
        <w:t xml:space="preserve">ajo la estadidad, se esperaría que el alcance del </w:t>
      </w:r>
      <w:r>
        <w:rPr>
          <w:lang w:eastAsia="ar-SA"/>
        </w:rPr>
        <w:t>Gobierno</w:t>
      </w:r>
      <w:r w:rsidRPr="003A21B9">
        <w:rPr>
          <w:lang w:eastAsia="ar-SA"/>
        </w:rPr>
        <w:t xml:space="preserve"> de Puerto Rico se re</w:t>
      </w:r>
      <w:r>
        <w:rPr>
          <w:lang w:eastAsia="ar-SA"/>
        </w:rPr>
        <w:t>dujese e</w:t>
      </w:r>
      <w:r w:rsidRPr="003A21B9">
        <w:rPr>
          <w:lang w:eastAsia="ar-SA"/>
        </w:rPr>
        <w:t>n el largo plazo, acercándose más a la norma de los estados más pobres.</w:t>
      </w:r>
      <w:r>
        <w:rPr>
          <w:lang w:eastAsia="ar-SA"/>
        </w:rPr>
        <w:t xml:space="preserve"> </w:t>
      </w:r>
      <w:r w:rsidRPr="007F6714">
        <w:rPr>
          <w:rFonts w:eastAsia="+mn-ea"/>
          <w:color w:val="000000"/>
          <w:szCs w:val="24"/>
        </w:rPr>
        <w:t xml:space="preserve">Una de las mayores limitaciones de </w:t>
      </w:r>
      <w:r>
        <w:rPr>
          <w:rFonts w:eastAsia="+mn-ea"/>
          <w:color w:val="000000"/>
          <w:szCs w:val="24"/>
        </w:rPr>
        <w:t>la Isla en este proceso</w:t>
      </w:r>
      <w:r w:rsidRPr="007F6714">
        <w:rPr>
          <w:rFonts w:eastAsia="+mn-ea"/>
          <w:color w:val="000000"/>
          <w:szCs w:val="24"/>
        </w:rPr>
        <w:t xml:space="preserve"> </w:t>
      </w:r>
      <w:r w:rsidRPr="008B456C">
        <w:t>—</w:t>
      </w:r>
      <w:r w:rsidRPr="007F6714">
        <w:rPr>
          <w:rFonts w:eastAsia="+mn-ea"/>
          <w:color w:val="000000"/>
          <w:szCs w:val="24"/>
        </w:rPr>
        <w:t xml:space="preserve">si </w:t>
      </w:r>
      <w:r>
        <w:rPr>
          <w:rFonts w:eastAsia="+mn-ea"/>
          <w:color w:val="000000"/>
          <w:szCs w:val="24"/>
        </w:rPr>
        <w:t xml:space="preserve">se </w:t>
      </w:r>
      <w:r w:rsidRPr="007F6714">
        <w:rPr>
          <w:rFonts w:eastAsia="+mn-ea"/>
          <w:color w:val="000000"/>
          <w:szCs w:val="24"/>
        </w:rPr>
        <w:t>desea</w:t>
      </w:r>
      <w:r>
        <w:rPr>
          <w:rFonts w:eastAsia="+mn-ea"/>
          <w:color w:val="000000"/>
          <w:szCs w:val="24"/>
        </w:rPr>
        <w:t>ra</w:t>
      </w:r>
      <w:r w:rsidRPr="007F6714">
        <w:rPr>
          <w:rFonts w:eastAsia="+mn-ea"/>
          <w:color w:val="000000"/>
          <w:szCs w:val="24"/>
        </w:rPr>
        <w:t xml:space="preserve"> continuar prestando los servicios bá</w:t>
      </w:r>
      <w:r>
        <w:rPr>
          <w:rFonts w:eastAsia="+mn-ea"/>
          <w:color w:val="000000"/>
          <w:szCs w:val="24"/>
        </w:rPr>
        <w:t>sicos que necesita la población</w:t>
      </w:r>
      <w:r w:rsidRPr="008B456C">
        <w:t>—</w:t>
      </w:r>
      <w:r w:rsidRPr="007F6714">
        <w:rPr>
          <w:rFonts w:eastAsia="+mn-ea"/>
          <w:color w:val="000000"/>
          <w:szCs w:val="24"/>
        </w:rPr>
        <w:t xml:space="preserve"> es que el nivel económico y la situación fiscal no permit</w:t>
      </w:r>
      <w:r>
        <w:rPr>
          <w:rFonts w:eastAsia="+mn-ea"/>
          <w:color w:val="000000"/>
          <w:szCs w:val="24"/>
        </w:rPr>
        <w:t>iría</w:t>
      </w:r>
      <w:r w:rsidRPr="007F6714">
        <w:rPr>
          <w:rFonts w:eastAsia="+mn-ea"/>
          <w:color w:val="000000"/>
          <w:szCs w:val="24"/>
        </w:rPr>
        <w:t xml:space="preserve">n que el </w:t>
      </w:r>
      <w:r>
        <w:rPr>
          <w:rFonts w:eastAsia="+mn-ea"/>
          <w:color w:val="000000"/>
          <w:szCs w:val="24"/>
        </w:rPr>
        <w:t>Gobierno</w:t>
      </w:r>
      <w:r w:rsidRPr="007F6714">
        <w:rPr>
          <w:rFonts w:eastAsia="+mn-ea"/>
          <w:color w:val="000000"/>
          <w:szCs w:val="24"/>
        </w:rPr>
        <w:t xml:space="preserve"> </w:t>
      </w:r>
      <w:r>
        <w:rPr>
          <w:rFonts w:eastAsia="+mn-ea"/>
          <w:color w:val="000000"/>
          <w:szCs w:val="24"/>
        </w:rPr>
        <w:t>de la Isla</w:t>
      </w:r>
      <w:r w:rsidRPr="007F6714">
        <w:rPr>
          <w:rFonts w:eastAsia="+mn-ea"/>
          <w:color w:val="000000"/>
          <w:szCs w:val="24"/>
        </w:rPr>
        <w:t xml:space="preserve"> disminuy</w:t>
      </w:r>
      <w:r>
        <w:rPr>
          <w:rFonts w:eastAsia="+mn-ea"/>
          <w:color w:val="000000"/>
          <w:szCs w:val="24"/>
        </w:rPr>
        <w:t>era sus contribuciones y remitiera</w:t>
      </w:r>
      <w:r w:rsidRPr="007F6714">
        <w:rPr>
          <w:rFonts w:eastAsia="+mn-ea"/>
          <w:color w:val="000000"/>
          <w:szCs w:val="24"/>
        </w:rPr>
        <w:t xml:space="preserve"> la mayor parte del ingreso contributivo al fisco federal</w:t>
      </w:r>
      <w:r>
        <w:rPr>
          <w:rFonts w:eastAsia="+mn-ea"/>
          <w:color w:val="000000"/>
          <w:szCs w:val="24"/>
        </w:rPr>
        <w:t>,</w:t>
      </w:r>
      <w:r w:rsidRPr="007F6714">
        <w:rPr>
          <w:rFonts w:eastAsia="+mn-ea"/>
          <w:color w:val="000000"/>
          <w:szCs w:val="24"/>
        </w:rPr>
        <w:t xml:space="preserve"> como lo hacen los estados</w:t>
      </w:r>
      <w:r w:rsidRPr="003A21B9">
        <w:rPr>
          <w:lang w:eastAsia="ar-SA"/>
        </w:rPr>
        <w:t>.</w:t>
      </w:r>
    </w:p>
    <w:p w:rsidR="005A5E7D" w:rsidRPr="003A21B9" w:rsidRDefault="005A5E7D" w:rsidP="005A5E7D">
      <w:pPr>
        <w:rPr>
          <w:lang w:eastAsia="ar-SA"/>
        </w:rPr>
      </w:pPr>
    </w:p>
    <w:p w:rsidR="005A5E7D" w:rsidRPr="005300BC" w:rsidRDefault="005A5E7D" w:rsidP="005A5E7D">
      <w:pPr>
        <w:pStyle w:val="Heading2"/>
        <w:numPr>
          <w:ilvl w:val="0"/>
          <w:numId w:val="0"/>
        </w:numPr>
        <w:ind w:left="360"/>
        <w:rPr>
          <w:rFonts w:eastAsia="SimSun" w:cs="Calibri"/>
          <w:b w:val="0"/>
          <w:bCs w:val="0"/>
          <w:sz w:val="24"/>
          <w:szCs w:val="22"/>
          <w:lang w:eastAsia="ar-SA"/>
        </w:rPr>
      </w:pPr>
    </w:p>
    <w:p w:rsidR="005A5E7D" w:rsidRPr="00D97A60" w:rsidRDefault="005A5E7D" w:rsidP="005A5E7D">
      <w:pPr>
        <w:pStyle w:val="Heading2"/>
        <w:numPr>
          <w:ilvl w:val="0"/>
          <w:numId w:val="0"/>
        </w:numPr>
        <w:ind w:left="360"/>
        <w:rPr>
          <w:lang w:val="en-US" w:eastAsia="ar-SA"/>
        </w:rPr>
      </w:pPr>
      <w:bookmarkStart w:id="63" w:name="_Toc384769757"/>
      <w:r w:rsidRPr="006C1869">
        <w:rPr>
          <w:lang w:val="en-US" w:eastAsia="ar-SA"/>
        </w:rPr>
        <w:t>Referencias</w:t>
      </w:r>
      <w:bookmarkEnd w:id="63"/>
    </w:p>
    <w:p w:rsidR="005A5E7D" w:rsidRPr="005B5FEE" w:rsidRDefault="005A5E7D" w:rsidP="006C1869">
      <w:pPr>
        <w:spacing w:line="240" w:lineRule="auto"/>
        <w:rPr>
          <w:lang w:val="en-US" w:eastAsia="ar-SA"/>
        </w:rPr>
      </w:pPr>
    </w:p>
    <w:p w:rsidR="00564D67" w:rsidRPr="00564D67" w:rsidRDefault="00564D67" w:rsidP="006C1869">
      <w:pPr>
        <w:suppressAutoHyphens/>
        <w:spacing w:after="240" w:line="240" w:lineRule="auto"/>
        <w:ind w:left="720" w:hanging="720"/>
        <w:jc w:val="left"/>
        <w:rPr>
          <w:rFonts w:eastAsia="SimSun" w:cs="Calibri"/>
          <w:noProof/>
          <w:kern w:val="1"/>
          <w:lang w:val="en-US" w:eastAsia="ar-SA"/>
        </w:rPr>
      </w:pPr>
      <w:r w:rsidRPr="00564D67">
        <w:rPr>
          <w:rFonts w:eastAsia="SimSun" w:cs="Calibri"/>
          <w:noProof/>
          <w:kern w:val="1"/>
          <w:lang w:val="en-US" w:eastAsia="ar-SA"/>
        </w:rPr>
        <w:t xml:space="preserve">AFT Public Employees. (2009). </w:t>
      </w:r>
      <w:r w:rsidRPr="00564D67">
        <w:rPr>
          <w:rFonts w:eastAsia="SimSun" w:cs="Calibri"/>
          <w:i/>
          <w:iCs/>
          <w:noProof/>
          <w:kern w:val="1"/>
          <w:lang w:val="en-US" w:eastAsia="ar-SA"/>
        </w:rPr>
        <w:t>State Revenue Systems: Options for the current fiscal crisis, A resource guide.</w:t>
      </w:r>
    </w:p>
    <w:p w:rsidR="00564D67" w:rsidRPr="005B1ED6" w:rsidRDefault="00564D67" w:rsidP="006C1869">
      <w:pPr>
        <w:widowControl w:val="0"/>
        <w:autoSpaceDE w:val="0"/>
        <w:autoSpaceDN w:val="0"/>
        <w:adjustRightInd w:val="0"/>
        <w:spacing w:line="240" w:lineRule="auto"/>
        <w:ind w:left="800" w:hanging="800"/>
        <w:jc w:val="left"/>
        <w:rPr>
          <w:rFonts w:cs="Helvetica"/>
        </w:rPr>
      </w:pPr>
      <w:r w:rsidRPr="005B1ED6">
        <w:rPr>
          <w:rFonts w:cs="Helvetica"/>
        </w:rPr>
        <w:t xml:space="preserve">Apéndice. (2013). </w:t>
      </w:r>
      <w:r w:rsidRPr="005B1ED6">
        <w:rPr>
          <w:rFonts w:cs="Helvetica"/>
          <w:i/>
          <w:iCs/>
        </w:rPr>
        <w:t>Portal de la Junta de Planificación de Puerto Rico &gt; Actividad Económica (Economic Activity) &gt; Apéndice</w:t>
      </w:r>
      <w:r w:rsidRPr="005B1ED6">
        <w:rPr>
          <w:rFonts w:cs="Helvetica"/>
        </w:rPr>
        <w:t xml:space="preserve">. Recuperado el 20 de enero de 2014, </w:t>
      </w:r>
      <w:r>
        <w:rPr>
          <w:rFonts w:cs="Helvetica"/>
        </w:rPr>
        <w:t>de</w:t>
      </w:r>
      <w:r w:rsidRPr="005B1ED6">
        <w:rPr>
          <w:rFonts w:cs="Helvetica"/>
        </w:rPr>
        <w:t xml:space="preserve"> </w:t>
      </w:r>
      <w:hyperlink r:id="rId123" w:history="1">
        <w:r w:rsidRPr="005B1ED6">
          <w:rPr>
            <w:rStyle w:val="Hyperlink"/>
            <w:rFonts w:cs="Helvetica"/>
          </w:rPr>
          <w:t>http://www.jp.gobierno.pr/Portal_JP/Default.aspx?tabid=184</w:t>
        </w:r>
      </w:hyperlink>
    </w:p>
    <w:p w:rsidR="00564D67" w:rsidRPr="005B1ED6" w:rsidRDefault="00564D67" w:rsidP="006C1869">
      <w:pPr>
        <w:widowControl w:val="0"/>
        <w:autoSpaceDE w:val="0"/>
        <w:autoSpaceDN w:val="0"/>
        <w:adjustRightInd w:val="0"/>
        <w:spacing w:line="240" w:lineRule="auto"/>
        <w:ind w:left="800" w:hanging="80"/>
        <w:jc w:val="left"/>
        <w:rPr>
          <w:rFonts w:cs="Helvetica"/>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564D67">
        <w:rPr>
          <w:rFonts w:cs="Helvetica"/>
          <w:lang w:val="en-US"/>
        </w:rPr>
        <w:t xml:space="preserve">CIA. (n.d.). The World Factbook. </w:t>
      </w:r>
      <w:r w:rsidRPr="00711DF3">
        <w:rPr>
          <w:rFonts w:cs="Helvetica"/>
          <w:i/>
          <w:iCs/>
        </w:rPr>
        <w:t>Central Intelligence Agency</w:t>
      </w:r>
      <w:r w:rsidRPr="00711DF3">
        <w:rPr>
          <w:rFonts w:cs="Helvetica"/>
        </w:rPr>
        <w:t xml:space="preserve">. </w:t>
      </w:r>
      <w:r w:rsidRPr="005B1ED6">
        <w:rPr>
          <w:rFonts w:cs="Helvetica"/>
        </w:rPr>
        <w:t>Recuperado el 20 de enero de 2014</w:t>
      </w:r>
      <w:r w:rsidRPr="00E35392">
        <w:rPr>
          <w:rFonts w:cs="Helvetica"/>
        </w:rPr>
        <w:t xml:space="preserve">, </w:t>
      </w:r>
      <w:r>
        <w:rPr>
          <w:rFonts w:cs="Helvetica"/>
        </w:rPr>
        <w:t>de</w:t>
      </w:r>
      <w:r w:rsidRPr="00E35392">
        <w:rPr>
          <w:rFonts w:cs="Helvetica"/>
        </w:rPr>
        <w:t xml:space="preserve"> </w:t>
      </w:r>
      <w:hyperlink r:id="rId124" w:history="1">
        <w:r w:rsidRPr="00E35392">
          <w:rPr>
            <w:rStyle w:val="Hyperlink"/>
            <w:rFonts w:cs="Helvetica"/>
          </w:rPr>
          <w:t>https://www.cia.gov/library/publications/the-world-factbook/</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433858">
        <w:rPr>
          <w:rFonts w:cs="Helvetica"/>
        </w:rPr>
        <w:t xml:space="preserve">Estadísticas y Recaudos: Estadísticas de las Planillas de Contribución sobre Ingresos de Corporaciones Tributables. </w:t>
      </w:r>
      <w:r w:rsidRPr="00E35392">
        <w:rPr>
          <w:rFonts w:cs="Helvetica"/>
        </w:rPr>
        <w:t xml:space="preserve">(2013). </w:t>
      </w:r>
      <w:r w:rsidRPr="00E35392">
        <w:rPr>
          <w:rFonts w:cs="Helvetica"/>
          <w:i/>
          <w:iCs/>
        </w:rPr>
        <w:t>Departamento de Hacienda de Puerto Rico</w:t>
      </w:r>
      <w:r w:rsidRPr="00E35392">
        <w:rPr>
          <w:rFonts w:cs="Helvetica"/>
        </w:rPr>
        <w:t xml:space="preserve">. </w:t>
      </w:r>
      <w:r w:rsidRPr="005B1ED6">
        <w:rPr>
          <w:rFonts w:cs="Helvetica"/>
        </w:rPr>
        <w:t>Recuperado el</w:t>
      </w:r>
      <w:r>
        <w:rPr>
          <w:rFonts w:cs="Helvetica"/>
        </w:rPr>
        <w:t xml:space="preserve"> 10 de febrero de 2014</w:t>
      </w:r>
      <w:r w:rsidRPr="00E35392">
        <w:rPr>
          <w:rFonts w:cs="Helvetica"/>
        </w:rPr>
        <w:t xml:space="preserve">, </w:t>
      </w:r>
      <w:r>
        <w:rPr>
          <w:rFonts w:cs="Helvetica"/>
        </w:rPr>
        <w:t>de</w:t>
      </w:r>
      <w:r w:rsidRPr="00E35392">
        <w:rPr>
          <w:rFonts w:cs="Helvetica"/>
        </w:rPr>
        <w:t xml:space="preserve"> </w:t>
      </w:r>
      <w:hyperlink r:id="rId125" w:history="1">
        <w:r w:rsidRPr="00E35392">
          <w:rPr>
            <w:rStyle w:val="Hyperlink"/>
            <w:rFonts w:cs="Helvetica"/>
          </w:rPr>
          <w:t>http://www.hacienda.gobierno.pr/estadisticas/datos_seleccionados.html</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433858">
        <w:rPr>
          <w:rFonts w:cs="Helvetica"/>
        </w:rPr>
        <w:t xml:space="preserve">Estadísticas y Recaudos: Ingreso Bruto Ajustado 2000-2011. </w:t>
      </w:r>
      <w:r w:rsidRPr="005B1ED6">
        <w:rPr>
          <w:rFonts w:cs="Helvetica"/>
        </w:rPr>
        <w:t xml:space="preserve">(2013). </w:t>
      </w:r>
      <w:r w:rsidRPr="005B1ED6">
        <w:rPr>
          <w:rFonts w:cs="Helvetica"/>
          <w:i/>
          <w:iCs/>
        </w:rPr>
        <w:t>Departamento de Hacienda de Puerto Rico</w:t>
      </w:r>
      <w:r w:rsidRPr="005B1ED6">
        <w:rPr>
          <w:rFonts w:cs="Helvetica"/>
        </w:rPr>
        <w:t>. Recuperado el</w:t>
      </w:r>
      <w:r>
        <w:rPr>
          <w:rFonts w:cs="Helvetica"/>
        </w:rPr>
        <w:t xml:space="preserve"> 10 de febrero de 2014</w:t>
      </w:r>
      <w:r w:rsidRPr="00E35392">
        <w:rPr>
          <w:rFonts w:cs="Helvetica"/>
        </w:rPr>
        <w:t xml:space="preserve">, </w:t>
      </w:r>
      <w:r>
        <w:rPr>
          <w:rFonts w:cs="Helvetica"/>
        </w:rPr>
        <w:t>de</w:t>
      </w:r>
      <w:r w:rsidRPr="00E35392">
        <w:rPr>
          <w:rFonts w:cs="Helvetica"/>
        </w:rPr>
        <w:t xml:space="preserve"> </w:t>
      </w:r>
      <w:hyperlink r:id="rId126" w:history="1">
        <w:r w:rsidRPr="00E35392">
          <w:rPr>
            <w:rStyle w:val="Hyperlink"/>
            <w:rFonts w:cs="Helvetica"/>
          </w:rPr>
          <w:t>http://www.hacienda.gobierno.pr/downloads/xls/estadisticas/Ingreso_Neto_Sujeto_Contribucion_2000-2011.pdf</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564D67">
        <w:rPr>
          <w:rFonts w:cs="Helvetica"/>
          <w:lang w:val="en-US"/>
        </w:rPr>
        <w:t xml:space="preserve">Government Divisions Brief. (2013). State and Local Government Finances Summary 2011. </w:t>
      </w:r>
      <w:r w:rsidRPr="00564D67">
        <w:rPr>
          <w:rFonts w:cs="Helvetica"/>
          <w:i/>
          <w:iCs/>
          <w:lang w:val="en-US"/>
        </w:rPr>
        <w:t xml:space="preserve"> </w:t>
      </w:r>
      <w:r w:rsidRPr="00711DF3">
        <w:rPr>
          <w:rFonts w:cs="Helvetica"/>
          <w:i/>
          <w:iCs/>
        </w:rPr>
        <w:t>US Census Bureau Homepage</w:t>
      </w:r>
      <w:r w:rsidRPr="00711DF3">
        <w:rPr>
          <w:rFonts w:cs="Helvetica"/>
        </w:rPr>
        <w:t xml:space="preserve">. </w:t>
      </w:r>
      <w:r w:rsidRPr="005B1ED6">
        <w:rPr>
          <w:rFonts w:cs="Helvetica"/>
        </w:rPr>
        <w:t xml:space="preserve">Recuperado el 20 de enero de 2014, </w:t>
      </w:r>
      <w:r>
        <w:rPr>
          <w:rFonts w:cs="Helvetica"/>
        </w:rPr>
        <w:t>de</w:t>
      </w:r>
      <w:r w:rsidRPr="00E35392">
        <w:t xml:space="preserve"> </w:t>
      </w:r>
      <w:hyperlink r:id="rId127" w:history="1">
        <w:r w:rsidRPr="00E35392">
          <w:rPr>
            <w:rStyle w:val="Hyperlink"/>
            <w:rFonts w:cs="Helvetica"/>
          </w:rPr>
          <w:t>http://www2.census.gov/govs/local/summary_report.pdf</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564D67">
        <w:rPr>
          <w:rFonts w:cs="Helvetica"/>
          <w:iCs/>
          <w:lang w:val="en-US"/>
        </w:rPr>
        <w:t>Government</w:t>
      </w:r>
      <w:r w:rsidRPr="00E35392">
        <w:rPr>
          <w:rFonts w:cs="Helvetica"/>
          <w:iCs/>
          <w:lang w:val="en-US"/>
        </w:rPr>
        <w:t xml:space="preserve"> Accountability Office</w:t>
      </w:r>
      <w:r w:rsidRPr="00564D67">
        <w:rPr>
          <w:rFonts w:cs="Helvetica"/>
          <w:lang w:val="en-US"/>
        </w:rPr>
        <w:t xml:space="preserve">  (2012) Grants to State and Local Governments: An Overview of Federal Funding Levels and Selected Challenges.  </w:t>
      </w:r>
      <w:r w:rsidRPr="005B1ED6">
        <w:rPr>
          <w:rFonts w:cs="Helvetica"/>
        </w:rPr>
        <w:t>Recuperado el</w:t>
      </w:r>
      <w:r>
        <w:rPr>
          <w:rFonts w:cs="Helvetica"/>
        </w:rPr>
        <w:t xml:space="preserve"> 10 de febrero de 2014</w:t>
      </w:r>
      <w:r w:rsidRPr="00E35392">
        <w:rPr>
          <w:rFonts w:cs="Helvetica"/>
        </w:rPr>
        <w:t xml:space="preserve">, </w:t>
      </w:r>
      <w:r>
        <w:rPr>
          <w:rFonts w:cs="Helvetica"/>
        </w:rPr>
        <w:t>de</w:t>
      </w:r>
      <w:r w:rsidRPr="00E35392">
        <w:rPr>
          <w:rFonts w:cs="Helvetica"/>
        </w:rPr>
        <w:t xml:space="preserve"> </w:t>
      </w:r>
      <w:hyperlink r:id="rId128" w:history="1">
        <w:r w:rsidRPr="00E35392">
          <w:rPr>
            <w:rStyle w:val="Hyperlink"/>
            <w:rFonts w:cs="Helvetica"/>
          </w:rPr>
          <w:t>http://www.gao.gov/assets/650/648792.pdf</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564D67">
        <w:rPr>
          <w:rFonts w:cs="Helvetica"/>
          <w:lang w:val="en-US"/>
        </w:rPr>
        <w:t xml:space="preserve">Internal Revenue Service Data Book 2012. Washington DC. (2013). </w:t>
      </w:r>
      <w:r w:rsidRPr="00564D67">
        <w:rPr>
          <w:rFonts w:cs="Helvetica"/>
          <w:i/>
          <w:iCs/>
          <w:lang w:val="en-US"/>
        </w:rPr>
        <w:t>Internal Revenue Service</w:t>
      </w:r>
      <w:r w:rsidRPr="00564D67">
        <w:rPr>
          <w:rFonts w:cs="Helvetica"/>
          <w:lang w:val="en-US"/>
        </w:rPr>
        <w:t xml:space="preserve">.  </w:t>
      </w:r>
      <w:r w:rsidRPr="005B1ED6">
        <w:rPr>
          <w:rFonts w:cs="Helvetica"/>
        </w:rPr>
        <w:t>Recuperado el</w:t>
      </w:r>
      <w:r>
        <w:rPr>
          <w:rFonts w:cs="Helvetica"/>
        </w:rPr>
        <w:t xml:space="preserve"> 10 de febrero de 2014</w:t>
      </w:r>
      <w:r w:rsidRPr="00E35392">
        <w:rPr>
          <w:rFonts w:cs="Helvetica"/>
        </w:rPr>
        <w:t xml:space="preserve">, </w:t>
      </w:r>
      <w:r>
        <w:rPr>
          <w:rFonts w:cs="Helvetica"/>
        </w:rPr>
        <w:t>de</w:t>
      </w:r>
      <w:r w:rsidRPr="00E35392">
        <w:rPr>
          <w:rFonts w:cs="Helvetica"/>
        </w:rPr>
        <w:t xml:space="preserve"> </w:t>
      </w:r>
      <w:hyperlink r:id="rId129" w:history="1">
        <w:r w:rsidRPr="00E35392">
          <w:rPr>
            <w:rStyle w:val="Hyperlink"/>
            <w:rFonts w:cs="Helvetica"/>
          </w:rPr>
          <w:t>http://www.irs.gov/pub/irs-soi/12databk.pdf</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564D67" w:rsidRDefault="00564D67" w:rsidP="006C1869">
      <w:pPr>
        <w:suppressAutoHyphens/>
        <w:spacing w:after="240" w:line="240" w:lineRule="auto"/>
        <w:ind w:left="720" w:hanging="720"/>
        <w:jc w:val="left"/>
        <w:rPr>
          <w:rFonts w:eastAsia="SimSun" w:cs="Calibri"/>
          <w:noProof/>
          <w:kern w:val="1"/>
          <w:lang w:val="en-US" w:eastAsia="ar-SA"/>
        </w:rPr>
      </w:pPr>
      <w:r w:rsidRPr="00564D67">
        <w:rPr>
          <w:rFonts w:eastAsia="SimSun" w:cs="Calibri"/>
          <w:noProof/>
          <w:kern w:val="1"/>
          <w:lang w:val="en-US" w:eastAsia="ar-SA"/>
        </w:rPr>
        <w:t xml:space="preserve">Joint Committee on Taxation. (2006). </w:t>
      </w:r>
      <w:r w:rsidRPr="00564D67">
        <w:rPr>
          <w:rFonts w:eastAsia="SimSun" w:cs="Calibri"/>
          <w:i/>
          <w:iCs/>
          <w:noProof/>
          <w:kern w:val="1"/>
          <w:lang w:val="en-US" w:eastAsia="ar-SA"/>
        </w:rPr>
        <w:t>An Overview of the Special Tax Rules Related to Puerto Rico.</w:t>
      </w: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564D67">
        <w:rPr>
          <w:rFonts w:cs="Helvetica"/>
          <w:lang w:val="en-US"/>
        </w:rPr>
        <w:t xml:space="preserve">McGuire, T., &amp; Merriman, D. (2006). Has Welfare Reform Changed State Expenditure Patterns? </w:t>
      </w:r>
      <w:r w:rsidRPr="00711DF3">
        <w:rPr>
          <w:rFonts w:cs="Helvetica"/>
        </w:rPr>
        <w:t xml:space="preserve">National Poverty Center Policy Brief. </w:t>
      </w:r>
      <w:r w:rsidRPr="00E35392">
        <w:rPr>
          <w:rFonts w:cs="Helvetica"/>
          <w:i/>
          <w:iCs/>
        </w:rPr>
        <w:t>RSS</w:t>
      </w:r>
      <w:r w:rsidRPr="00E35392">
        <w:rPr>
          <w:rFonts w:cs="Helvetica"/>
        </w:rPr>
        <w:t xml:space="preserve">. </w:t>
      </w:r>
      <w:r w:rsidRPr="005B1ED6">
        <w:rPr>
          <w:rFonts w:cs="Helvetica"/>
        </w:rPr>
        <w:t>Recuperado el</w:t>
      </w:r>
      <w:r>
        <w:rPr>
          <w:rFonts w:cs="Helvetica"/>
        </w:rPr>
        <w:t xml:space="preserve"> 10 de febrero de 2014</w:t>
      </w:r>
      <w:r w:rsidRPr="00E35392">
        <w:rPr>
          <w:rFonts w:cs="Helvetica"/>
        </w:rPr>
        <w:t xml:space="preserve">, </w:t>
      </w:r>
      <w:r>
        <w:rPr>
          <w:rFonts w:cs="Helvetica"/>
        </w:rPr>
        <w:t>de</w:t>
      </w:r>
      <w:r w:rsidRPr="00E35392">
        <w:rPr>
          <w:rFonts w:cs="Helvetica"/>
        </w:rPr>
        <w:t xml:space="preserve"> </w:t>
      </w:r>
      <w:hyperlink r:id="rId130" w:history="1">
        <w:r w:rsidRPr="00E35392">
          <w:rPr>
            <w:rStyle w:val="Hyperlink"/>
            <w:rFonts w:cs="Helvetica"/>
          </w:rPr>
          <w:t>http://www.npc.umich.edu</w:t>
        </w:r>
      </w:hyperlink>
    </w:p>
    <w:p w:rsidR="00564D67" w:rsidRPr="00E35392" w:rsidRDefault="00564D67" w:rsidP="006C1869">
      <w:pPr>
        <w:widowControl w:val="0"/>
        <w:autoSpaceDE w:val="0"/>
        <w:autoSpaceDN w:val="0"/>
        <w:adjustRightInd w:val="0"/>
        <w:spacing w:line="240" w:lineRule="auto"/>
        <w:jc w:val="left"/>
        <w:rPr>
          <w:rFonts w:cs="Helvetica"/>
        </w:rPr>
      </w:pPr>
    </w:p>
    <w:p w:rsidR="00564D67" w:rsidRPr="00564D67" w:rsidRDefault="00564D67" w:rsidP="006C1869">
      <w:pPr>
        <w:widowControl w:val="0"/>
        <w:autoSpaceDE w:val="0"/>
        <w:autoSpaceDN w:val="0"/>
        <w:adjustRightInd w:val="0"/>
        <w:spacing w:line="240" w:lineRule="auto"/>
        <w:ind w:left="800" w:hanging="800"/>
        <w:jc w:val="left"/>
        <w:rPr>
          <w:rFonts w:cs="Helvetica"/>
          <w:lang w:val="en-US"/>
        </w:rPr>
      </w:pPr>
      <w:r w:rsidRPr="00564D67">
        <w:rPr>
          <w:rFonts w:cs="Helvetica"/>
          <w:lang w:val="en-US"/>
        </w:rPr>
        <w:t xml:space="preserve">SOI Tax Stats - Corporation Data by Size:Table 5--Selected Balance Sheet, Income Statement, and Tax Items, by Sector, by Size of Business Receipts . (2013, July 3). </w:t>
      </w:r>
      <w:r w:rsidRPr="00564D67">
        <w:rPr>
          <w:rFonts w:cs="Helvetica"/>
          <w:i/>
          <w:iCs/>
          <w:lang w:val="en-US"/>
        </w:rPr>
        <w:t>Internal Revenue Servicie, US Department of Treasury</w:t>
      </w:r>
      <w:r w:rsidRPr="00564D67">
        <w:rPr>
          <w:rFonts w:cs="Helvetica"/>
          <w:lang w:val="en-US"/>
        </w:rPr>
        <w:t xml:space="preserve">. Recuperado el 10 de febrero de 2014, de </w:t>
      </w:r>
      <w:hyperlink r:id="rId131" w:history="1">
        <w:r w:rsidRPr="00564D67">
          <w:rPr>
            <w:rStyle w:val="Hyperlink"/>
            <w:rFonts w:cs="Helvetica"/>
            <w:lang w:val="en-US"/>
          </w:rPr>
          <w:t>http://www.irs.gov/uac/SOI-Tax-Stats-Table-5-Returns-of-Active-Corporations</w:t>
        </w:r>
      </w:hyperlink>
    </w:p>
    <w:p w:rsidR="00564D67" w:rsidRPr="00564D67" w:rsidRDefault="00564D67" w:rsidP="006C1869">
      <w:pPr>
        <w:widowControl w:val="0"/>
        <w:autoSpaceDE w:val="0"/>
        <w:autoSpaceDN w:val="0"/>
        <w:adjustRightInd w:val="0"/>
        <w:spacing w:line="240" w:lineRule="auto"/>
        <w:jc w:val="left"/>
        <w:rPr>
          <w:rFonts w:cs="Helvetica"/>
          <w:lang w:val="en-US"/>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564D67">
        <w:rPr>
          <w:rFonts w:cs="Helvetica"/>
          <w:lang w:val="en-US"/>
        </w:rPr>
        <w:t xml:space="preserve">SOI Tax Stats - Individual Income Tax: Table 1.1 All Returns: Selected Income and Tax Items, by Size and Accumulated Size of Adjusted Gross Income, Tax Year 2011. </w:t>
      </w:r>
      <w:r w:rsidRPr="00433858">
        <w:rPr>
          <w:rFonts w:cs="Helvetica"/>
        </w:rPr>
        <w:t xml:space="preserve">Recuperado el febrero de 2014, de Internal Revenue Services, US Departament of Treasury. </w:t>
      </w:r>
      <w:r w:rsidRPr="00711DF3">
        <w:rPr>
          <w:rFonts w:cs="Helvetica"/>
        </w:rPr>
        <w:t xml:space="preserve">(2013, August 12). </w:t>
      </w:r>
      <w:r w:rsidRPr="00E35392">
        <w:rPr>
          <w:rFonts w:cs="Helvetica"/>
          <w:i/>
          <w:iCs/>
        </w:rPr>
        <w:t>Internal Revenue Services</w:t>
      </w:r>
      <w:r w:rsidRPr="00E35392">
        <w:rPr>
          <w:rFonts w:cs="Helvetica"/>
        </w:rPr>
        <w:t xml:space="preserve">.  </w:t>
      </w:r>
      <w:r w:rsidRPr="005B1ED6">
        <w:rPr>
          <w:rFonts w:cs="Helvetica"/>
        </w:rPr>
        <w:t>Recuperado el</w:t>
      </w:r>
      <w:r>
        <w:rPr>
          <w:rFonts w:cs="Helvetica"/>
        </w:rPr>
        <w:t xml:space="preserve"> 10 de febrero de 2014</w:t>
      </w:r>
      <w:r w:rsidRPr="00E35392">
        <w:rPr>
          <w:rFonts w:cs="Helvetica"/>
        </w:rPr>
        <w:t xml:space="preserve">, </w:t>
      </w:r>
      <w:r>
        <w:rPr>
          <w:rFonts w:cs="Helvetica"/>
        </w:rPr>
        <w:t>de</w:t>
      </w:r>
      <w:r w:rsidRPr="00E35392">
        <w:rPr>
          <w:rFonts w:cs="Helvetica"/>
        </w:rPr>
        <w:t xml:space="preserve"> </w:t>
      </w:r>
      <w:hyperlink r:id="rId132" w:history="1">
        <w:r w:rsidRPr="00E35392">
          <w:rPr>
            <w:rStyle w:val="Hyperlink"/>
            <w:rFonts w:cs="Helvetica"/>
          </w:rPr>
          <w:t>http://www.irs.gov/uac/SOI-Tax-Stats---Individual-Statistical-Tables-by-Size-of-Adjusted-Gross-Income</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564D67">
        <w:rPr>
          <w:rFonts w:cs="Helvetica"/>
          <w:lang w:val="en-US"/>
        </w:rPr>
        <w:t xml:space="preserve">State Government Finances: Annual Survey of State Government Finances Summary Table. </w:t>
      </w:r>
      <w:r w:rsidRPr="00711DF3">
        <w:rPr>
          <w:rFonts w:cs="Helvetica"/>
        </w:rPr>
        <w:t xml:space="preserve">(n.d.). </w:t>
      </w:r>
      <w:r w:rsidRPr="00711DF3">
        <w:rPr>
          <w:rFonts w:cs="Helvetica"/>
          <w:i/>
          <w:iCs/>
        </w:rPr>
        <w:t>Census Bureau Homepage</w:t>
      </w:r>
      <w:r w:rsidRPr="00711DF3">
        <w:rPr>
          <w:rFonts w:cs="Helvetica"/>
        </w:rPr>
        <w:t xml:space="preserve">. </w:t>
      </w:r>
      <w:r w:rsidRPr="005B1ED6">
        <w:rPr>
          <w:rFonts w:cs="Helvetica"/>
        </w:rPr>
        <w:t xml:space="preserve">Recuperado el 20 de enero de 2014, </w:t>
      </w:r>
      <w:r>
        <w:rPr>
          <w:rFonts w:cs="Helvetica"/>
        </w:rPr>
        <w:t>de</w:t>
      </w:r>
      <w:r w:rsidRPr="00E35392">
        <w:t xml:space="preserve"> </w:t>
      </w:r>
      <w:hyperlink r:id="rId133" w:history="1">
        <w:r w:rsidRPr="00E35392">
          <w:rPr>
            <w:rStyle w:val="Hyperlink"/>
            <w:rFonts w:cs="Helvetica"/>
          </w:rPr>
          <w:t>https://www.census.gov/govs/state/</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E35392" w:rsidRDefault="00564D67" w:rsidP="006C1869">
      <w:pPr>
        <w:widowControl w:val="0"/>
        <w:autoSpaceDE w:val="0"/>
        <w:autoSpaceDN w:val="0"/>
        <w:adjustRightInd w:val="0"/>
        <w:spacing w:line="240" w:lineRule="auto"/>
        <w:ind w:left="800" w:hanging="800"/>
        <w:jc w:val="left"/>
        <w:rPr>
          <w:rFonts w:cs="Helvetica"/>
        </w:rPr>
      </w:pPr>
      <w:r w:rsidRPr="00564D67">
        <w:rPr>
          <w:rFonts w:cs="Helvetica"/>
          <w:lang w:val="en-US"/>
        </w:rPr>
        <w:t xml:space="preserve">Sullivan, M. A. (2014, January 27). Economic Analysis: The Treasury Bailout of Puerto Rico. </w:t>
      </w:r>
      <w:r w:rsidRPr="00711DF3">
        <w:rPr>
          <w:rFonts w:cs="Helvetica"/>
          <w:i/>
          <w:iCs/>
        </w:rPr>
        <w:t>Tax Analysts</w:t>
      </w:r>
      <w:r w:rsidRPr="00711DF3">
        <w:rPr>
          <w:rFonts w:cs="Helvetica"/>
        </w:rPr>
        <w:t xml:space="preserve">. </w:t>
      </w:r>
      <w:r>
        <w:rPr>
          <w:rFonts w:cs="Helvetica"/>
        </w:rPr>
        <w:t xml:space="preserve">  </w:t>
      </w:r>
      <w:r w:rsidRPr="005B1ED6">
        <w:rPr>
          <w:rFonts w:cs="Helvetica"/>
        </w:rPr>
        <w:t>Recuperado el</w:t>
      </w:r>
      <w:r>
        <w:rPr>
          <w:rFonts w:cs="Helvetica"/>
        </w:rPr>
        <w:t xml:space="preserve"> 10 de febrero de 2014</w:t>
      </w:r>
      <w:r w:rsidRPr="00E35392">
        <w:rPr>
          <w:rFonts w:cs="Helvetica"/>
        </w:rPr>
        <w:t xml:space="preserve">, </w:t>
      </w:r>
      <w:r>
        <w:rPr>
          <w:rFonts w:cs="Helvetica"/>
        </w:rPr>
        <w:t>de</w:t>
      </w:r>
      <w:r w:rsidRPr="00E35392">
        <w:rPr>
          <w:rFonts w:cs="Helvetica"/>
        </w:rPr>
        <w:t xml:space="preserve"> </w:t>
      </w:r>
      <w:hyperlink r:id="rId134" w:history="1">
        <w:r w:rsidRPr="00E35392">
          <w:rPr>
            <w:rStyle w:val="Hyperlink"/>
            <w:rFonts w:cs="Helvetica"/>
          </w:rPr>
          <w:t>http://www.taxanalysts.com/www/features.nsf/Articles/1F974381895173AC85257C6D005F0128?OpenDocument</w:t>
        </w:r>
      </w:hyperlink>
    </w:p>
    <w:p w:rsidR="00564D67" w:rsidRPr="00E35392" w:rsidRDefault="00564D67" w:rsidP="006C1869">
      <w:pPr>
        <w:widowControl w:val="0"/>
        <w:autoSpaceDE w:val="0"/>
        <w:autoSpaceDN w:val="0"/>
        <w:adjustRightInd w:val="0"/>
        <w:spacing w:line="240" w:lineRule="auto"/>
        <w:ind w:left="800" w:hanging="800"/>
        <w:jc w:val="left"/>
        <w:rPr>
          <w:rFonts w:cs="Helvetica"/>
        </w:rPr>
      </w:pPr>
    </w:p>
    <w:p w:rsidR="00564D67" w:rsidRPr="00564D67" w:rsidRDefault="00564D67" w:rsidP="006C1869">
      <w:pPr>
        <w:suppressAutoHyphens/>
        <w:spacing w:after="240" w:line="240" w:lineRule="auto"/>
        <w:ind w:left="720" w:hanging="720"/>
        <w:jc w:val="left"/>
        <w:rPr>
          <w:rFonts w:eastAsia="SimSun" w:cs="Calibri"/>
          <w:noProof/>
          <w:kern w:val="1"/>
          <w:lang w:val="en-US" w:eastAsia="ar-SA"/>
        </w:rPr>
      </w:pPr>
      <w:r w:rsidRPr="00564D67">
        <w:rPr>
          <w:rFonts w:eastAsia="SimSun" w:cs="Calibri"/>
          <w:noProof/>
          <w:kern w:val="1"/>
          <w:lang w:val="en-US" w:eastAsia="ar-SA"/>
        </w:rPr>
        <w:t xml:space="preserve">The Lewin Group; The Nelson A. Rockfeller Institute of Government. (2004). </w:t>
      </w:r>
      <w:r w:rsidRPr="00564D67">
        <w:rPr>
          <w:rFonts w:eastAsia="SimSun" w:cs="Calibri"/>
          <w:i/>
          <w:iCs/>
          <w:noProof/>
          <w:kern w:val="1"/>
          <w:lang w:val="en-US" w:eastAsia="ar-SA"/>
        </w:rPr>
        <w:t>Spending on Social Welfare Programs in Rich and Poor States.</w:t>
      </w:r>
      <w:r w:rsidRPr="00564D67">
        <w:rPr>
          <w:rFonts w:eastAsia="SimSun" w:cs="Calibri"/>
          <w:noProof/>
          <w:kern w:val="1"/>
          <w:lang w:val="en-US" w:eastAsia="ar-SA"/>
        </w:rPr>
        <w:t xml:space="preserve"> </w:t>
      </w:r>
    </w:p>
    <w:p w:rsidR="00564D67" w:rsidRPr="00711DF3" w:rsidRDefault="00564D67" w:rsidP="006C1869">
      <w:pPr>
        <w:suppressAutoHyphens/>
        <w:spacing w:after="240" w:line="240" w:lineRule="auto"/>
        <w:ind w:left="720" w:hanging="720"/>
        <w:jc w:val="left"/>
        <w:rPr>
          <w:rFonts w:eastAsia="SimSun" w:cs="Calibri"/>
          <w:noProof/>
          <w:kern w:val="1"/>
          <w:lang w:eastAsia="ar-SA"/>
        </w:rPr>
      </w:pPr>
      <w:r w:rsidRPr="00564D67">
        <w:rPr>
          <w:rFonts w:eastAsia="SimSun" w:cs="Calibri"/>
          <w:noProof/>
          <w:kern w:val="1"/>
          <w:lang w:val="en-US" w:eastAsia="ar-SA"/>
        </w:rPr>
        <w:t xml:space="preserve">US Government Accountability Office. (2006). </w:t>
      </w:r>
      <w:r w:rsidRPr="00564D67">
        <w:rPr>
          <w:rFonts w:eastAsia="SimSun" w:cs="Calibri"/>
          <w:i/>
          <w:iCs/>
          <w:noProof/>
          <w:kern w:val="1"/>
          <w:lang w:val="en-US" w:eastAsia="ar-SA"/>
        </w:rPr>
        <w:t>Puerto Rico: Fiscal Relations with the Federal Government and Economic Trends during the Phaseout of Possessions GAO 06-541 Tax Credit.</w:t>
      </w:r>
      <w:r w:rsidRPr="00564D67">
        <w:rPr>
          <w:rFonts w:eastAsia="SimSun" w:cs="Calibri"/>
          <w:noProof/>
          <w:kern w:val="1"/>
          <w:lang w:val="en-US" w:eastAsia="ar-SA"/>
        </w:rPr>
        <w:t xml:space="preserve"> </w:t>
      </w:r>
      <w:r w:rsidRPr="00711DF3">
        <w:rPr>
          <w:rFonts w:eastAsia="SimSun" w:cs="Calibri"/>
          <w:noProof/>
          <w:kern w:val="1"/>
          <w:lang w:eastAsia="ar-SA"/>
        </w:rPr>
        <w:t>Washington, D.C.</w:t>
      </w:r>
    </w:p>
    <w:p w:rsidR="005A5E7D" w:rsidRPr="00587A7B" w:rsidRDefault="005A5E7D" w:rsidP="00587A7B">
      <w:pPr>
        <w:suppressAutoHyphens/>
        <w:spacing w:after="240" w:line="240" w:lineRule="auto"/>
        <w:ind w:left="720" w:hanging="720"/>
        <w:rPr>
          <w:rFonts w:eastAsia="SimSun" w:cs="Calibri"/>
          <w:noProof/>
          <w:kern w:val="1"/>
          <w:lang w:eastAsia="ar-SA"/>
        </w:rPr>
      </w:pPr>
      <w:r w:rsidRPr="006C2E2C">
        <w:rPr>
          <w:rFonts w:eastAsia="Times New Roman"/>
          <w:b/>
          <w:bCs/>
          <w:kern w:val="1"/>
          <w:sz w:val="28"/>
          <w:szCs w:val="28"/>
          <w:lang w:eastAsia="ar-SA"/>
        </w:rPr>
        <w:br w:type="page"/>
      </w:r>
    </w:p>
    <w:p w:rsidR="005A5E7D" w:rsidRPr="00F4132D" w:rsidRDefault="005A5E7D" w:rsidP="005A5E7D">
      <w:pPr>
        <w:pStyle w:val="Subtitle"/>
      </w:pPr>
      <w:r w:rsidRPr="00F4132D">
        <w:rPr>
          <w:szCs w:val="28"/>
        </w:rPr>
        <w:t>A</w:t>
      </w:r>
      <w:r>
        <w:rPr>
          <w:szCs w:val="28"/>
        </w:rPr>
        <w:t>péndice</w:t>
      </w:r>
      <w:r w:rsidRPr="00F4132D">
        <w:t xml:space="preserve"> 3</w:t>
      </w:r>
      <w:r>
        <w:rPr>
          <w:szCs w:val="28"/>
        </w:rPr>
        <w:t>.</w:t>
      </w:r>
      <w:r w:rsidRPr="00F4132D">
        <w:rPr>
          <w:szCs w:val="28"/>
        </w:rPr>
        <w:t xml:space="preserve">A: Presupuesto </w:t>
      </w:r>
      <w:r>
        <w:rPr>
          <w:szCs w:val="28"/>
        </w:rPr>
        <w:t>c</w:t>
      </w:r>
      <w:r w:rsidRPr="00F4132D">
        <w:rPr>
          <w:szCs w:val="28"/>
        </w:rPr>
        <w:t xml:space="preserve">onsolidado </w:t>
      </w:r>
      <w:r>
        <w:rPr>
          <w:szCs w:val="28"/>
        </w:rPr>
        <w:t>p</w:t>
      </w:r>
      <w:r w:rsidRPr="00F4132D">
        <w:rPr>
          <w:szCs w:val="28"/>
        </w:rPr>
        <w:t xml:space="preserve">or </w:t>
      </w:r>
      <w:r>
        <w:rPr>
          <w:szCs w:val="28"/>
        </w:rPr>
        <w:t>a</w:t>
      </w:r>
      <w:r w:rsidRPr="00F4132D">
        <w:rPr>
          <w:szCs w:val="28"/>
        </w:rPr>
        <w:t>gencia</w:t>
      </w:r>
    </w:p>
    <w:tbl>
      <w:tblPr>
        <w:tblW w:w="0" w:type="auto"/>
        <w:tblBorders>
          <w:top w:val="single" w:sz="12" w:space="0" w:color="008000"/>
          <w:bottom w:val="single" w:sz="12" w:space="0" w:color="008000"/>
        </w:tblBorders>
        <w:tblLook w:val="04A0"/>
      </w:tblPr>
      <w:tblGrid>
        <w:gridCol w:w="901"/>
        <w:gridCol w:w="6829"/>
        <w:gridCol w:w="923"/>
        <w:gridCol w:w="923"/>
      </w:tblGrid>
      <w:tr w:rsidR="005A5E7D" w:rsidRPr="006C2E2C">
        <w:trPr>
          <w:gridAfter w:val="1"/>
          <w:trHeight w:val="216"/>
        </w:trPr>
        <w:tc>
          <w:tcPr>
            <w:tcW w:w="0" w:type="auto"/>
            <w:gridSpan w:val="3"/>
            <w:tcBorders>
              <w:bottom w:val="single" w:sz="6" w:space="0" w:color="008000"/>
            </w:tcBorders>
            <w:shd w:val="clear" w:color="auto" w:fill="auto"/>
            <w:noWrap/>
            <w:vAlign w:val="bottom"/>
          </w:tcPr>
          <w:p w:rsidR="005A5E7D" w:rsidRPr="006C2E2C" w:rsidRDefault="005A5E7D" w:rsidP="005A5E7D">
            <w:pPr>
              <w:suppressAutoHyphens/>
              <w:spacing w:line="240" w:lineRule="auto"/>
              <w:ind w:firstLine="0"/>
              <w:jc w:val="center"/>
              <w:rPr>
                <w:rFonts w:ascii="Arial Narrow" w:eastAsia="Times New Roman" w:hAnsi="Arial Narrow"/>
                <w:color w:val="000000"/>
                <w:sz w:val="20"/>
                <w:szCs w:val="20"/>
              </w:rPr>
            </w:pPr>
          </w:p>
        </w:tc>
      </w:tr>
      <w:tr w:rsidR="005A5E7D" w:rsidRPr="006C2E2C">
        <w:trPr>
          <w:trHeight w:val="216"/>
        </w:trPr>
        <w:tc>
          <w:tcPr>
            <w:tcW w:w="0" w:type="auto"/>
            <w:shd w:val="clear" w:color="auto" w:fill="auto"/>
            <w:noWrap/>
            <w:vAlign w:val="bottom"/>
          </w:tcPr>
          <w:p w:rsidR="005A5E7D" w:rsidRPr="00DF7253" w:rsidRDefault="005A5E7D" w:rsidP="005A5E7D">
            <w:pPr>
              <w:spacing w:line="240" w:lineRule="auto"/>
              <w:ind w:firstLine="0"/>
              <w:jc w:val="left"/>
              <w:rPr>
                <w:rFonts w:ascii="Arial Narrow" w:hAnsi="Arial Narrow"/>
                <w:b/>
                <w:color w:val="000000"/>
                <w:sz w:val="20"/>
              </w:rPr>
            </w:pPr>
            <w:r w:rsidRPr="00DF7253">
              <w:rPr>
                <w:rFonts w:ascii="Arial Narrow" w:eastAsia="Times New Roman" w:hAnsi="Arial Narrow"/>
                <w:b/>
                <w:color w:val="000000"/>
                <w:sz w:val="20"/>
                <w:szCs w:val="20"/>
              </w:rPr>
              <w:t>SECTOR</w:t>
            </w:r>
          </w:p>
        </w:tc>
        <w:tc>
          <w:tcPr>
            <w:tcW w:w="0" w:type="auto"/>
            <w:shd w:val="clear" w:color="auto" w:fill="auto"/>
            <w:noWrap/>
            <w:vAlign w:val="bottom"/>
          </w:tcPr>
          <w:p w:rsidR="005A5E7D" w:rsidRPr="00DF7253" w:rsidRDefault="005A5E7D" w:rsidP="005A5E7D">
            <w:pPr>
              <w:spacing w:line="240" w:lineRule="auto"/>
              <w:ind w:right="1400" w:firstLine="0"/>
              <w:jc w:val="left"/>
              <w:rPr>
                <w:rFonts w:ascii="Arial Narrow" w:hAnsi="Arial Narrow"/>
                <w:b/>
                <w:color w:val="000000"/>
                <w:sz w:val="20"/>
              </w:rPr>
            </w:pPr>
            <w:r w:rsidRPr="00DF7253">
              <w:rPr>
                <w:rFonts w:ascii="Arial Narrow" w:eastAsia="Times New Roman" w:hAnsi="Arial Narrow"/>
                <w:b/>
                <w:color w:val="000000"/>
                <w:sz w:val="20"/>
                <w:szCs w:val="20"/>
              </w:rPr>
              <w:t>Nombre de Agencia</w:t>
            </w:r>
          </w:p>
        </w:tc>
        <w:tc>
          <w:tcPr>
            <w:tcW w:w="0" w:type="auto"/>
            <w:gridSpan w:val="2"/>
            <w:shd w:val="clear" w:color="auto" w:fill="auto"/>
            <w:noWrap/>
            <w:vAlign w:val="bottom"/>
          </w:tcPr>
          <w:p w:rsidR="005A5E7D" w:rsidRPr="00DF7253" w:rsidRDefault="005A5E7D" w:rsidP="005A5E7D">
            <w:pPr>
              <w:spacing w:line="240" w:lineRule="auto"/>
              <w:ind w:firstLine="0"/>
              <w:jc w:val="right"/>
              <w:rPr>
                <w:rFonts w:ascii="Arial Narrow" w:hAnsi="Arial Narrow"/>
                <w:b/>
                <w:color w:val="000000"/>
                <w:sz w:val="20"/>
              </w:rPr>
            </w:pPr>
          </w:p>
        </w:tc>
      </w:tr>
      <w:tr w:rsidR="005A5E7D" w:rsidRPr="006C2E2C">
        <w:trPr>
          <w:trHeight w:val="216"/>
        </w:trPr>
        <w:tc>
          <w:tcPr>
            <w:tcW w:w="0" w:type="auto"/>
            <w:shd w:val="clear" w:color="auto" w:fill="auto"/>
            <w:noWrap/>
            <w:vAlign w:val="bottom"/>
          </w:tcPr>
          <w:p w:rsidR="005A5E7D" w:rsidRPr="00DF7253" w:rsidRDefault="005A5E7D" w:rsidP="005A5E7D">
            <w:pPr>
              <w:spacing w:line="240" w:lineRule="auto"/>
              <w:ind w:firstLine="0"/>
              <w:jc w:val="left"/>
              <w:rPr>
                <w:rFonts w:ascii="Arial Narrow" w:hAnsi="Arial Narrow"/>
                <w:b/>
                <w:color w:val="000000"/>
                <w:sz w:val="20"/>
              </w:rPr>
            </w:pPr>
            <w:r w:rsidRPr="00DF7253">
              <w:rPr>
                <w:rFonts w:ascii="Arial Narrow" w:eastAsia="Times New Roman" w:hAnsi="Arial Narrow"/>
                <w:b/>
                <w:color w:val="000000"/>
                <w:sz w:val="20"/>
                <w:szCs w:val="20"/>
              </w:rPr>
              <w:t> </w:t>
            </w:r>
          </w:p>
        </w:tc>
        <w:tc>
          <w:tcPr>
            <w:tcW w:w="0" w:type="auto"/>
            <w:shd w:val="clear" w:color="auto" w:fill="auto"/>
            <w:vAlign w:val="bottom"/>
          </w:tcPr>
          <w:p w:rsidR="005A5E7D" w:rsidRPr="00DF7253" w:rsidRDefault="005A5E7D" w:rsidP="005A5E7D">
            <w:pPr>
              <w:spacing w:line="240" w:lineRule="auto"/>
              <w:ind w:firstLine="0"/>
              <w:jc w:val="left"/>
              <w:rPr>
                <w:rFonts w:ascii="Arial Narrow" w:hAnsi="Arial Narrow"/>
                <w:b/>
                <w:color w:val="000000"/>
                <w:sz w:val="20"/>
              </w:rPr>
            </w:pPr>
            <w:r w:rsidRPr="00DF7253">
              <w:rPr>
                <w:rFonts w:ascii="Arial Narrow" w:eastAsia="Times New Roman" w:hAnsi="Arial Narrow"/>
                <w:b/>
                <w:color w:val="000000"/>
                <w:sz w:val="20"/>
                <w:szCs w:val="20"/>
              </w:rPr>
              <w:t> </w:t>
            </w:r>
          </w:p>
        </w:tc>
        <w:tc>
          <w:tcPr>
            <w:tcW w:w="0" w:type="auto"/>
            <w:gridSpan w:val="2"/>
            <w:shd w:val="clear" w:color="auto" w:fill="auto"/>
            <w:noWrap/>
            <w:vAlign w:val="bottom"/>
          </w:tcPr>
          <w:p w:rsidR="005A5E7D" w:rsidRPr="00DF7253" w:rsidRDefault="005A5E7D" w:rsidP="005A5E7D">
            <w:pPr>
              <w:spacing w:line="240" w:lineRule="auto"/>
              <w:ind w:firstLine="0"/>
              <w:jc w:val="right"/>
              <w:rPr>
                <w:rFonts w:ascii="Arial Narrow" w:hAnsi="Arial Narrow"/>
                <w:b/>
                <w:color w:val="000000"/>
                <w:sz w:val="20"/>
              </w:rPr>
            </w:pPr>
            <w:r w:rsidRPr="00DF7253">
              <w:rPr>
                <w:rFonts w:ascii="Arial Narrow" w:eastAsia="Times New Roman" w:hAnsi="Arial Narrow"/>
                <w:b/>
                <w:color w:val="000000"/>
                <w:sz w:val="20"/>
                <w:szCs w:val="20"/>
              </w:rPr>
              <w:t>Presupuesto Gastado 2011</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Asuntos Energéticos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872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la Industria y el Deporte Hípico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2,657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para  el Desarrollo de Empresas Agropecuarias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81,789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de Conservación y Desarrollo de Culebra </w:t>
            </w:r>
          </w:p>
        </w:tc>
        <w:tc>
          <w:tcPr>
            <w:tcW w:w="0" w:type="auto"/>
            <w:gridSpan w:val="2"/>
            <w:shd w:val="clear" w:color="auto" w:fill="auto"/>
          </w:tcPr>
          <w:p w:rsidR="005A5E7D" w:rsidRPr="006C2E2C" w:rsidRDefault="005A5E7D" w:rsidP="008964A4">
            <w:pPr>
              <w:spacing w:line="240" w:lineRule="auto"/>
              <w:ind w:firstLineChars="300" w:firstLine="467"/>
              <w:jc w:val="right"/>
              <w:rPr>
                <w:rFonts w:ascii="Arial Narrow" w:hAnsi="Arial Narrow"/>
                <w:color w:val="000000"/>
                <w:sz w:val="20"/>
              </w:rPr>
            </w:pPr>
            <w:r w:rsidRPr="006C2E2C">
              <w:rPr>
                <w:rFonts w:ascii="Arial Narrow" w:eastAsia="Times New Roman" w:hAnsi="Arial Narrow"/>
                <w:color w:val="000000"/>
                <w:sz w:val="20"/>
                <w:szCs w:val="20"/>
              </w:rPr>
              <w:t xml:space="preserve">       310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de Tierras de Puerto Rico </w:t>
            </w:r>
          </w:p>
        </w:tc>
        <w:tc>
          <w:tcPr>
            <w:tcW w:w="0" w:type="auto"/>
            <w:gridSpan w:val="2"/>
            <w:shd w:val="clear" w:color="auto" w:fill="auto"/>
          </w:tcPr>
          <w:p w:rsidR="005A5E7D" w:rsidRPr="006C2E2C" w:rsidRDefault="005A5E7D" w:rsidP="008964A4">
            <w:pPr>
              <w:spacing w:line="240" w:lineRule="auto"/>
              <w:ind w:firstLineChars="300" w:firstLine="467"/>
              <w:jc w:val="right"/>
              <w:rPr>
                <w:rFonts w:ascii="Arial Narrow" w:hAnsi="Arial Narrow"/>
                <w:color w:val="000000"/>
                <w:sz w:val="20"/>
              </w:rPr>
            </w:pPr>
            <w:r w:rsidRPr="006C2E2C">
              <w:rPr>
                <w:rFonts w:ascii="Arial Narrow" w:eastAsia="Times New Roman" w:hAnsi="Arial Narrow"/>
                <w:color w:val="000000"/>
                <w:sz w:val="20"/>
                <w:szCs w:val="20"/>
              </w:rPr>
              <w:t xml:space="preserve">       488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del Puerto de las Américas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para  el Redesarrollo de los Terrenos y Facilidades de la Estación Naval Roosevelt Roads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Comisión de Desarrollo Cooperativo de Puerto Rico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3,481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Compañía de Comercio y Exportación de Puerto Rico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1,000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Compañía de Turismo de Puerto Rico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4,000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Compañía para  el Desarrollo Integral de la Península de Cantera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400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Corporación del Proyecto ENLACE del Caño Martín Peña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1,019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Corporación para  el Desarrollo de las Artes, Ciencias e Industria Cinematográfica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426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Desarrollo Económico y Comercio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3,536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Aportaciones al Quehacer Cultural </w:t>
            </w:r>
          </w:p>
        </w:tc>
        <w:tc>
          <w:tcPr>
            <w:tcW w:w="0" w:type="auto"/>
            <w:gridSpan w:val="2"/>
            <w:shd w:val="clear" w:color="auto" w:fill="auto"/>
          </w:tcPr>
          <w:p w:rsidR="005A5E7D" w:rsidRPr="006C2E2C" w:rsidRDefault="005A5E7D" w:rsidP="008964A4">
            <w:pPr>
              <w:spacing w:line="240" w:lineRule="auto"/>
              <w:ind w:firstLineChars="300" w:firstLine="467"/>
              <w:jc w:val="right"/>
              <w:rPr>
                <w:rFonts w:ascii="Arial Narrow" w:hAnsi="Arial Narrow"/>
                <w:color w:val="000000"/>
                <w:sz w:val="20"/>
              </w:rPr>
            </w:pPr>
            <w:r w:rsidRPr="006C2E2C">
              <w:rPr>
                <w:rFonts w:ascii="Arial Narrow" w:eastAsia="Times New Roman" w:hAnsi="Arial Narrow"/>
                <w:color w:val="000000"/>
                <w:sz w:val="20"/>
                <w:szCs w:val="20"/>
              </w:rPr>
              <w:t xml:space="preserve">       500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Colegio Universitario de Justicia Criminal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2,787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Consejo de Educación de Puerto Rico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23,994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Corporación de Puerto Rico para  la Difusión Pública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16,883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Corporación de las Artes Musicales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8,626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Corporación del Centro de Bellas Artes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4,525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Corporación del Conservatorio de Música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4,307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Educación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2,028,144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Escuela de Artes Plásticas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1,824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Instituto de Cultura  Puertorriqueña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22,427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Universidad de Puerto Rico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756,036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EV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Recursos Naturales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40,128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EV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de Desperdicios Sólidos de Puerto Rico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8,247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EV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Compañía de Parques Nacionales de Puerto Rico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20,831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EV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Recreación y Deportes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38,441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EV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Recursos Naturales y Ambientales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939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EV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Junta de Calidad Ambiental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6,134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Asuntos Federales  de Puerto Rico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4,419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Servicios Generales </w:t>
            </w:r>
          </w:p>
        </w:tc>
        <w:tc>
          <w:tcPr>
            <w:tcW w:w="0" w:type="auto"/>
            <w:gridSpan w:val="2"/>
            <w:shd w:val="clear" w:color="auto" w:fill="auto"/>
          </w:tcPr>
          <w:p w:rsidR="005A5E7D" w:rsidRPr="006C2E2C" w:rsidRDefault="005A5E7D" w:rsidP="008964A4">
            <w:pPr>
              <w:spacing w:line="240" w:lineRule="auto"/>
              <w:ind w:firstLineChars="300" w:firstLine="467"/>
              <w:jc w:val="right"/>
              <w:rPr>
                <w:rFonts w:ascii="Arial Narrow" w:hAnsi="Arial Narrow"/>
                <w:color w:val="000000"/>
                <w:sz w:val="20"/>
              </w:rPr>
            </w:pPr>
            <w:r w:rsidRPr="006C2E2C">
              <w:rPr>
                <w:rFonts w:ascii="Arial Narrow" w:eastAsia="Times New Roman" w:hAnsi="Arial Narrow"/>
                <w:color w:val="000000"/>
                <w:sz w:val="20"/>
                <w:szCs w:val="20"/>
              </w:rPr>
              <w:t xml:space="preserve">       200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Aportaciones a los Municipios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362,767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Asamblea Legislativa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139,333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de Edificios Públicos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6,000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para  el Financiamiento de la Infraestructura de Puerto Rico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117,000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Comisión Apelativa del Servicio Público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4,285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Comisión de Investigación, Procesamiento y Apelación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458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Comisión de Servicio Público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8,074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Agricultura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18,127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Asuntos del Consumidor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10,425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Estado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7,279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Hacienda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234,328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Justicia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130,319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Guardia Nacional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7,894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Instituto de Estadísticas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742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Junta Revisora de Permisos y Uso de Terrenos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932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Junta de Planificación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11,323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Estatal de Conservación Histórica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1,836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Administración de las Procuradurías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Asuntos de la Juventud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4,397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Capacitación y Asesoramiento en Asuntos Laborales y de Administración de Recursos Humanos (OCALARH)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4,963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Etica Gubernamental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10,290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Gerencia de Permisos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5,626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Gerencia y Presupuesto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14,735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Tecnologías de Información y Comunicación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la Procuradora de las Mujeres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3,021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Comisionado de Asuntos Municipales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4,286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Contralor Electoral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Contralor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43,000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Coordinador General para el Financiamiento Socioeconómico y la Autogestión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3,368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Gobernador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21,036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Inspector General de Permisos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3,238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Inspector General del Gobierno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3,111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Procurador de la Salud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2,501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Procurador de las Personas Pensionadas y de la Tercera Edad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3,540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Procurador de las Personas con  Impedimentos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2,364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Procurador del Ciudadano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5,376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del Procurador del Veterano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2,789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Panel Sobre el Fiscal Especial Independiente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2,000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GA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Tribunal General de Justicia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347,944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Agencia Estatal para  el Manejo de Emergencias y Administración de Desastres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6,152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Aportaciones a los Partidos Políticos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1,200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Asignaciones bajo la Custodia de Hacienda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Asignaciones bajo la Custodia de la Oficina de Gerencia y Presupuesto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502,100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Comisión estatal de Elecciones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36,083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GE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Comisión de Derechos Civiles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1,193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HH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Servicios Médicos de Puerto Rico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15,160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HH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Servicios de Salud Mental y Contra la Adicción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103,580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HH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Corporación del Centro Cardiovascular de Puerto Rico y del Caribe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3,051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HH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Cuerpo de Emergencias Médicas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25,802 </w:t>
            </w:r>
          </w:p>
        </w:tc>
      </w:tr>
      <w:tr w:rsidR="005A5E7D" w:rsidRPr="006C2E2C">
        <w:trPr>
          <w:trHeight w:val="20"/>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HH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Salud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261,588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HH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Instituto de Ciencias Forenses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17,037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HH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Salud Correccional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73,436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HO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Vivienda Pública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1,500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HO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la Vivienda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17,607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ID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Deuda Pública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61,246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PS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Cuerpo de Bomberos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63,192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PS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Corrección y Rehabilitación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420,741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PS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Junta de Libertad bajo Palabra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2,425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PS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Oficina de Servicios con  Antelación al Juicio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6,168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PS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Policía de Puerto Rico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764,588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R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Aportaciones para  Pensiones y Seguridad Social - Sistema de Retiro de Empleados del Gobierno y La Judicatura (Sistema Central)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242,625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R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Aportaciones para  Pensiones y Seguridad Social - Sistema de Retiro de Maestros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91,928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Desarrollo Laboral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Desarrollo Socioeconómico de la Familia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91,632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Familias y Niños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178,390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Rehabilitación Vocacional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18,671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para  el Cuidado y Desarrollo Integral de la Niñez (ACUDEN)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9,444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de Seguros de Salud de Puerto Rico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1,217,049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Administración para  el Sustento de Menores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11,281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Corporación de Industrias de Ciegos, Personas Mentalmente Retardadas y Otras Personas Incapacitadas de Puerto Rico </w:t>
            </w:r>
          </w:p>
        </w:tc>
        <w:tc>
          <w:tcPr>
            <w:tcW w:w="0" w:type="auto"/>
            <w:gridSpan w:val="2"/>
            <w:shd w:val="clear" w:color="auto" w:fill="auto"/>
          </w:tcPr>
          <w:p w:rsidR="005A5E7D" w:rsidRPr="006C2E2C" w:rsidRDefault="005A5E7D" w:rsidP="008964A4">
            <w:pPr>
              <w:spacing w:line="240" w:lineRule="auto"/>
              <w:ind w:firstLineChars="200" w:firstLine="311"/>
              <w:jc w:val="right"/>
              <w:rPr>
                <w:rFonts w:ascii="Arial Narrow" w:hAnsi="Arial Narrow"/>
                <w:color w:val="000000"/>
                <w:sz w:val="20"/>
              </w:rPr>
            </w:pPr>
            <w:r w:rsidRPr="006C2E2C">
              <w:rPr>
                <w:rFonts w:ascii="Arial Narrow" w:eastAsia="Times New Roman" w:hAnsi="Arial Narrow"/>
                <w:color w:val="000000"/>
                <w:sz w:val="20"/>
                <w:szCs w:val="20"/>
              </w:rPr>
              <w:t xml:space="preserve">          500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del Trabajo y Recursos Humanos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21,760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Junta de Relaciones delTrabajo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780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SS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Secretariado del Departamento de la Familia </w:t>
            </w:r>
          </w:p>
        </w:tc>
        <w:tc>
          <w:tcPr>
            <w:tcW w:w="0" w:type="auto"/>
            <w:gridSpan w:val="2"/>
            <w:shd w:val="clear" w:color="auto" w:fill="auto"/>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36,842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T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Metropolitana de Autobuses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33,775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T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de Transporte Marítimo  de Puerto Rico y las Islas Municipio </w:t>
            </w:r>
          </w:p>
        </w:tc>
        <w:tc>
          <w:tcPr>
            <w:tcW w:w="0" w:type="auto"/>
            <w:gridSpan w:val="2"/>
            <w:shd w:val="clear" w:color="auto" w:fill="auto"/>
          </w:tcPr>
          <w:p w:rsidR="005A5E7D" w:rsidRPr="006C2E2C" w:rsidRDefault="005A5E7D" w:rsidP="008964A4">
            <w:pPr>
              <w:spacing w:line="240" w:lineRule="auto"/>
              <w:ind w:firstLineChars="100" w:firstLine="156"/>
              <w:jc w:val="right"/>
              <w:rPr>
                <w:rFonts w:ascii="Arial Narrow" w:hAnsi="Arial Narrow"/>
                <w:color w:val="000000"/>
                <w:sz w:val="20"/>
              </w:rPr>
            </w:pPr>
            <w:r w:rsidRPr="006C2E2C">
              <w:rPr>
                <w:rFonts w:ascii="Arial Narrow" w:eastAsia="Times New Roman" w:hAnsi="Arial Narrow"/>
                <w:color w:val="000000"/>
                <w:sz w:val="20"/>
                <w:szCs w:val="20"/>
              </w:rPr>
              <w:t xml:space="preserve">        24,157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T </w:t>
            </w:r>
          </w:p>
        </w:tc>
        <w:tc>
          <w:tcPr>
            <w:tcW w:w="0" w:type="auto"/>
            <w:shd w:val="clear" w:color="auto" w:fill="auto"/>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Autoridad de los Puertos </w:t>
            </w:r>
          </w:p>
        </w:tc>
        <w:tc>
          <w:tcPr>
            <w:tcW w:w="0" w:type="auto"/>
            <w:gridSpan w:val="2"/>
            <w:shd w:val="clear" w:color="auto" w:fill="auto"/>
          </w:tcPr>
          <w:p w:rsidR="005A5E7D" w:rsidRPr="006C2E2C" w:rsidRDefault="005A5E7D" w:rsidP="008964A4">
            <w:pPr>
              <w:spacing w:line="240" w:lineRule="auto"/>
              <w:ind w:firstLineChars="300" w:firstLine="467"/>
              <w:jc w:val="right"/>
              <w:rPr>
                <w:rFonts w:ascii="Arial Narrow" w:hAnsi="Arial Narrow"/>
                <w:color w:val="000000"/>
                <w:sz w:val="20"/>
              </w:rPr>
            </w:pPr>
            <w:r w:rsidRPr="006C2E2C">
              <w:rPr>
                <w:rFonts w:ascii="Arial Narrow" w:eastAsia="Times New Roman" w:hAnsi="Arial Narrow"/>
                <w:color w:val="000000"/>
                <w:sz w:val="20"/>
                <w:szCs w:val="20"/>
              </w:rPr>
              <w:t xml:space="preserve">       900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T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Departamento de Transportación y Obras Públicas </w:t>
            </w:r>
          </w:p>
        </w:tc>
        <w:tc>
          <w:tcPr>
            <w:tcW w:w="0" w:type="auto"/>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60,397 </w:t>
            </w:r>
          </w:p>
        </w:tc>
      </w:tr>
      <w:tr w:rsidR="005A5E7D" w:rsidRPr="006C2E2C">
        <w:trPr>
          <w:trHeight w:val="216"/>
        </w:trPr>
        <w:tc>
          <w:tcPr>
            <w:tcW w:w="0" w:type="auto"/>
            <w:tcBorders>
              <w:bottom w:val="single" w:sz="4" w:space="0" w:color="auto"/>
            </w:tcBorders>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c>
          <w:tcPr>
            <w:tcW w:w="0" w:type="auto"/>
            <w:tcBorders>
              <w:bottom w:val="single" w:sz="4" w:space="0" w:color="auto"/>
            </w:tcBorders>
            <w:shd w:val="clear" w:color="auto" w:fill="auto"/>
          </w:tcPr>
          <w:p w:rsidR="005A5E7D" w:rsidRPr="006C2E2C" w:rsidRDefault="005A5E7D" w:rsidP="005A5E7D">
            <w:pPr>
              <w:spacing w:line="240" w:lineRule="auto"/>
              <w:ind w:firstLine="0"/>
              <w:jc w:val="left"/>
              <w:rPr>
                <w:rFonts w:ascii="Arial Narrow" w:hAnsi="Arial Narrow"/>
                <w:b/>
                <w:color w:val="000000"/>
                <w:sz w:val="20"/>
              </w:rPr>
            </w:pPr>
            <w:r w:rsidRPr="006C2E2C">
              <w:rPr>
                <w:rFonts w:ascii="Arial Narrow" w:eastAsia="Times New Roman" w:hAnsi="Arial Narrow"/>
                <w:b/>
                <w:color w:val="000000"/>
                <w:sz w:val="20"/>
                <w:szCs w:val="20"/>
              </w:rPr>
              <w:t xml:space="preserve"> GRAN TOTAL: </w:t>
            </w:r>
          </w:p>
        </w:tc>
        <w:tc>
          <w:tcPr>
            <w:tcW w:w="0" w:type="auto"/>
            <w:gridSpan w:val="2"/>
            <w:tcBorders>
              <w:bottom w:val="single" w:sz="4" w:space="0" w:color="auto"/>
            </w:tcBorders>
            <w:shd w:val="clear" w:color="auto" w:fill="auto"/>
          </w:tcPr>
          <w:p w:rsidR="005A5E7D" w:rsidRPr="006C2E2C" w:rsidRDefault="005A5E7D" w:rsidP="005A5E7D">
            <w:pPr>
              <w:spacing w:line="240" w:lineRule="auto"/>
              <w:ind w:firstLine="0"/>
              <w:jc w:val="right"/>
              <w:rPr>
                <w:rFonts w:ascii="Arial Narrow" w:hAnsi="Arial Narrow"/>
                <w:b/>
                <w:color w:val="000000"/>
                <w:sz w:val="20"/>
              </w:rPr>
            </w:pPr>
            <w:r w:rsidRPr="006C2E2C">
              <w:rPr>
                <w:rFonts w:ascii="Arial Narrow" w:eastAsia="Times New Roman" w:hAnsi="Arial Narrow"/>
                <w:b/>
                <w:color w:val="000000"/>
                <w:sz w:val="20"/>
                <w:szCs w:val="20"/>
              </w:rPr>
              <w:t xml:space="preserve">      9,062,057 </w:t>
            </w:r>
          </w:p>
        </w:tc>
      </w:tr>
      <w:tr w:rsidR="005A5E7D" w:rsidRPr="006C2E2C">
        <w:trPr>
          <w:trHeight w:val="216"/>
        </w:trPr>
        <w:tc>
          <w:tcPr>
            <w:tcW w:w="0" w:type="auto"/>
            <w:tcBorders>
              <w:top w:val="single" w:sz="4" w:space="0" w:color="auto"/>
              <w:bottom w:val="nil"/>
            </w:tcBorders>
            <w:shd w:val="clear" w:color="auto" w:fill="auto"/>
            <w:noWrap/>
          </w:tcPr>
          <w:p w:rsidR="005A5E7D" w:rsidRPr="00661350" w:rsidRDefault="005A5E7D" w:rsidP="005A5E7D">
            <w:pPr>
              <w:spacing w:line="240" w:lineRule="auto"/>
              <w:ind w:firstLine="0"/>
              <w:jc w:val="left"/>
              <w:rPr>
                <w:rFonts w:ascii="Arial Narrow" w:hAnsi="Arial Narrow"/>
                <w:b/>
                <w:color w:val="000000"/>
                <w:sz w:val="20"/>
              </w:rPr>
            </w:pPr>
            <w:r w:rsidRPr="00661350">
              <w:rPr>
                <w:rFonts w:ascii="Arial Narrow" w:eastAsia="Times New Roman" w:hAnsi="Arial Narrow"/>
                <w:b/>
                <w:color w:val="000000"/>
                <w:sz w:val="20"/>
                <w:szCs w:val="20"/>
              </w:rPr>
              <w:t>Leyenda</w:t>
            </w:r>
          </w:p>
        </w:tc>
        <w:tc>
          <w:tcPr>
            <w:tcW w:w="0" w:type="auto"/>
            <w:tcBorders>
              <w:top w:val="single" w:sz="4" w:space="0" w:color="auto"/>
              <w:bottom w:val="nil"/>
            </w:tcBorders>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0" w:type="auto"/>
            <w:gridSpan w:val="2"/>
            <w:tcBorders>
              <w:top w:val="single" w:sz="4" w:space="0" w:color="auto"/>
              <w:bottom w:val="nil"/>
            </w:tcBorders>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 </w:t>
            </w:r>
          </w:p>
        </w:tc>
      </w:tr>
      <w:tr w:rsidR="005A5E7D" w:rsidRPr="006C2E2C">
        <w:trPr>
          <w:trHeight w:val="216"/>
        </w:trPr>
        <w:tc>
          <w:tcPr>
            <w:tcW w:w="0" w:type="auto"/>
            <w:tcBorders>
              <w:top w:val="nil"/>
            </w:tcBorders>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DE</w:t>
            </w:r>
          </w:p>
        </w:tc>
        <w:tc>
          <w:tcPr>
            <w:tcW w:w="0" w:type="auto"/>
            <w:tcBorders>
              <w:top w:val="nil"/>
            </w:tcBorders>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Desarrollo Económico</w:t>
            </w:r>
          </w:p>
        </w:tc>
        <w:tc>
          <w:tcPr>
            <w:tcW w:w="0" w:type="auto"/>
            <w:gridSpan w:val="2"/>
            <w:tcBorders>
              <w:top w:val="nil"/>
            </w:tcBorders>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E</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Educación</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EV</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Ambiental y Recreación y Deportes</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GA</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Administración Gubernamental</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GE</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Gastos Generales</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HH</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Salud</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HO</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Vivienda</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ID</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Intereses Deuda Publica</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PS</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Seguridad Publica</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R</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Sistemas de Retiro</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SS</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 xml:space="preserve">Servicios Sociales </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T</w:t>
            </w: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hAnsi="Arial Narrow"/>
                <w:color w:val="3891A7"/>
                <w:kern w:val="1"/>
                <w:sz w:val="20"/>
                <w:lang w:eastAsia="ar-SA"/>
              </w:rPr>
            </w:pPr>
            <w:r w:rsidRPr="006C2E2C">
              <w:rPr>
                <w:rFonts w:ascii="Arial Narrow" w:eastAsia="+mn-ea" w:hAnsi="Arial Narrow" w:cs="Arial"/>
                <w:color w:val="000000"/>
                <w:kern w:val="24"/>
                <w:sz w:val="20"/>
                <w:szCs w:val="20"/>
                <w:lang w:eastAsia="ar-SA"/>
              </w:rPr>
              <w:t>Transportación</w:t>
            </w: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w:t>
            </w:r>
          </w:p>
        </w:tc>
      </w:tr>
      <w:tr w:rsidR="005A5E7D" w:rsidRPr="006C2E2C">
        <w:trPr>
          <w:trHeight w:val="216"/>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0" w:type="auto"/>
            <w:shd w:val="clear" w:color="auto" w:fill="auto"/>
            <w:noWrap/>
          </w:tcPr>
          <w:p w:rsidR="005A5E7D" w:rsidRPr="006C2E2C" w:rsidRDefault="005A5E7D" w:rsidP="005A5E7D">
            <w:pPr>
              <w:numPr>
                <w:ilvl w:val="1"/>
                <w:numId w:val="9"/>
              </w:numPr>
              <w:spacing w:line="240" w:lineRule="auto"/>
              <w:contextualSpacing/>
              <w:jc w:val="left"/>
              <w:textAlignment w:val="bottom"/>
              <w:rPr>
                <w:rFonts w:ascii="Arial Narrow" w:eastAsia="+mn-ea" w:hAnsi="Arial Narrow" w:cs="Arial"/>
                <w:color w:val="000000"/>
                <w:kern w:val="24"/>
                <w:sz w:val="20"/>
                <w:lang w:eastAsia="ar-SA"/>
              </w:rPr>
            </w:pPr>
          </w:p>
        </w:tc>
        <w:tc>
          <w:tcPr>
            <w:tcW w:w="0" w:type="auto"/>
            <w:gridSpan w:val="2"/>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r>
    </w:tbl>
    <w:p w:rsidR="005A5E7D" w:rsidRDefault="005A5E7D" w:rsidP="005A5E7D">
      <w:pPr>
        <w:pStyle w:val="Heading1"/>
        <w:rPr>
          <w:rFonts w:eastAsia="+mn-ea"/>
          <w:b w:val="0"/>
          <w:bCs w:val="0"/>
          <w:color w:val="000000"/>
          <w:kern w:val="1"/>
          <w:sz w:val="24"/>
          <w:szCs w:val="24"/>
          <w:lang w:eastAsia="ar-SA"/>
        </w:rPr>
      </w:pPr>
    </w:p>
    <w:p w:rsidR="005A5E7D" w:rsidRPr="0098064A" w:rsidRDefault="005A5E7D" w:rsidP="005A5E7D">
      <w:pPr>
        <w:spacing w:after="200" w:line="240" w:lineRule="auto"/>
        <w:ind w:firstLine="0"/>
        <w:jc w:val="left"/>
        <w:rPr>
          <w:sz w:val="16"/>
        </w:rPr>
      </w:pPr>
    </w:p>
    <w:p w:rsidR="00B015EE" w:rsidRDefault="00B015EE" w:rsidP="00B015EE">
      <w:pPr>
        <w:pStyle w:val="Heading1"/>
        <w:sectPr w:rsidR="00B015EE">
          <w:headerReference w:type="even" r:id="rId135"/>
          <w:headerReference w:type="default" r:id="rId136"/>
          <w:footerReference w:type="default" r:id="rId137"/>
          <w:headerReference w:type="first" r:id="rId138"/>
          <w:pgSz w:w="12240" w:h="15840"/>
          <w:pgMar w:top="1440" w:right="1440" w:bottom="1440" w:left="1440" w:gutter="0"/>
          <w:docGrid w:linePitch="326"/>
        </w:sectPr>
      </w:pPr>
    </w:p>
    <w:p w:rsidR="005A5E7D" w:rsidRPr="00BD4C56" w:rsidRDefault="005A5E7D" w:rsidP="00B015EE">
      <w:pPr>
        <w:pStyle w:val="Heading1"/>
      </w:pPr>
      <w:bookmarkStart w:id="64" w:name="_Toc384769758"/>
      <w:r w:rsidRPr="00BD4C56">
        <w:t xml:space="preserve">Capítulo 4: Implicaciones de la </w:t>
      </w:r>
      <w:r>
        <w:t>e</w:t>
      </w:r>
      <w:r w:rsidRPr="00BD4C56">
        <w:t xml:space="preserve">stadidad para el </w:t>
      </w:r>
      <w:r>
        <w:t>c</w:t>
      </w:r>
      <w:r w:rsidRPr="00BD4C56">
        <w:t xml:space="preserve">omercio </w:t>
      </w:r>
      <w:r>
        <w:t>e</w:t>
      </w:r>
      <w:r w:rsidRPr="00BD4C56">
        <w:t xml:space="preserve">xterior y el </w:t>
      </w:r>
      <w:r>
        <w:t>s</w:t>
      </w:r>
      <w:r w:rsidRPr="00BD4C56">
        <w:t xml:space="preserve">ector </w:t>
      </w:r>
      <w:r>
        <w:t>e</w:t>
      </w:r>
      <w:r w:rsidRPr="00BD4C56">
        <w:t>mpresarial</w:t>
      </w:r>
      <w:bookmarkEnd w:id="64"/>
      <w:r w:rsidRPr="00BD4C56">
        <w:t xml:space="preserve"> </w:t>
      </w:r>
    </w:p>
    <w:p w:rsidR="005A5E7D" w:rsidRPr="00ED7DE7" w:rsidRDefault="005A5E7D" w:rsidP="005A5E7D">
      <w:pPr>
        <w:pStyle w:val="Subtitle"/>
        <w:rPr>
          <w:sz w:val="16"/>
        </w:rPr>
      </w:pPr>
    </w:p>
    <w:p w:rsidR="005A5E7D" w:rsidRPr="00C260F1" w:rsidRDefault="005A5E7D" w:rsidP="005A5E7D">
      <w:pPr>
        <w:spacing w:line="240" w:lineRule="auto"/>
        <w:jc w:val="right"/>
        <w:rPr>
          <w:b/>
          <w:i/>
          <w:lang w:val="es-ES_tradnl"/>
        </w:rPr>
      </w:pPr>
      <w:r w:rsidRPr="00C260F1">
        <w:rPr>
          <w:b/>
          <w:i/>
          <w:lang w:val="es-ES_tradnl"/>
        </w:rPr>
        <w:t>Eileen Segarra Alméstica</w:t>
      </w:r>
    </w:p>
    <w:p w:rsidR="005A5E7D" w:rsidRPr="00C260F1" w:rsidRDefault="005A5E7D" w:rsidP="005A5E7D">
      <w:pPr>
        <w:spacing w:line="240" w:lineRule="auto"/>
        <w:jc w:val="right"/>
        <w:rPr>
          <w:b/>
          <w:i/>
          <w:lang w:val="es-ES_tradnl"/>
        </w:rPr>
      </w:pPr>
      <w:r w:rsidRPr="00C260F1">
        <w:rPr>
          <w:b/>
          <w:i/>
          <w:lang w:val="es-ES_tradnl"/>
        </w:rPr>
        <w:t>Alicia Rodríguez Castro</w:t>
      </w:r>
    </w:p>
    <w:p w:rsidR="005A5E7D" w:rsidRPr="00ED7DE7" w:rsidRDefault="005A5E7D" w:rsidP="005A5E7D">
      <w:pPr>
        <w:spacing w:line="240" w:lineRule="auto"/>
        <w:jc w:val="right"/>
        <w:rPr>
          <w:b/>
          <w:i/>
          <w:lang w:val="es-ES_tradnl"/>
        </w:rPr>
      </w:pPr>
      <w:r w:rsidRPr="00ED7DE7">
        <w:rPr>
          <w:b/>
          <w:i/>
          <w:lang w:val="es-ES_tradnl"/>
        </w:rPr>
        <w:t>Federico Goyechea</w:t>
      </w:r>
    </w:p>
    <w:p w:rsidR="005A5E7D" w:rsidRDefault="005A5E7D" w:rsidP="005A5E7D">
      <w:pPr>
        <w:spacing w:line="240" w:lineRule="auto"/>
        <w:jc w:val="right"/>
        <w:rPr>
          <w:i/>
          <w:lang w:val="es-ES_tradnl"/>
        </w:rPr>
      </w:pPr>
      <w:r>
        <w:rPr>
          <w:i/>
          <w:lang w:val="es-ES_tradnl"/>
        </w:rPr>
        <w:t>Departamento de Economía</w:t>
      </w:r>
    </w:p>
    <w:p w:rsidR="005A5E7D" w:rsidRDefault="005A5E7D" w:rsidP="005A5E7D">
      <w:pPr>
        <w:spacing w:line="240" w:lineRule="auto"/>
        <w:jc w:val="right"/>
        <w:rPr>
          <w:i/>
          <w:lang w:val="es-ES_tradnl"/>
        </w:rPr>
      </w:pPr>
      <w:r>
        <w:rPr>
          <w:i/>
          <w:lang w:val="es-ES_tradnl"/>
        </w:rPr>
        <w:t>Universidad de Puerto Rico</w:t>
      </w:r>
    </w:p>
    <w:p w:rsidR="005A5E7D" w:rsidRPr="00FD46AC" w:rsidRDefault="005A5E7D" w:rsidP="005A5E7D">
      <w:pPr>
        <w:spacing w:line="240" w:lineRule="auto"/>
        <w:jc w:val="right"/>
        <w:rPr>
          <w:i/>
          <w:lang w:val="es-ES_tradnl"/>
        </w:rPr>
      </w:pPr>
      <w:r>
        <w:rPr>
          <w:i/>
          <w:lang w:val="es-ES_tradnl"/>
        </w:rPr>
        <w:t>Recinto de Río Piedras</w:t>
      </w:r>
    </w:p>
    <w:p w:rsidR="005A5E7D" w:rsidRPr="00D968EC" w:rsidRDefault="005A5E7D" w:rsidP="00CB3560">
      <w:pPr>
        <w:pStyle w:val="Heading2"/>
        <w:numPr>
          <w:ilvl w:val="0"/>
          <w:numId w:val="25"/>
        </w:numPr>
      </w:pPr>
      <w:bookmarkStart w:id="65" w:name="_Toc384769759"/>
      <w:r>
        <w:t>Introducción</w:t>
      </w:r>
      <w:bookmarkEnd w:id="65"/>
    </w:p>
    <w:p w:rsidR="005A5E7D" w:rsidRDefault="005A5E7D" w:rsidP="005A5E7D">
      <w:pPr>
        <w:spacing w:line="360" w:lineRule="auto"/>
        <w:rPr>
          <w:lang w:val="es-ES_tradnl"/>
        </w:rPr>
      </w:pPr>
    </w:p>
    <w:p w:rsidR="005A5E7D" w:rsidRDefault="005A5E7D" w:rsidP="005A5E7D">
      <w:pPr>
        <w:rPr>
          <w:lang w:val="es-ES_tradnl"/>
        </w:rPr>
      </w:pPr>
      <w:r>
        <w:rPr>
          <w:lang w:val="es-ES_tradnl"/>
        </w:rPr>
        <w:t>Este capítulo estudia las reglas de comercio exterior que son aplicables a Puerto Rico como parte del mercado común que tiene con Estados Unidos, y como inciden sobre su capacidad de exportación</w:t>
      </w:r>
      <w:r w:rsidRPr="00C803A1">
        <w:t xml:space="preserve">, </w:t>
      </w:r>
      <w:r>
        <w:rPr>
          <w:lang w:val="es-ES_tradnl"/>
        </w:rPr>
        <w:t xml:space="preserve">tomando en consideración los tratados comerciales vigentes. La investigación se centra en el análisis de los datos macroeconómicos de exportaciones e </w:t>
      </w:r>
      <w:r w:rsidRPr="003E6812">
        <w:rPr>
          <w:lang w:val="es-ES_tradnl"/>
        </w:rPr>
        <w:t>importaciones</w:t>
      </w:r>
      <w:r>
        <w:rPr>
          <w:lang w:val="es-ES_tradnl"/>
        </w:rPr>
        <w:t xml:space="preserve"> </w:t>
      </w:r>
      <w:r w:rsidRPr="003E6812">
        <w:rPr>
          <w:lang w:val="es-ES_tradnl"/>
        </w:rPr>
        <w:t>de Puerto Rico.</w:t>
      </w:r>
      <w:r>
        <w:rPr>
          <w:lang w:val="es-ES_tradnl"/>
        </w:rPr>
        <w:t xml:space="preserve"> </w:t>
      </w:r>
      <w:r w:rsidRPr="003E6812">
        <w:rPr>
          <w:lang w:val="es-ES_tradnl"/>
        </w:rPr>
        <w:t>A través de dicho análisis se busca identificar:</w:t>
      </w:r>
      <w:r>
        <w:rPr>
          <w:lang w:val="es-ES_tradnl"/>
        </w:rPr>
        <w:t xml:space="preserve"> </w:t>
      </w:r>
      <w:r w:rsidRPr="003E6812">
        <w:rPr>
          <w:lang w:val="es-ES_tradnl"/>
        </w:rPr>
        <w:t>los p</w:t>
      </w:r>
      <w:r>
        <w:rPr>
          <w:lang w:val="es-ES_tradnl"/>
        </w:rPr>
        <w:t xml:space="preserve">roductos de mayor exportación, </w:t>
      </w:r>
      <w:r w:rsidRPr="003E6812">
        <w:rPr>
          <w:lang w:val="es-ES_tradnl"/>
        </w:rPr>
        <w:t>los mercados más importantes para</w:t>
      </w:r>
      <w:r>
        <w:rPr>
          <w:lang w:val="es-ES_tradnl"/>
        </w:rPr>
        <w:t xml:space="preserve"> </w:t>
      </w:r>
      <w:r w:rsidRPr="003E6812">
        <w:rPr>
          <w:lang w:val="es-ES_tradnl"/>
        </w:rPr>
        <w:t>Puerto Rico, la diversificación de exportaciones en el país en términos de tipo de producto y lugar de exportación</w:t>
      </w:r>
      <w:r>
        <w:rPr>
          <w:lang w:val="es-ES_tradnl"/>
        </w:rPr>
        <w:t>,</w:t>
      </w:r>
      <w:r w:rsidRPr="003E6812">
        <w:rPr>
          <w:lang w:val="es-ES_tradnl"/>
        </w:rPr>
        <w:t xml:space="preserve"> y la posible participación de empresas </w:t>
      </w:r>
      <w:r>
        <w:rPr>
          <w:lang w:val="es-ES_tradnl"/>
        </w:rPr>
        <w:t>puertorriqueña</w:t>
      </w:r>
      <w:r w:rsidRPr="003E6812">
        <w:rPr>
          <w:lang w:val="es-ES_tradnl"/>
        </w:rPr>
        <w:t>s en las mismas.</w:t>
      </w:r>
      <w:r>
        <w:rPr>
          <w:lang w:val="es-ES_tradnl"/>
        </w:rPr>
        <w:t xml:space="preserve"> </w:t>
      </w:r>
    </w:p>
    <w:p w:rsidR="005A5E7D" w:rsidRDefault="005A5E7D" w:rsidP="005A5E7D">
      <w:pPr>
        <w:rPr>
          <w:lang w:val="es-ES_tradnl"/>
        </w:rPr>
      </w:pPr>
      <w:r>
        <w:rPr>
          <w:lang w:val="es-ES_tradnl"/>
        </w:rPr>
        <w:t xml:space="preserve">Nuestro análisis sirve de base para auscultar si la estadidad implica ventajas o limitaciones adicionales para el desarrollo del comercio exterior de Puerto Rico y las expectativas de internacionalización de su clase empresarial, </w:t>
      </w:r>
      <w:r w:rsidRPr="00C871BC">
        <w:rPr>
          <w:lang w:val="es-ES_tradnl"/>
        </w:rPr>
        <w:t>incluyendo a las</w:t>
      </w:r>
      <w:r>
        <w:rPr>
          <w:lang w:val="es-ES_tradnl"/>
        </w:rPr>
        <w:t xml:space="preserve"> pequeñas y medianas empresas (pymes). Se toman en consideración los factores que delimitan el marco de acción de participación de la Isla en tratados comerciales vigentes, a luz de su condición territorial y su ubicación geográfica. Además, se examinan los cambios en el nivel de exportaciones hacia diversas regiones o países y como se relacionan al mercado común con Estados Unidos. </w:t>
      </w:r>
    </w:p>
    <w:p w:rsidR="005A5E7D" w:rsidRDefault="005A5E7D" w:rsidP="005A5E7D">
      <w:pPr>
        <w:rPr>
          <w:lang w:val="es-ES_tradnl"/>
        </w:rPr>
      </w:pPr>
      <w:r>
        <w:rPr>
          <w:lang w:val="es-ES_tradnl"/>
        </w:rPr>
        <w:t>El análisis utilizó varias fuentes de información:</w:t>
      </w:r>
    </w:p>
    <w:p w:rsidR="005A5E7D" w:rsidRDefault="005A5E7D" w:rsidP="00CB3560">
      <w:pPr>
        <w:pStyle w:val="ColorfulList-Accent11"/>
        <w:numPr>
          <w:ilvl w:val="0"/>
          <w:numId w:val="18"/>
        </w:numPr>
        <w:ind w:left="993" w:hanging="284"/>
        <w:rPr>
          <w:lang w:val="es-ES_tradnl"/>
        </w:rPr>
      </w:pPr>
      <w:r>
        <w:rPr>
          <w:lang w:val="es-ES_tradnl"/>
        </w:rPr>
        <w:t>Datos de importaciones y exportaciones de Puerto Rico para los años 2006 y 2007 y de 2009 a 2013, provistos por la Junta de Planificación de Puerto Rico; incluyen datos por países, tipo de producto y sector industrial.</w:t>
      </w:r>
    </w:p>
    <w:p w:rsidR="005A5E7D" w:rsidRDefault="005A5E7D" w:rsidP="00CB3560">
      <w:pPr>
        <w:pStyle w:val="ColorfulList-Accent11"/>
        <w:numPr>
          <w:ilvl w:val="0"/>
          <w:numId w:val="18"/>
        </w:numPr>
        <w:ind w:left="993" w:hanging="284"/>
        <w:rPr>
          <w:lang w:val="es-ES_tradnl"/>
        </w:rPr>
      </w:pPr>
      <w:r>
        <w:rPr>
          <w:lang w:val="es-ES_tradnl"/>
        </w:rPr>
        <w:t xml:space="preserve">Datos de exportaciones de Puerto Rico por sector industrial a países en particular o grupos de países, obtenidos a través de </w:t>
      </w:r>
      <w:r>
        <w:rPr>
          <w:i/>
          <w:lang w:val="es-ES_tradnl"/>
        </w:rPr>
        <w:t>TradeStats Express</w:t>
      </w:r>
      <w:r>
        <w:rPr>
          <w:lang w:val="es-ES_tradnl"/>
        </w:rPr>
        <w:t xml:space="preserve"> </w:t>
      </w:r>
      <w:r>
        <w:rPr>
          <w:noProof/>
        </w:rPr>
        <w:t>(</w:t>
      </w:r>
      <w:r w:rsidRPr="0070104C">
        <w:rPr>
          <w:i/>
          <w:noProof/>
        </w:rPr>
        <w:t>International Trade Administration</w:t>
      </w:r>
      <w:r>
        <w:rPr>
          <w:noProof/>
        </w:rPr>
        <w:t>, Departmento de Comercio de Estados Unidos).</w:t>
      </w:r>
    </w:p>
    <w:p w:rsidR="005A5E7D" w:rsidRDefault="005A5E7D" w:rsidP="00CB3560">
      <w:pPr>
        <w:pStyle w:val="ColorfulList-Accent11"/>
        <w:numPr>
          <w:ilvl w:val="0"/>
          <w:numId w:val="18"/>
        </w:numPr>
        <w:ind w:left="993" w:hanging="284"/>
        <w:rPr>
          <w:lang w:val="es-ES_tradnl"/>
        </w:rPr>
      </w:pPr>
      <w:r>
        <w:rPr>
          <w:lang w:val="es-ES_tradnl"/>
        </w:rPr>
        <w:t xml:space="preserve">Datos del </w:t>
      </w:r>
      <w:r w:rsidRPr="0070104C">
        <w:rPr>
          <w:i/>
          <w:lang w:val="es-ES_tradnl"/>
        </w:rPr>
        <w:t>Registro de Comerciantes</w:t>
      </w:r>
      <w:r>
        <w:rPr>
          <w:lang w:val="es-ES_tradnl"/>
        </w:rPr>
        <w:t xml:space="preserve"> de la Compañía de Comercio y Exportación (CCE)  para el 2011.</w:t>
      </w:r>
    </w:p>
    <w:p w:rsidR="005A5E7D" w:rsidRPr="002A79A0" w:rsidRDefault="005A5E7D" w:rsidP="00CB3560">
      <w:pPr>
        <w:pStyle w:val="ColorfulList-Accent11"/>
        <w:numPr>
          <w:ilvl w:val="0"/>
          <w:numId w:val="18"/>
        </w:numPr>
        <w:ind w:left="993" w:hanging="284"/>
        <w:rPr>
          <w:lang w:val="es-ES_tradnl"/>
        </w:rPr>
      </w:pPr>
      <w:r>
        <w:rPr>
          <w:lang w:val="es-ES_tradnl"/>
        </w:rPr>
        <w:t xml:space="preserve">Datos de importaciones por tipo de producto, de países o regiones particulares, obtenidos a través del </w:t>
      </w:r>
      <w:r>
        <w:rPr>
          <w:i/>
          <w:lang w:val="es-ES_tradnl"/>
        </w:rPr>
        <w:t>TradeStats Express</w:t>
      </w:r>
      <w:r>
        <w:rPr>
          <w:i/>
          <w:noProof/>
        </w:rPr>
        <w:t xml:space="preserve"> </w:t>
      </w:r>
      <w:r>
        <w:rPr>
          <w:noProof/>
        </w:rPr>
        <w:t>(</w:t>
      </w:r>
      <w:r w:rsidRPr="0070104C">
        <w:rPr>
          <w:i/>
          <w:noProof/>
        </w:rPr>
        <w:t>International Trade Administration</w:t>
      </w:r>
      <w:r>
        <w:rPr>
          <w:noProof/>
        </w:rPr>
        <w:t>, Departmento de Comercio de Estados Unidos)</w:t>
      </w:r>
      <w:r>
        <w:rPr>
          <w:i/>
          <w:lang w:val="es-ES_tradnl"/>
        </w:rPr>
        <w:t>.</w:t>
      </w:r>
    </w:p>
    <w:p w:rsidR="005A5E7D" w:rsidRDefault="005A5E7D" w:rsidP="00CB3560">
      <w:pPr>
        <w:pStyle w:val="ColorfulList-Accent11"/>
        <w:numPr>
          <w:ilvl w:val="0"/>
          <w:numId w:val="18"/>
        </w:numPr>
        <w:ind w:left="993" w:hanging="284"/>
        <w:rPr>
          <w:lang w:val="es-ES_tradnl"/>
        </w:rPr>
      </w:pPr>
      <w:r>
        <w:rPr>
          <w:lang w:val="es-ES_tradnl"/>
        </w:rPr>
        <w:t>Datos sobre la participación de pequeñas y medianas empresas en las exportaciones de Puerto Rico y Estados Unidos.</w:t>
      </w:r>
    </w:p>
    <w:p w:rsidR="005A5E7D" w:rsidRPr="00702244" w:rsidRDefault="005A5E7D" w:rsidP="005A5E7D">
      <w:pPr>
        <w:pStyle w:val="ColorfulList-Accent11"/>
        <w:spacing w:line="240" w:lineRule="auto"/>
        <w:ind w:left="709" w:firstLine="0"/>
        <w:rPr>
          <w:lang w:val="es-ES_tradnl"/>
        </w:rPr>
      </w:pPr>
    </w:p>
    <w:p w:rsidR="005A5E7D" w:rsidRDefault="005A5E7D" w:rsidP="005A5E7D">
      <w:pPr>
        <w:rPr>
          <w:lang w:val="es-ES_tradnl"/>
        </w:rPr>
      </w:pPr>
      <w:r>
        <w:rPr>
          <w:lang w:val="es-ES_tradnl"/>
        </w:rPr>
        <w:t xml:space="preserve">En primer lugar, describimos el comportamiento de las exportaciones de Puerto Rico, tomando en consideración su tamaño y su nivel de diversificación, y distinguiendo entre las exportaciones </w:t>
      </w:r>
      <w:r w:rsidRPr="00164CCB">
        <w:rPr>
          <w:lang w:val="es-ES_tradnl"/>
        </w:rPr>
        <w:t xml:space="preserve">que van hacia Estados Unidos y las exportaciones hacia el resto del </w:t>
      </w:r>
      <w:r>
        <w:rPr>
          <w:lang w:val="es-ES_tradnl"/>
        </w:rPr>
        <w:t>m</w:t>
      </w:r>
      <w:r w:rsidRPr="00164CCB">
        <w:rPr>
          <w:lang w:val="es-ES_tradnl"/>
        </w:rPr>
        <w:t>undo.</w:t>
      </w:r>
      <w:r>
        <w:rPr>
          <w:lang w:val="es-ES_tradnl"/>
        </w:rPr>
        <w:t xml:space="preserve"> </w:t>
      </w:r>
      <w:r w:rsidRPr="00164CCB">
        <w:rPr>
          <w:lang w:val="es-ES_tradnl"/>
        </w:rPr>
        <w:t>De igual modo</w:t>
      </w:r>
      <w:r>
        <w:rPr>
          <w:lang w:val="es-ES_tradnl"/>
        </w:rPr>
        <w:t>,</w:t>
      </w:r>
      <w:r w:rsidRPr="00164CCB">
        <w:rPr>
          <w:lang w:val="es-ES_tradnl"/>
        </w:rPr>
        <w:t xml:space="preserve"> presentamos de forma resumida cómo han cambiado las importaciones en términos de cantidad y lugar de procedencia.</w:t>
      </w:r>
      <w:r>
        <w:rPr>
          <w:lang w:val="es-ES_tradnl"/>
        </w:rPr>
        <w:t xml:space="preserve"> </w:t>
      </w:r>
      <w:r w:rsidRPr="003E6812">
        <w:rPr>
          <w:lang w:val="es-ES_tradnl"/>
        </w:rPr>
        <w:t>En segundo lugar, se analizan las relaciones comerciales de Puerto Rico en relación con los diferentes tratados comerciales existentes entre los países de América del Norte, América Latina y el Caribe, y c</w:t>
      </w:r>
      <w:r>
        <w:rPr>
          <w:lang w:val="es-ES_tradnl"/>
        </w:rPr>
        <w:t>ó</w:t>
      </w:r>
      <w:r w:rsidRPr="003E6812">
        <w:rPr>
          <w:lang w:val="es-ES_tradnl"/>
        </w:rPr>
        <w:t>mo estos tratados han incidido en las relaciones de comercio internacional de Puerto Rico.</w:t>
      </w:r>
      <w:r>
        <w:rPr>
          <w:lang w:val="es-ES_tradnl"/>
        </w:rPr>
        <w:t xml:space="preserve"> </w:t>
      </w:r>
      <w:r w:rsidRPr="003E6812">
        <w:rPr>
          <w:lang w:val="es-ES_tradnl"/>
        </w:rPr>
        <w:t>Final</w:t>
      </w:r>
      <w:r>
        <w:rPr>
          <w:lang w:val="es-ES_tradnl"/>
        </w:rPr>
        <w:t>mente, se presentan las dinámicas de exportación hacia otros bloques comerciales, en aras de identificar dónde pueden estar los nichos comerciales de Puerto Rico, y en especial aquellos que puedan abrirse a las pequeñas y medianas empresas puertorriqueñas.</w:t>
      </w:r>
    </w:p>
    <w:p w:rsidR="005A5E7D" w:rsidRPr="00BD6747" w:rsidRDefault="005A5E7D" w:rsidP="005A5E7D">
      <w:pPr>
        <w:spacing w:line="240" w:lineRule="auto"/>
        <w:rPr>
          <w:sz w:val="16"/>
          <w:lang w:val="es-ES_tradnl"/>
        </w:rPr>
      </w:pPr>
    </w:p>
    <w:p w:rsidR="005A5E7D" w:rsidRPr="00702244" w:rsidRDefault="005A5E7D" w:rsidP="00CB3560">
      <w:pPr>
        <w:pStyle w:val="Heading2"/>
        <w:numPr>
          <w:ilvl w:val="0"/>
          <w:numId w:val="31"/>
        </w:numPr>
        <w:ind w:left="426" w:hanging="426"/>
      </w:pPr>
      <w:bookmarkStart w:id="66" w:name="_Toc384769760"/>
      <w:r w:rsidRPr="00702244">
        <w:t>Tendencias en las exportaciones de Puerto Rico</w:t>
      </w:r>
      <w:bookmarkEnd w:id="66"/>
    </w:p>
    <w:p w:rsidR="005A5E7D" w:rsidRDefault="005A5E7D" w:rsidP="005A5E7D">
      <w:pPr>
        <w:spacing w:line="360" w:lineRule="auto"/>
        <w:rPr>
          <w:lang w:val="es-ES_tradnl"/>
        </w:rPr>
      </w:pPr>
    </w:p>
    <w:p w:rsidR="005A5E7D" w:rsidRDefault="005A5E7D" w:rsidP="005A5E7D">
      <w:pPr>
        <w:spacing w:after="120"/>
        <w:rPr>
          <w:lang w:val="es-ES_tradnl"/>
        </w:rPr>
      </w:pPr>
      <w:r>
        <w:rPr>
          <w:lang w:val="es-ES_tradnl"/>
        </w:rPr>
        <w:t xml:space="preserve">Del 2006 al 2013, el valor nominal de las exportaciones de Puerto Rico se redujo un 3%. Las exportaciones a Estados Unidos se redujeron un 13%, mientras que las exportaciones al resto del mundo aumentaron un 38%. La </w:t>
      </w:r>
      <w:r>
        <w:rPr>
          <w:b/>
          <w:lang w:val="es-ES_tradnl"/>
        </w:rPr>
        <w:t xml:space="preserve">Gráfica 1 </w:t>
      </w:r>
      <w:r>
        <w:rPr>
          <w:lang w:val="es-ES_tradnl"/>
        </w:rPr>
        <w:t xml:space="preserve">muestra el total de exportaciones y su composición para los años 2007, 2010 y 2013. Las exportaciones hacia </w:t>
      </w:r>
      <w:r w:rsidRPr="003E6812">
        <w:rPr>
          <w:lang w:val="es-ES_tradnl"/>
        </w:rPr>
        <w:t>E</w:t>
      </w:r>
      <w:r>
        <w:rPr>
          <w:lang w:val="es-ES_tradnl"/>
        </w:rPr>
        <w:t xml:space="preserve">stados </w:t>
      </w:r>
      <w:r w:rsidRPr="003E6812">
        <w:rPr>
          <w:lang w:val="es-ES_tradnl"/>
        </w:rPr>
        <w:t>U</w:t>
      </w:r>
      <w:r>
        <w:rPr>
          <w:lang w:val="es-ES_tradnl"/>
        </w:rPr>
        <w:t>nidos</w:t>
      </w:r>
      <w:r w:rsidRPr="003E6812">
        <w:rPr>
          <w:lang w:val="es-ES_tradnl"/>
        </w:rPr>
        <w:t xml:space="preserve"> alcanzaron un nivel</w:t>
      </w:r>
      <w:r>
        <w:rPr>
          <w:lang w:val="es-ES_tradnl"/>
        </w:rPr>
        <w:t xml:space="preserve"> </w:t>
      </w:r>
      <w:r w:rsidRPr="003E6812">
        <w:rPr>
          <w:lang w:val="es-ES_tradnl"/>
        </w:rPr>
        <w:t>máximo</w:t>
      </w:r>
      <w:r>
        <w:rPr>
          <w:lang w:val="es-ES_tradnl"/>
        </w:rPr>
        <w:t xml:space="preserve"> </w:t>
      </w:r>
      <w:r w:rsidRPr="003E6812">
        <w:rPr>
          <w:lang w:val="es-ES_tradnl"/>
        </w:rPr>
        <w:t>en el 2010 con $47</w:t>
      </w:r>
      <w:r>
        <w:rPr>
          <w:lang w:val="es-ES_tradnl"/>
        </w:rPr>
        <w:t>,600</w:t>
      </w:r>
      <w:r w:rsidRPr="003E6812">
        <w:rPr>
          <w:lang w:val="es-ES_tradnl"/>
        </w:rPr>
        <w:t xml:space="preserve"> </w:t>
      </w:r>
      <w:r>
        <w:rPr>
          <w:lang w:val="es-ES_tradnl"/>
        </w:rPr>
        <w:t>m</w:t>
      </w:r>
      <w:r w:rsidRPr="003E6812">
        <w:rPr>
          <w:lang w:val="es-ES_tradnl"/>
        </w:rPr>
        <w:t xml:space="preserve">illones </w:t>
      </w:r>
      <w:r>
        <w:rPr>
          <w:lang w:val="es-ES_tradnl"/>
        </w:rPr>
        <w:t xml:space="preserve">y disminuyeron </w:t>
      </w:r>
      <w:r w:rsidRPr="003E6812">
        <w:rPr>
          <w:lang w:val="es-ES_tradnl"/>
        </w:rPr>
        <w:t>significativa</w:t>
      </w:r>
      <w:r>
        <w:rPr>
          <w:lang w:val="es-ES_tradnl"/>
        </w:rPr>
        <w:t xml:space="preserve">mente a $41,100 millones en 2013. </w:t>
      </w:r>
      <w:r w:rsidRPr="003E6812">
        <w:rPr>
          <w:lang w:val="es-ES_tradnl"/>
        </w:rPr>
        <w:t xml:space="preserve">Las exportaciones al resto del mundo </w:t>
      </w:r>
      <w:r>
        <w:rPr>
          <w:lang w:val="es-ES_tradnl"/>
        </w:rPr>
        <w:t xml:space="preserve">también </w:t>
      </w:r>
      <w:r w:rsidRPr="003E6812">
        <w:rPr>
          <w:lang w:val="es-ES_tradnl"/>
        </w:rPr>
        <w:t>alcanzaron un nivel</w:t>
      </w:r>
      <w:r>
        <w:rPr>
          <w:lang w:val="es-ES_tradnl"/>
        </w:rPr>
        <w:t xml:space="preserve"> </w:t>
      </w:r>
      <w:r w:rsidRPr="003E6812">
        <w:rPr>
          <w:lang w:val="es-ES_tradnl"/>
        </w:rPr>
        <w:t>máximo en el 2010 con $2</w:t>
      </w:r>
      <w:r>
        <w:rPr>
          <w:lang w:val="es-ES_tradnl"/>
        </w:rPr>
        <w:t>0,900 m</w:t>
      </w:r>
      <w:r w:rsidRPr="003E6812">
        <w:rPr>
          <w:lang w:val="es-ES_tradnl"/>
        </w:rPr>
        <w:t>illones</w:t>
      </w:r>
      <w:r>
        <w:rPr>
          <w:lang w:val="es-ES_tradnl"/>
        </w:rPr>
        <w:t xml:space="preserve"> y</w:t>
      </w:r>
      <w:r w:rsidRPr="003E6812">
        <w:rPr>
          <w:lang w:val="es-ES_tradnl"/>
        </w:rPr>
        <w:t xml:space="preserve"> </w:t>
      </w:r>
      <w:r>
        <w:rPr>
          <w:lang w:val="es-ES_tradnl"/>
        </w:rPr>
        <w:t>bajaron a $16,</w:t>
      </w:r>
      <w:r w:rsidRPr="003E6812">
        <w:rPr>
          <w:lang w:val="es-ES_tradnl"/>
        </w:rPr>
        <w:t>5</w:t>
      </w:r>
      <w:r>
        <w:rPr>
          <w:lang w:val="es-ES_tradnl"/>
        </w:rPr>
        <w:t>00 m</w:t>
      </w:r>
      <w:r w:rsidRPr="003E6812">
        <w:rPr>
          <w:lang w:val="es-ES_tradnl"/>
        </w:rPr>
        <w:t>illones en el 2013.</w:t>
      </w:r>
      <w:r>
        <w:rPr>
          <w:lang w:val="es-ES_tradnl"/>
        </w:rPr>
        <w:t xml:space="preserve"> </w:t>
      </w:r>
    </w:p>
    <w:p w:rsidR="004C19A5" w:rsidRDefault="004C19A5" w:rsidP="005A5E7D">
      <w:pPr>
        <w:spacing w:after="120"/>
        <w:rPr>
          <w:lang w:val="es-ES_tradnl"/>
        </w:rPr>
      </w:pPr>
    </w:p>
    <w:bookmarkStart w:id="67" w:name="_MON_1458412022"/>
    <w:bookmarkEnd w:id="67"/>
    <w:p w:rsidR="005A5E7D" w:rsidRDefault="00873F5E" w:rsidP="005A5E7D">
      <w:pPr>
        <w:jc w:val="center"/>
        <w:rPr>
          <w:lang w:val="es-ES_tradnl"/>
        </w:rPr>
      </w:pPr>
      <w:r>
        <w:object w:dxaOrig="6251" w:dyaOrig="5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pt;height:229pt" o:ole="">
            <v:imagedata r:id="rId139" o:title=""/>
          </v:shape>
          <o:OLEObject Type="Embed" ProgID="Excel.Sheet.12" ShapeID="_x0000_i1025" DrawAspect="Content" ObjectID="_1332501569" r:id="rId140"/>
        </w:object>
      </w:r>
    </w:p>
    <w:p w:rsidR="005A5E7D" w:rsidRDefault="005A5E7D" w:rsidP="005A5E7D">
      <w:pPr>
        <w:spacing w:line="240" w:lineRule="auto"/>
        <w:rPr>
          <w:lang w:val="es-ES_tradnl"/>
        </w:rPr>
      </w:pPr>
    </w:p>
    <w:p w:rsidR="005A5E7D" w:rsidRDefault="005A5E7D" w:rsidP="005A5E7D">
      <w:pPr>
        <w:rPr>
          <w:lang w:val="es-ES_tradnl"/>
        </w:rPr>
      </w:pPr>
      <w:r>
        <w:rPr>
          <w:lang w:val="es-ES_tradnl"/>
        </w:rPr>
        <w:t>El 77% de las exportaciones de Puerto Rico correspondían al sector de manufactura de productos químicos en 2013. Estas exportaciones, a su vez, constituían el 75% de las exportaciones a Estados Unidos y el 83% de las exportaciones al resto del mundo, lo cual manifiesta claramente la falta de diversificación del sector exportador en la Isla y la concentración de las exportaciones en el sector de productos químicos. A este sector le sigue en importancia el de manufactura miscelánea, que compone el 8% de las exportaciones totales.</w:t>
      </w:r>
      <w:r>
        <w:rPr>
          <w:rStyle w:val="FootnoteReference"/>
          <w:lang w:val="es-ES_tradnl"/>
        </w:rPr>
        <w:footnoteReference w:id="47"/>
      </w:r>
    </w:p>
    <w:p w:rsidR="005A5E7D" w:rsidRDefault="005A5E7D" w:rsidP="005A5E7D">
      <w:pPr>
        <w:rPr>
          <w:lang w:val="es-ES_tradnl"/>
        </w:rPr>
      </w:pPr>
      <w:r>
        <w:rPr>
          <w:lang w:val="es-ES_tradnl"/>
        </w:rPr>
        <w:t>Salomon Samen, en su escrito “</w:t>
      </w:r>
      <w:r w:rsidRPr="005300BC">
        <w:t>Export, Development, Diversification, and Competitiveness: How Developing Countries Got It Right</w:t>
      </w:r>
      <w:r>
        <w:rPr>
          <w:lang w:val="es-ES_tradnl"/>
        </w:rPr>
        <w:t>” (2010), enfatiza la importancia de la internacionalización y el fomento de la exportación en la misma medida que recalca la necesidad de diversificación para que la iniciativa sea exitosa. Por lo tanto, no basta con medir el nivel de las exportaciones, sino que también debemos examinar su diversidad. Se utiliza el Índice de Herfindahl</w:t>
      </w:r>
      <w:r w:rsidRPr="005300BC">
        <w:rPr>
          <w:color w:val="1A1A1A"/>
          <w:szCs w:val="32"/>
        </w:rPr>
        <w:t>-Hirschman</w:t>
      </w:r>
      <w:r>
        <w:rPr>
          <w:lang w:val="es-ES_tradnl"/>
        </w:rPr>
        <w:t xml:space="preserve"> (IHH) para medir el grado de concentración de las exportaciones. Este índice se utiliza comúnmente para medir concentración en los mercados y determinar el grado de competitividad. Se calcula sumando el cuadrado de la participación del mercado de cada empresa (S).</w:t>
      </w:r>
    </w:p>
    <w:p w:rsidR="005A5E7D" w:rsidRDefault="0095547C" w:rsidP="005A5E7D">
      <w:pPr>
        <w:rPr>
          <w:rFonts w:eastAsia="Times New Roman"/>
          <w:lang w:val="es-ES_tradnl"/>
        </w:rPr>
      </w:pPr>
      <m:oMath>
        <m:r>
          <w:rPr>
            <w:rFonts w:ascii="Cambria Math" w:hAnsi="Cambria Math"/>
            <w:lang w:val="es-ES_tradnl"/>
          </w:rPr>
          <m:t>H</m:t>
        </m:r>
        <m:r>
          <w:rPr>
            <w:rFonts w:ascii="Cambria Math" w:hAnsi="Cambria Math"/>
            <w:lang w:val="es-ES_tradnl"/>
          </w:rPr>
          <m:t>=</m:t>
        </m:r>
        <m:nary>
          <m:naryPr>
            <m:chr m:val="∑"/>
            <m:limLoc m:val="undOvr"/>
            <m:ctrlPr>
              <w:rPr>
                <w:rFonts w:ascii="Cambria Math" w:hAnsi="Cambria Math"/>
                <w:i/>
                <w:lang w:val="es-ES_tradnl"/>
              </w:rPr>
            </m:ctrlPr>
          </m:naryPr>
          <m:sub>
            <m:r>
              <w:rPr>
                <w:rFonts w:ascii="Cambria Math" w:hAnsi="Cambria Math"/>
                <w:lang w:val="es-ES_tradnl"/>
              </w:rPr>
              <m:t>i</m:t>
            </m:r>
            <m:r>
              <w:rPr>
                <w:rFonts w:ascii="Cambria Math" w:hAnsi="Cambria Math"/>
                <w:lang w:val="es-ES_tradnl"/>
              </w:rPr>
              <m:t>=1</m:t>
            </m:r>
          </m:sub>
          <m:sup>
            <m:r>
              <w:rPr>
                <w:rFonts w:ascii="Cambria Math" w:hAnsi="Cambria Math"/>
                <w:lang w:val="es-ES_tradnl"/>
              </w:rPr>
              <m:t>n</m:t>
            </m:r>
          </m:sup>
          <m:e>
            <m:sSubSup>
              <m:sSubSupPr>
                <m:ctrlPr>
                  <w:rPr>
                    <w:rFonts w:ascii="Cambria Math" w:hAnsi="Cambria Math"/>
                    <w:i/>
                    <w:lang w:val="es-ES_tradnl"/>
                  </w:rPr>
                </m:ctrlPr>
              </m:sSubSupPr>
              <m:e>
                <m:r>
                  <w:rPr>
                    <w:rFonts w:ascii="Cambria Math" w:hAnsi="Cambria Math"/>
                    <w:lang w:val="es-ES_tradnl"/>
                  </w:rPr>
                  <m:t>S</m:t>
                </m:r>
              </m:e>
              <m:sub>
                <m:r>
                  <w:rPr>
                    <w:rFonts w:ascii="Cambria Math" w:hAnsi="Cambria Math"/>
                    <w:lang w:val="es-ES_tradnl"/>
                  </w:rPr>
                  <m:t>i</m:t>
                </m:r>
              </m:sub>
              <m:sup>
                <m:r>
                  <w:rPr>
                    <w:rFonts w:ascii="Cambria Math" w:hAnsi="Cambria Math"/>
                    <w:lang w:val="es-ES_tradnl"/>
                  </w:rPr>
                  <m:t>2</m:t>
                </m:r>
              </m:sup>
            </m:sSubSup>
          </m:e>
        </m:nary>
      </m:oMath>
      <w:r w:rsidR="005A5E7D" w:rsidRPr="006C2E2C">
        <w:rPr>
          <w:rFonts w:eastAsia="Times New Roman"/>
          <w:lang w:val="es-ES_tradnl"/>
        </w:rPr>
        <w:t xml:space="preserve">; donde </w:t>
      </w:r>
      <m:oMath>
        <m:r>
          <w:rPr>
            <w:rFonts w:ascii="Cambria Math" w:eastAsia="Times New Roman" w:hAnsi="Cambria Math"/>
            <w:lang w:val="es-ES_tradnl"/>
          </w:rPr>
          <m:t>n</m:t>
        </m:r>
        <m:r>
          <w:rPr>
            <w:rFonts w:ascii="Cambria Math" w:eastAsia="Times New Roman" w:hAnsi="Cambria Math"/>
            <w:lang w:val="es-ES_tradnl"/>
          </w:rPr>
          <m:t>=# de empresas en el mercado</m:t>
        </m:r>
      </m:oMath>
    </w:p>
    <w:p w:rsidR="004C19A5" w:rsidRDefault="004C19A5" w:rsidP="005A5E7D">
      <w:pPr>
        <w:rPr>
          <w:lang w:val="es-ES_tradnl"/>
        </w:rPr>
      </w:pPr>
    </w:p>
    <w:p w:rsidR="005A5E7D" w:rsidRDefault="005A5E7D" w:rsidP="005A5E7D">
      <w:pPr>
        <w:rPr>
          <w:lang w:val="es-ES_tradnl"/>
        </w:rPr>
      </w:pPr>
      <w:r>
        <w:rPr>
          <w:lang w:val="es-ES_tradnl"/>
        </w:rPr>
        <w:t xml:space="preserve">El índice tiene un valor máximo de 10,000, que correspondería al caso de un monopolio donde una sola empresa tendría el 100% del mercado. Mientras más cercano está el índice a 10,000, menos competitivo es el mercado. En nuestro caso, el índice se utiliza para medir cuán concentradas están las exportaciones. </w:t>
      </w:r>
      <w:r w:rsidRPr="00226088">
        <w:rPr>
          <w:lang w:val="es-ES_tradnl"/>
        </w:rPr>
        <w:t>Esta concentración puede medir</w:t>
      </w:r>
      <w:r>
        <w:rPr>
          <w:lang w:val="es-ES_tradnl"/>
        </w:rPr>
        <w:t>se</w:t>
      </w:r>
      <w:r w:rsidRPr="00226088">
        <w:rPr>
          <w:lang w:val="es-ES_tradnl"/>
        </w:rPr>
        <w:t xml:space="preserve"> en términos de la diversidad de productos que se exportan, la diversidad de países a los cuales se exporta y la diversidad de indus</w:t>
      </w:r>
      <w:r>
        <w:rPr>
          <w:lang w:val="es-ES_tradnl"/>
        </w:rPr>
        <w:t>trias que exportan su producto.</w:t>
      </w:r>
    </w:p>
    <w:p w:rsidR="005A5E7D" w:rsidRDefault="005A5E7D" w:rsidP="005A5E7D">
      <w:pPr>
        <w:rPr>
          <w:lang w:val="es-ES_tradnl"/>
        </w:rPr>
      </w:pPr>
      <w:r w:rsidRPr="00226088">
        <w:rPr>
          <w:color w:val="1A1A1A"/>
          <w:szCs w:val="32"/>
          <w:lang w:val="es-ES_tradnl"/>
        </w:rPr>
        <w:t>Por lo tanto, calculamos tres versiones del índice en términos de: tipo de producto (utilizando S como el porcentaje de las exportaciones que corresponden a cada tipo de artículo)</w:t>
      </w:r>
      <w:r w:rsidRPr="00226088">
        <w:rPr>
          <w:szCs w:val="32"/>
          <w:lang w:val="es-ES_tradnl"/>
        </w:rPr>
        <w:t>,</w:t>
      </w:r>
      <w:r w:rsidRPr="00226088">
        <w:rPr>
          <w:color w:val="1A1A1A"/>
          <w:szCs w:val="32"/>
          <w:lang w:val="es-ES_tradnl"/>
        </w:rPr>
        <w:t xml:space="preserve"> tipo de industria (utilizando S como el porcentaje de las exportaciones que corresponde a cada industria de acuerdo con la clasificación de NAICS a </w:t>
      </w:r>
      <w:r>
        <w:rPr>
          <w:color w:val="1A1A1A"/>
          <w:szCs w:val="32"/>
          <w:lang w:val="es-ES_tradnl"/>
        </w:rPr>
        <w:t>tres</w:t>
      </w:r>
      <w:r w:rsidRPr="00226088">
        <w:rPr>
          <w:color w:val="1A1A1A"/>
          <w:szCs w:val="32"/>
          <w:lang w:val="es-ES_tradnl"/>
        </w:rPr>
        <w:t xml:space="preserve"> dígitos) y país destinatario (utilizando S como el porcentaje de exportaciones destinado a cada país).</w:t>
      </w:r>
      <w:r w:rsidRPr="00226088">
        <w:rPr>
          <w:lang w:val="es-ES_tradnl"/>
        </w:rPr>
        <w:t xml:space="preserve"> Mientras mayor sean los índices</w:t>
      </w:r>
      <w:r>
        <w:rPr>
          <w:lang w:val="es-ES_tradnl"/>
        </w:rPr>
        <w:t>,</w:t>
      </w:r>
      <w:r w:rsidRPr="00226088">
        <w:rPr>
          <w:lang w:val="es-ES_tradnl"/>
        </w:rPr>
        <w:t xml:space="preserve"> menos diversificaci</w:t>
      </w:r>
      <w:r>
        <w:rPr>
          <w:lang w:val="es-ES_tradnl"/>
        </w:rPr>
        <w:t>ón existe en las exportaciones.</w:t>
      </w:r>
    </w:p>
    <w:p w:rsidR="005A5E7D" w:rsidRPr="00226088" w:rsidRDefault="005A5E7D" w:rsidP="005A5E7D">
      <w:pPr>
        <w:rPr>
          <w:lang w:val="es-ES_tradnl"/>
        </w:rPr>
      </w:pPr>
      <w:r w:rsidRPr="00226088">
        <w:rPr>
          <w:lang w:val="es-ES_tradnl"/>
        </w:rPr>
        <w:t>En el caso de Puerto Rico, el grado de diversificación es particularmente importante</w:t>
      </w:r>
      <w:r>
        <w:rPr>
          <w:lang w:val="es-ES_tradnl"/>
        </w:rPr>
        <w:t>, ya que</w:t>
      </w:r>
      <w:r w:rsidRPr="00226088">
        <w:rPr>
          <w:lang w:val="es-ES_tradnl"/>
        </w:rPr>
        <w:t xml:space="preserve"> </w:t>
      </w:r>
      <w:r w:rsidRPr="008B456C">
        <w:t>—</w:t>
      </w:r>
      <w:r w:rsidRPr="00226088">
        <w:rPr>
          <w:lang w:val="es-ES_tradnl"/>
        </w:rPr>
        <w:t xml:space="preserve">dada </w:t>
      </w:r>
      <w:r>
        <w:rPr>
          <w:lang w:val="es-ES_tradnl"/>
        </w:rPr>
        <w:t>su</w:t>
      </w:r>
      <w:r w:rsidRPr="00226088">
        <w:rPr>
          <w:lang w:val="es-ES_tradnl"/>
        </w:rPr>
        <w:t xml:space="preserve"> composición industrial</w:t>
      </w:r>
      <w:r w:rsidRPr="008B456C">
        <w:t>—</w:t>
      </w:r>
      <w:r w:rsidRPr="00226088">
        <w:rPr>
          <w:lang w:val="es-ES_tradnl"/>
        </w:rPr>
        <w:t xml:space="preserve"> es de esperarse que muchas de las exportaciones manufactureras se concentr</w:t>
      </w:r>
      <w:r>
        <w:rPr>
          <w:lang w:val="es-ES_tradnl"/>
        </w:rPr>
        <w:t>e</w:t>
      </w:r>
      <w:r w:rsidRPr="00226088">
        <w:rPr>
          <w:lang w:val="es-ES_tradnl"/>
        </w:rPr>
        <w:t xml:space="preserve">n en empresas de capital extranjero. Desafortunadamente, los datos no permiten diferenciar las exportaciones de empresas </w:t>
      </w:r>
      <w:r>
        <w:rPr>
          <w:lang w:val="es-ES_tradnl"/>
        </w:rPr>
        <w:t>puertorriqueña</w:t>
      </w:r>
      <w:r w:rsidRPr="00226088">
        <w:rPr>
          <w:lang w:val="es-ES_tradnl"/>
        </w:rPr>
        <w:t>s de las exportaciones de empresas de capital extranjero. En la medida en que las exportaciones se diversifiquen</w:t>
      </w:r>
      <w:r>
        <w:rPr>
          <w:lang w:val="es-ES_tradnl"/>
        </w:rPr>
        <w:t>,</w:t>
      </w:r>
      <w:r w:rsidRPr="00226088">
        <w:rPr>
          <w:lang w:val="es-ES_tradnl"/>
        </w:rPr>
        <w:t xml:space="preserve"> hay </w:t>
      </w:r>
      <w:r>
        <w:rPr>
          <w:lang w:val="es-ES_tradnl"/>
        </w:rPr>
        <w:t xml:space="preserve">una </w:t>
      </w:r>
      <w:r w:rsidRPr="00226088">
        <w:rPr>
          <w:lang w:val="es-ES_tradnl"/>
        </w:rPr>
        <w:t>mayor probabilidad para que diversos tipos de empresas</w:t>
      </w:r>
      <w:r>
        <w:rPr>
          <w:lang w:val="es-ES_tradnl"/>
        </w:rPr>
        <w:t>, así como empresas de diferentes tamaños,</w:t>
      </w:r>
      <w:r w:rsidRPr="00226088">
        <w:rPr>
          <w:lang w:val="es-ES_tradnl"/>
        </w:rPr>
        <w:t xml:space="preserve"> se integren al comercio internacional.</w:t>
      </w:r>
    </w:p>
    <w:p w:rsidR="005A5E7D" w:rsidRDefault="005A5E7D" w:rsidP="005A5E7D">
      <w:pPr>
        <w:rPr>
          <w:noProof/>
          <w:lang w:val="es-ES_tradnl"/>
        </w:rPr>
      </w:pPr>
      <w:r w:rsidRPr="00226088">
        <w:rPr>
          <w:lang w:val="es-ES_tradnl"/>
        </w:rPr>
        <w:t xml:space="preserve">La </w:t>
      </w:r>
      <w:r w:rsidRPr="00226088">
        <w:rPr>
          <w:b/>
          <w:lang w:val="es-ES_tradnl"/>
        </w:rPr>
        <w:t xml:space="preserve">Tabla 1 </w:t>
      </w:r>
      <w:r w:rsidRPr="00226088">
        <w:rPr>
          <w:lang w:val="es-ES_tradnl"/>
        </w:rPr>
        <w:t>resume los índices de concentración estimados para el 2006 y el 2013, por producto</w:t>
      </w:r>
      <w:r>
        <w:rPr>
          <w:lang w:val="es-ES_tradnl"/>
        </w:rPr>
        <w:t>, industria y país receptor. L</w:t>
      </w:r>
      <w:r w:rsidRPr="00226088">
        <w:rPr>
          <w:lang w:val="es-ES_tradnl"/>
        </w:rPr>
        <w:t>os índices</w:t>
      </w:r>
      <w:r>
        <w:rPr>
          <w:lang w:val="es-ES_tradnl"/>
        </w:rPr>
        <w:t xml:space="preserve"> se </w:t>
      </w:r>
      <w:r w:rsidRPr="00226088">
        <w:rPr>
          <w:lang w:val="es-ES_tradnl"/>
        </w:rPr>
        <w:t>calcula</w:t>
      </w:r>
      <w:r>
        <w:rPr>
          <w:lang w:val="es-ES_tradnl"/>
        </w:rPr>
        <w:t>ro</w:t>
      </w:r>
      <w:r w:rsidRPr="00226088">
        <w:rPr>
          <w:lang w:val="es-ES_tradnl"/>
        </w:rPr>
        <w:t xml:space="preserve">n para el total de exportaciones de Puerto Rico, </w:t>
      </w:r>
      <w:r>
        <w:rPr>
          <w:lang w:val="es-ES_tradnl"/>
        </w:rPr>
        <w:t>para las exportaciones hacia</w:t>
      </w:r>
      <w:r w:rsidRPr="00226088">
        <w:rPr>
          <w:lang w:val="es-ES_tradnl"/>
        </w:rPr>
        <w:t xml:space="preserve"> Estados Unidos y para las exportaciones al resto del mundo. </w:t>
      </w:r>
      <w:r w:rsidRPr="00226088">
        <w:rPr>
          <w:noProof/>
          <w:lang w:val="es-ES_tradnl"/>
        </w:rPr>
        <w:t xml:space="preserve">El análisis que surge de los resultados presentados en la </w:t>
      </w:r>
      <w:r w:rsidRPr="00226088">
        <w:rPr>
          <w:b/>
          <w:noProof/>
          <w:lang w:val="es-ES_tradnl"/>
        </w:rPr>
        <w:t xml:space="preserve">Tabla 1 </w:t>
      </w:r>
      <w:r>
        <w:rPr>
          <w:noProof/>
          <w:lang w:val="es-ES_tradnl"/>
        </w:rPr>
        <w:t xml:space="preserve">es ambiguo. </w:t>
      </w:r>
      <w:r w:rsidRPr="00226088">
        <w:rPr>
          <w:noProof/>
          <w:lang w:val="es-ES_tradnl"/>
        </w:rPr>
        <w:t>Una reducción en el índice implica que se reduce la concentración, mientras un aumento indic</w:t>
      </w:r>
      <w:r>
        <w:rPr>
          <w:noProof/>
          <w:lang w:val="es-ES_tradnl"/>
        </w:rPr>
        <w:t>a que aumenta la concentración.</w:t>
      </w:r>
    </w:p>
    <w:p w:rsidR="005A5E7D" w:rsidRDefault="005A5E7D" w:rsidP="005A5E7D">
      <w:pPr>
        <w:rPr>
          <w:noProof/>
          <w:lang w:val="es-ES_tradnl"/>
        </w:rPr>
      </w:pPr>
      <w:r>
        <w:rPr>
          <w:noProof/>
          <w:lang w:val="es-ES_tradnl"/>
        </w:rPr>
        <w:t>L</w:t>
      </w:r>
      <w:r w:rsidRPr="00226088">
        <w:rPr>
          <w:noProof/>
          <w:lang w:val="es-ES_tradnl"/>
        </w:rPr>
        <w:t>a concentración a nivel d</w:t>
      </w:r>
      <w:r>
        <w:rPr>
          <w:noProof/>
          <w:lang w:val="es-ES_tradnl"/>
        </w:rPr>
        <w:t>e país y de producto ha disminui</w:t>
      </w:r>
      <w:r w:rsidRPr="00226088">
        <w:rPr>
          <w:noProof/>
          <w:lang w:val="es-ES_tradnl"/>
        </w:rPr>
        <w:t>do</w:t>
      </w:r>
      <w:r>
        <w:rPr>
          <w:noProof/>
          <w:lang w:val="es-ES_tradnl"/>
        </w:rPr>
        <w:t xml:space="preserve"> p</w:t>
      </w:r>
      <w:r w:rsidRPr="00226088">
        <w:rPr>
          <w:noProof/>
          <w:lang w:val="es-ES_tradnl"/>
        </w:rPr>
        <w:t>ara el total de exportaciones, más no así a nivel de industria.</w:t>
      </w:r>
      <w:r w:rsidRPr="00226088">
        <w:rPr>
          <w:rStyle w:val="FootnoteReference"/>
          <w:noProof/>
          <w:lang w:val="es-ES_tradnl"/>
        </w:rPr>
        <w:footnoteReference w:id="48"/>
      </w:r>
      <w:r w:rsidRPr="00226088">
        <w:rPr>
          <w:noProof/>
          <w:lang w:val="es-ES_tradnl"/>
        </w:rPr>
        <w:t xml:space="preserve"> A nivel de país, tanto la reducción en importacia relativa de E</w:t>
      </w:r>
      <w:r>
        <w:rPr>
          <w:noProof/>
          <w:lang w:val="es-ES_tradnl"/>
        </w:rPr>
        <w:t xml:space="preserve">stados </w:t>
      </w:r>
      <w:r w:rsidRPr="00226088">
        <w:rPr>
          <w:noProof/>
          <w:lang w:val="es-ES_tradnl"/>
        </w:rPr>
        <w:t>U</w:t>
      </w:r>
      <w:r>
        <w:rPr>
          <w:noProof/>
          <w:lang w:val="es-ES_tradnl"/>
        </w:rPr>
        <w:t>nidos</w:t>
      </w:r>
      <w:r w:rsidRPr="00226088">
        <w:rPr>
          <w:noProof/>
          <w:lang w:val="es-ES_tradnl"/>
        </w:rPr>
        <w:t xml:space="preserve"> como la reducción en la concentración de las exportaciones con respecto a los países del resto de mundo han contribuido a que el IH se reduzca de 2,791 a 1,831. Un aumento en la concentración a nivel de industria </w:t>
      </w:r>
      <w:r w:rsidRPr="008B456C">
        <w:t>—</w:t>
      </w:r>
      <w:r w:rsidRPr="00226088">
        <w:rPr>
          <w:noProof/>
          <w:lang w:val="es-ES_tradnl"/>
        </w:rPr>
        <w:t>para todas las exportaciones de Puerto Rico</w:t>
      </w:r>
      <w:r w:rsidRPr="008B456C">
        <w:t>—</w:t>
      </w:r>
      <w:r w:rsidRPr="00226088">
        <w:rPr>
          <w:noProof/>
          <w:lang w:val="es-ES_tradnl"/>
        </w:rPr>
        <w:t xml:space="preserve"> junto con la reducción en la concentración de productos </w:t>
      </w:r>
      <w:r w:rsidRPr="008B456C">
        <w:t>—</w:t>
      </w:r>
      <w:r w:rsidRPr="00226088">
        <w:rPr>
          <w:noProof/>
          <w:lang w:val="es-ES_tradnl"/>
        </w:rPr>
        <w:t>para todas las exportaciones de Puerto Rico</w:t>
      </w:r>
      <w:r w:rsidRPr="008B456C">
        <w:t>—</w:t>
      </w:r>
      <w:r w:rsidRPr="00226088">
        <w:rPr>
          <w:noProof/>
          <w:lang w:val="es-ES_tradnl"/>
        </w:rPr>
        <w:t xml:space="preserve"> puede ser señal de que las empresas exportadoras están diversificando sus productos. Las exportaciones a E</w:t>
      </w:r>
      <w:r>
        <w:rPr>
          <w:noProof/>
          <w:lang w:val="es-ES_tradnl"/>
        </w:rPr>
        <w:t xml:space="preserve">stados </w:t>
      </w:r>
      <w:r w:rsidRPr="00226088">
        <w:rPr>
          <w:noProof/>
          <w:lang w:val="es-ES_tradnl"/>
        </w:rPr>
        <w:t>U</w:t>
      </w:r>
      <w:r>
        <w:rPr>
          <w:noProof/>
          <w:lang w:val="es-ES_tradnl"/>
        </w:rPr>
        <w:t>nidos</w:t>
      </w:r>
      <w:r w:rsidRPr="00226088">
        <w:rPr>
          <w:noProof/>
          <w:lang w:val="es-ES_tradnl"/>
        </w:rPr>
        <w:t xml:space="preserve"> siguen el mismo patrón. No obstante, a pesar de una disminución en la concentración de las exportaciones por país al resto del mundo, la concentración de las exportaciones en términos de industrias y productos va en aumento. Esto es importante</w:t>
      </w:r>
      <w:r>
        <w:rPr>
          <w:noProof/>
          <w:lang w:val="es-ES_tradnl"/>
        </w:rPr>
        <w:t>,</w:t>
      </w:r>
      <w:r w:rsidRPr="00226088">
        <w:rPr>
          <w:noProof/>
          <w:lang w:val="es-ES_tradnl"/>
        </w:rPr>
        <w:t xml:space="preserve"> ya que implica que el hecho de que las exportaciones estén menos concentradas en términos de países compradores no implica necesariamente una mayor diversidad de empresas exportadoras en la Isla.</w:t>
      </w:r>
    </w:p>
    <w:p w:rsidR="004C19A5" w:rsidRPr="00226088" w:rsidRDefault="004C19A5" w:rsidP="005A5E7D">
      <w:pPr>
        <w:rPr>
          <w:noProof/>
          <w:lang w:val="es-ES_tradnl"/>
        </w:rPr>
      </w:pPr>
    </w:p>
    <w:tbl>
      <w:tblPr>
        <w:tblW w:w="0" w:type="auto"/>
        <w:jc w:val="center"/>
        <w:tblBorders>
          <w:top w:val="single" w:sz="12" w:space="0" w:color="008000"/>
          <w:bottom w:val="single" w:sz="12" w:space="0" w:color="008000"/>
        </w:tblBorders>
        <w:tblLook w:val="04A0"/>
      </w:tblPr>
      <w:tblGrid>
        <w:gridCol w:w="3224"/>
        <w:gridCol w:w="946"/>
        <w:gridCol w:w="1037"/>
      </w:tblGrid>
      <w:tr w:rsidR="005A5E7D" w:rsidRPr="00226088">
        <w:trPr>
          <w:trHeight w:val="501"/>
          <w:jc w:val="center"/>
        </w:trPr>
        <w:tc>
          <w:tcPr>
            <w:tcW w:w="0" w:type="auto"/>
            <w:gridSpan w:val="3"/>
            <w:tcBorders>
              <w:bottom w:val="single" w:sz="6" w:space="0" w:color="008000"/>
            </w:tcBorders>
            <w:shd w:val="clear" w:color="auto" w:fill="auto"/>
          </w:tcPr>
          <w:p w:rsidR="005A5E7D" w:rsidRPr="00226088" w:rsidRDefault="005A5E7D" w:rsidP="005A5E7D">
            <w:pPr>
              <w:suppressAutoHyphens/>
              <w:spacing w:line="240" w:lineRule="auto"/>
              <w:ind w:firstLine="0"/>
              <w:jc w:val="center"/>
              <w:rPr>
                <w:rFonts w:ascii="Arial Narrow" w:eastAsia="Times New Roman" w:hAnsi="Arial Narrow"/>
                <w:b/>
                <w:color w:val="000000"/>
                <w:sz w:val="20"/>
                <w:szCs w:val="20"/>
                <w:lang w:val="es-ES_tradnl"/>
              </w:rPr>
            </w:pPr>
            <w:r w:rsidRPr="00EF7D57">
              <w:rPr>
                <w:rFonts w:ascii="Arial Narrow" w:eastAsia="Times New Roman" w:hAnsi="Arial Narrow"/>
                <w:b/>
                <w:color w:val="000000"/>
                <w:sz w:val="22"/>
                <w:szCs w:val="20"/>
                <w:lang w:val="es-ES_tradnl"/>
              </w:rPr>
              <w:t>Tabla 1</w:t>
            </w:r>
            <w:r w:rsidRPr="00EF7D57">
              <w:rPr>
                <w:rFonts w:ascii="Arial Narrow" w:eastAsia="Times New Roman" w:hAnsi="Arial Narrow"/>
                <w:b/>
                <w:color w:val="000000"/>
                <w:sz w:val="22"/>
                <w:szCs w:val="20"/>
                <w:lang w:val="es-ES_tradnl"/>
              </w:rPr>
              <w:br/>
            </w:r>
            <w:r w:rsidRPr="00226088">
              <w:rPr>
                <w:rFonts w:ascii="Arial Narrow" w:eastAsia="Times New Roman" w:hAnsi="Arial Narrow"/>
                <w:b/>
                <w:color w:val="000000"/>
                <w:sz w:val="20"/>
                <w:szCs w:val="20"/>
                <w:lang w:val="es-ES_tradnl"/>
              </w:rPr>
              <w:t>Índices de H</w:t>
            </w:r>
            <w:r>
              <w:rPr>
                <w:rFonts w:ascii="Arial Narrow" w:eastAsia="Times New Roman" w:hAnsi="Arial Narrow"/>
                <w:b/>
                <w:color w:val="000000"/>
                <w:sz w:val="20"/>
                <w:szCs w:val="20"/>
                <w:lang w:val="es-ES_tradnl"/>
              </w:rPr>
              <w:t>H</w:t>
            </w:r>
            <w:r w:rsidRPr="00226088">
              <w:rPr>
                <w:rFonts w:ascii="Arial Narrow" w:eastAsia="Times New Roman" w:hAnsi="Arial Narrow"/>
                <w:b/>
                <w:color w:val="000000"/>
                <w:sz w:val="20"/>
                <w:szCs w:val="20"/>
                <w:lang w:val="es-ES_tradnl"/>
              </w:rPr>
              <w:t xml:space="preserve"> de Concentración por Producto, Industria y País</w:t>
            </w:r>
          </w:p>
        </w:tc>
      </w:tr>
      <w:tr w:rsidR="005A5E7D" w:rsidRPr="00226088">
        <w:trPr>
          <w:trHeight w:val="288"/>
          <w:jc w:val="center"/>
        </w:trPr>
        <w:tc>
          <w:tcPr>
            <w:tcW w:w="0" w:type="auto"/>
            <w:shd w:val="clear" w:color="auto" w:fill="auto"/>
            <w:noWrap/>
          </w:tcPr>
          <w:p w:rsidR="005A5E7D" w:rsidRPr="00226088" w:rsidRDefault="005A5E7D" w:rsidP="005A5E7D">
            <w:pPr>
              <w:spacing w:line="240" w:lineRule="auto"/>
              <w:ind w:firstLine="0"/>
              <w:rPr>
                <w:rFonts w:ascii="Arial Narrow" w:hAnsi="Arial Narrow"/>
                <w:color w:val="000000"/>
                <w:sz w:val="20"/>
                <w:lang w:val="es-ES_tradnl"/>
              </w:rPr>
            </w:pP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b/>
                <w:color w:val="000000"/>
                <w:sz w:val="20"/>
                <w:lang w:val="es-ES_tradnl"/>
              </w:rPr>
            </w:pPr>
            <w:r w:rsidRPr="00226088">
              <w:rPr>
                <w:rFonts w:ascii="Arial Narrow" w:eastAsia="Times New Roman" w:hAnsi="Arial Narrow"/>
                <w:b/>
                <w:color w:val="000000"/>
                <w:sz w:val="20"/>
                <w:szCs w:val="20"/>
                <w:lang w:val="es-ES_tradnl"/>
              </w:rPr>
              <w:t>2006</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b/>
                <w:color w:val="000000"/>
                <w:sz w:val="20"/>
                <w:lang w:val="es-ES_tradnl"/>
              </w:rPr>
            </w:pPr>
            <w:r w:rsidRPr="00226088">
              <w:rPr>
                <w:rFonts w:ascii="Arial Narrow" w:eastAsia="Times New Roman" w:hAnsi="Arial Narrow"/>
                <w:b/>
                <w:color w:val="000000"/>
                <w:sz w:val="20"/>
                <w:szCs w:val="20"/>
                <w:lang w:val="es-ES_tradnl"/>
              </w:rPr>
              <w:t>2013</w:t>
            </w:r>
          </w:p>
        </w:tc>
      </w:tr>
      <w:tr w:rsidR="005A5E7D" w:rsidRPr="00226088">
        <w:trPr>
          <w:trHeight w:val="288"/>
          <w:jc w:val="center"/>
        </w:trPr>
        <w:tc>
          <w:tcPr>
            <w:tcW w:w="0" w:type="auto"/>
            <w:shd w:val="clear" w:color="auto" w:fill="auto"/>
            <w:noWrap/>
          </w:tcPr>
          <w:p w:rsidR="005A5E7D" w:rsidRPr="00F87640" w:rsidRDefault="005A5E7D" w:rsidP="005A5E7D">
            <w:pPr>
              <w:spacing w:line="240" w:lineRule="auto"/>
              <w:ind w:firstLine="0"/>
              <w:rPr>
                <w:rFonts w:ascii="Arial Narrow" w:hAnsi="Arial Narrow"/>
                <w:b/>
                <w:color w:val="000000"/>
                <w:sz w:val="20"/>
                <w:lang w:val="es-ES_tradnl"/>
              </w:rPr>
            </w:pPr>
            <w:r w:rsidRPr="00F87640">
              <w:rPr>
                <w:rFonts w:ascii="Arial Narrow" w:eastAsia="Times New Roman" w:hAnsi="Arial Narrow"/>
                <w:b/>
                <w:color w:val="000000"/>
                <w:sz w:val="20"/>
                <w:szCs w:val="20"/>
                <w:lang w:val="es-ES_tradnl"/>
              </w:rPr>
              <w:t>Total de Exportaciones de Puerto Rico</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producto</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2,791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1,831 </w:t>
            </w: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industria</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4,357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6,066 </w:t>
            </w: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país</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6,424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5,150 </w:t>
            </w:r>
          </w:p>
        </w:tc>
      </w:tr>
      <w:tr w:rsidR="005A5E7D" w:rsidRPr="00226088">
        <w:trPr>
          <w:trHeight w:val="288"/>
          <w:jc w:val="center"/>
        </w:trPr>
        <w:tc>
          <w:tcPr>
            <w:tcW w:w="0" w:type="auto"/>
            <w:shd w:val="clear" w:color="auto" w:fill="auto"/>
            <w:noWrap/>
          </w:tcPr>
          <w:p w:rsidR="005A5E7D" w:rsidRPr="00F87640" w:rsidRDefault="005A5E7D" w:rsidP="005A5E7D">
            <w:pPr>
              <w:spacing w:line="240" w:lineRule="auto"/>
              <w:ind w:firstLine="0"/>
              <w:rPr>
                <w:rFonts w:ascii="Arial Narrow" w:hAnsi="Arial Narrow"/>
                <w:b/>
                <w:i/>
                <w:color w:val="000000"/>
                <w:sz w:val="20"/>
                <w:lang w:val="es-ES_tradnl"/>
              </w:rPr>
            </w:pPr>
            <w:r w:rsidRPr="00F87640">
              <w:rPr>
                <w:rFonts w:ascii="Arial Narrow" w:eastAsia="Times New Roman" w:hAnsi="Arial Narrow"/>
                <w:b/>
                <w:i/>
                <w:color w:val="000000"/>
                <w:sz w:val="20"/>
                <w:szCs w:val="20"/>
                <w:lang w:val="es-ES_tradnl"/>
              </w:rPr>
              <w:t>Exportaciones a Estados Unidos</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producto</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3,305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2,264 </w:t>
            </w: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industria</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4,449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5,776 </w:t>
            </w: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país</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10,000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10,000 </w:t>
            </w:r>
          </w:p>
        </w:tc>
      </w:tr>
      <w:tr w:rsidR="005A5E7D" w:rsidRPr="00226088">
        <w:trPr>
          <w:trHeight w:val="288"/>
          <w:jc w:val="center"/>
        </w:trPr>
        <w:tc>
          <w:tcPr>
            <w:tcW w:w="0" w:type="auto"/>
            <w:shd w:val="clear" w:color="auto" w:fill="auto"/>
            <w:noWrap/>
          </w:tcPr>
          <w:p w:rsidR="005A5E7D" w:rsidRPr="00F87640" w:rsidRDefault="005A5E7D" w:rsidP="005A5E7D">
            <w:pPr>
              <w:spacing w:line="240" w:lineRule="auto"/>
              <w:ind w:firstLine="0"/>
              <w:rPr>
                <w:rFonts w:ascii="Arial Narrow" w:hAnsi="Arial Narrow"/>
                <w:b/>
                <w:i/>
                <w:color w:val="000000"/>
                <w:sz w:val="20"/>
                <w:lang w:val="es-ES_tradnl"/>
              </w:rPr>
            </w:pPr>
            <w:r w:rsidRPr="00F87640">
              <w:rPr>
                <w:rFonts w:ascii="Arial Narrow" w:eastAsia="Times New Roman" w:hAnsi="Arial Narrow"/>
                <w:b/>
                <w:i/>
                <w:color w:val="000000"/>
                <w:sz w:val="20"/>
                <w:szCs w:val="20"/>
                <w:lang w:val="es-ES_tradnl"/>
              </w:rPr>
              <w:t>Exportaciones al Resto del Mundo</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producto</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1,397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1,636 </w:t>
            </w: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industria</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4,092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6,890 </w:t>
            </w:r>
          </w:p>
        </w:tc>
      </w:tr>
      <w:tr w:rsidR="005A5E7D" w:rsidRPr="00226088">
        <w:trPr>
          <w:trHeight w:val="288"/>
          <w:jc w:val="center"/>
        </w:trPr>
        <w:tc>
          <w:tcPr>
            <w:tcW w:w="0" w:type="auto"/>
            <w:shd w:val="clear" w:color="auto" w:fill="auto"/>
            <w:noWrap/>
          </w:tcPr>
          <w:p w:rsidR="005A5E7D" w:rsidRPr="00226088" w:rsidRDefault="005A5E7D" w:rsidP="008964A4">
            <w:pPr>
              <w:spacing w:line="240" w:lineRule="auto"/>
              <w:ind w:firstLineChars="400" w:firstLine="622"/>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IH</w:t>
            </w:r>
            <w:r>
              <w:rPr>
                <w:rFonts w:ascii="Arial Narrow" w:eastAsia="Times New Roman" w:hAnsi="Arial Narrow"/>
                <w:color w:val="000000"/>
                <w:sz w:val="20"/>
                <w:szCs w:val="20"/>
                <w:lang w:val="es-ES_tradnl"/>
              </w:rPr>
              <w:t>H</w:t>
            </w:r>
            <w:r w:rsidRPr="00226088">
              <w:rPr>
                <w:rFonts w:ascii="Arial Narrow" w:eastAsia="Times New Roman" w:hAnsi="Arial Narrow"/>
                <w:color w:val="000000"/>
                <w:sz w:val="20"/>
                <w:szCs w:val="20"/>
                <w:lang w:val="es-ES_tradnl"/>
              </w:rPr>
              <w:t xml:space="preserve"> por país</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1,078 </w:t>
            </w:r>
          </w:p>
        </w:tc>
        <w:tc>
          <w:tcPr>
            <w:tcW w:w="0" w:type="auto"/>
            <w:shd w:val="clear" w:color="auto" w:fill="auto"/>
            <w:noWrap/>
          </w:tcPr>
          <w:p w:rsidR="005A5E7D" w:rsidRPr="00226088" w:rsidRDefault="005A5E7D" w:rsidP="005A5E7D">
            <w:pPr>
              <w:spacing w:line="240" w:lineRule="auto"/>
              <w:ind w:firstLine="0"/>
              <w:jc w:val="right"/>
              <w:rPr>
                <w:rFonts w:ascii="Arial Narrow" w:hAnsi="Arial Narrow"/>
                <w:color w:val="000000"/>
                <w:sz w:val="20"/>
                <w:lang w:val="es-ES_tradnl"/>
              </w:rPr>
            </w:pPr>
            <w:r w:rsidRPr="00226088">
              <w:rPr>
                <w:rFonts w:ascii="Arial Narrow" w:eastAsia="Times New Roman" w:hAnsi="Arial Narrow"/>
                <w:color w:val="000000"/>
                <w:sz w:val="20"/>
                <w:szCs w:val="20"/>
                <w:lang w:val="es-ES_tradnl"/>
              </w:rPr>
              <w:t xml:space="preserve">            763 </w:t>
            </w:r>
          </w:p>
        </w:tc>
      </w:tr>
    </w:tbl>
    <w:p w:rsidR="005A5E7D" w:rsidRPr="00226088" w:rsidRDefault="005A5E7D" w:rsidP="005A5E7D">
      <w:pPr>
        <w:spacing w:line="360" w:lineRule="auto"/>
        <w:rPr>
          <w:i/>
          <w:noProof/>
          <w:lang w:val="es-ES_tradnl"/>
        </w:rPr>
      </w:pPr>
    </w:p>
    <w:p w:rsidR="005A5E7D" w:rsidRDefault="005A5E7D" w:rsidP="005A5E7D">
      <w:pPr>
        <w:rPr>
          <w:noProof/>
        </w:rPr>
      </w:pPr>
      <w:r>
        <w:rPr>
          <w:noProof/>
        </w:rPr>
        <w:t>Otro aspecto crucial a analizar es la integración de pequeñas y medianas empresas al comercio de exportación. En el 2011, el 87% de los exportadores en Puerto Rico se consideraban pequeñas o medianas empresas y suplían el 35% de las exportaciones al r</w:t>
      </w:r>
      <w:r w:rsidRPr="00F87640">
        <w:rPr>
          <w:noProof/>
        </w:rPr>
        <w:t xml:space="preserve">esto del </w:t>
      </w:r>
      <w:r>
        <w:rPr>
          <w:noProof/>
        </w:rPr>
        <w:t>m</w:t>
      </w:r>
      <w:r w:rsidRPr="00F87640">
        <w:rPr>
          <w:noProof/>
        </w:rPr>
        <w:t>undo</w:t>
      </w:r>
      <w:r>
        <w:rPr>
          <w:noProof/>
        </w:rPr>
        <w:t xml:space="preserve">, de acuerdo con los datos del </w:t>
      </w:r>
      <w:r w:rsidRPr="00554472">
        <w:rPr>
          <w:i/>
          <w:noProof/>
        </w:rPr>
        <w:t xml:space="preserve">International Trade Administration </w:t>
      </w:r>
      <w:r w:rsidRPr="00F87640">
        <w:rPr>
          <w:noProof/>
        </w:rPr>
        <w:t>(ITA)</w:t>
      </w:r>
      <w:r>
        <w:rPr>
          <w:noProof/>
        </w:rPr>
        <w:t>.</w:t>
      </w:r>
      <w:r>
        <w:rPr>
          <w:rStyle w:val="FootnoteReference"/>
          <w:noProof/>
        </w:rPr>
        <w:footnoteReference w:id="49"/>
      </w:r>
      <w:r>
        <w:rPr>
          <w:noProof/>
        </w:rPr>
        <w:t xml:space="preserve"> Estos porcentajes son similares al total para todos los estados de Estados Unidos.</w:t>
      </w:r>
    </w:p>
    <w:p w:rsidR="005A5E7D" w:rsidRPr="00F8044B" w:rsidRDefault="005A5E7D" w:rsidP="005A5E7D">
      <w:pPr>
        <w:rPr>
          <w:lang w:val="es-ES_tradnl"/>
        </w:rPr>
      </w:pPr>
      <w:r w:rsidRPr="00F8044B">
        <w:rPr>
          <w:lang w:val="es-ES_tradnl"/>
        </w:rPr>
        <w:t xml:space="preserve">Se utilizó también la información del </w:t>
      </w:r>
      <w:r w:rsidRPr="00F87640">
        <w:rPr>
          <w:i/>
          <w:lang w:val="es-ES_tradnl"/>
        </w:rPr>
        <w:t xml:space="preserve">Registro de Comerciantes </w:t>
      </w:r>
      <w:r w:rsidRPr="00F8044B">
        <w:rPr>
          <w:lang w:val="es-ES_tradnl"/>
        </w:rPr>
        <w:t>del 2011</w:t>
      </w:r>
      <w:r>
        <w:rPr>
          <w:lang w:val="es-ES_tradnl"/>
        </w:rPr>
        <w:t>,</w:t>
      </w:r>
      <w:r w:rsidRPr="00F8044B">
        <w:rPr>
          <w:lang w:val="es-ES_tradnl"/>
        </w:rPr>
        <w:t xml:space="preserve"> provisto por la Com</w:t>
      </w:r>
      <w:r>
        <w:rPr>
          <w:lang w:val="es-ES_tradnl"/>
        </w:rPr>
        <w:t xml:space="preserve">pañía de Comercio y Exportación, </w:t>
      </w:r>
      <w:r w:rsidRPr="00F8044B">
        <w:rPr>
          <w:lang w:val="es-ES_tradnl"/>
        </w:rPr>
        <w:t>con el objetivo de estudiar la relevancia de las exportaciones para el sector empresarial en Puerto Rico.</w:t>
      </w:r>
      <w:r>
        <w:rPr>
          <w:lang w:val="es-ES_tradnl"/>
        </w:rPr>
        <w:t xml:space="preserve"> De los 27,911 casos</w:t>
      </w:r>
      <w:r w:rsidRPr="00F8044B">
        <w:rPr>
          <w:lang w:val="es-ES_tradnl"/>
        </w:rPr>
        <w:t>, s</w:t>
      </w:r>
      <w:r>
        <w:rPr>
          <w:lang w:val="es-ES_tradnl"/>
        </w:rPr>
        <w:t>o</w:t>
      </w:r>
      <w:r w:rsidRPr="00F8044B">
        <w:rPr>
          <w:lang w:val="es-ES_tradnl"/>
        </w:rPr>
        <w:t>lo 285</w:t>
      </w:r>
      <w:r>
        <w:rPr>
          <w:lang w:val="es-ES_tradnl"/>
        </w:rPr>
        <w:t xml:space="preserve"> (1%)</w:t>
      </w:r>
      <w:r w:rsidRPr="00F8044B">
        <w:rPr>
          <w:lang w:val="es-ES_tradnl"/>
        </w:rPr>
        <w:t xml:space="preserve"> indicaron exporta</w:t>
      </w:r>
      <w:r>
        <w:rPr>
          <w:lang w:val="es-ES_tradnl"/>
        </w:rPr>
        <w:t>r</w:t>
      </w:r>
      <w:r w:rsidRPr="00F8044B">
        <w:rPr>
          <w:lang w:val="es-ES_tradnl"/>
        </w:rPr>
        <w:t xml:space="preserve">, 26,297 </w:t>
      </w:r>
      <w:r>
        <w:rPr>
          <w:lang w:val="es-ES_tradnl"/>
        </w:rPr>
        <w:t xml:space="preserve">(94%) </w:t>
      </w:r>
      <w:r w:rsidRPr="00F8044B">
        <w:rPr>
          <w:lang w:val="es-ES_tradnl"/>
        </w:rPr>
        <w:t xml:space="preserve">indicaron </w:t>
      </w:r>
      <w:r>
        <w:rPr>
          <w:lang w:val="es-ES_tradnl"/>
        </w:rPr>
        <w:t xml:space="preserve">que no </w:t>
      </w:r>
      <w:r w:rsidRPr="00F8044B">
        <w:rPr>
          <w:lang w:val="es-ES_tradnl"/>
        </w:rPr>
        <w:t>exporta</w:t>
      </w:r>
      <w:r>
        <w:rPr>
          <w:lang w:val="es-ES_tradnl"/>
        </w:rPr>
        <w:t>n</w:t>
      </w:r>
      <w:r w:rsidRPr="00F8044B">
        <w:rPr>
          <w:lang w:val="es-ES_tradnl"/>
        </w:rPr>
        <w:t xml:space="preserve"> y los restantes 1,329 </w:t>
      </w:r>
      <w:r>
        <w:rPr>
          <w:lang w:val="es-ES_tradnl"/>
        </w:rPr>
        <w:t xml:space="preserve">(5%) </w:t>
      </w:r>
      <w:r w:rsidRPr="00F8044B">
        <w:rPr>
          <w:lang w:val="es-ES_tradnl"/>
        </w:rPr>
        <w:t xml:space="preserve">no </w:t>
      </w:r>
      <w:r>
        <w:rPr>
          <w:lang w:val="es-ES_tradnl"/>
        </w:rPr>
        <w:t xml:space="preserve">lo </w:t>
      </w:r>
      <w:r w:rsidRPr="00F8044B">
        <w:rPr>
          <w:lang w:val="es-ES_tradnl"/>
        </w:rPr>
        <w:t>indicaron (en su mayoría hoteles y restaurantes).</w:t>
      </w:r>
      <w:r>
        <w:rPr>
          <w:lang w:val="es-ES_tradnl"/>
        </w:rPr>
        <w:t xml:space="preserve"> </w:t>
      </w:r>
    </w:p>
    <w:p w:rsidR="005A5E7D" w:rsidRDefault="005A5E7D" w:rsidP="005A5E7D">
      <w:pPr>
        <w:rPr>
          <w:lang w:val="es-ES_tradnl"/>
        </w:rPr>
      </w:pPr>
      <w:r w:rsidRPr="00F8044B">
        <w:rPr>
          <w:lang w:val="es-ES_tradnl"/>
        </w:rPr>
        <w:t xml:space="preserve">El valor de las exportaciones </w:t>
      </w:r>
      <w:r>
        <w:rPr>
          <w:lang w:val="es-ES_tradnl"/>
        </w:rPr>
        <w:t xml:space="preserve">informadas </w:t>
      </w:r>
      <w:r w:rsidRPr="00F8044B">
        <w:rPr>
          <w:lang w:val="es-ES_tradnl"/>
        </w:rPr>
        <w:t>fue $69,457</w:t>
      </w:r>
      <w:r>
        <w:rPr>
          <w:lang w:val="es-ES_tradnl"/>
        </w:rPr>
        <w:t xml:space="preserve"> millones,</w:t>
      </w:r>
      <w:r w:rsidRPr="00F8044B">
        <w:rPr>
          <w:lang w:val="es-ES_tradnl"/>
        </w:rPr>
        <w:t xml:space="preserve"> lo que representa el 92% de las ventas de los comercios que indicaron ser exportadores y el 62% de las ventas totales informadas.</w:t>
      </w:r>
      <w:r>
        <w:rPr>
          <w:lang w:val="es-ES_tradnl"/>
        </w:rPr>
        <w:t xml:space="preserve"> </w:t>
      </w:r>
      <w:r w:rsidRPr="00F8044B">
        <w:rPr>
          <w:lang w:val="es-ES_tradnl"/>
        </w:rPr>
        <w:t>Las ventas de exportaciones se concentra</w:t>
      </w:r>
      <w:r>
        <w:rPr>
          <w:lang w:val="es-ES_tradnl"/>
        </w:rPr>
        <w:t>ro</w:t>
      </w:r>
      <w:r w:rsidRPr="00F8044B">
        <w:rPr>
          <w:lang w:val="es-ES_tradnl"/>
        </w:rPr>
        <w:t xml:space="preserve">n mayormente en el sector de la </w:t>
      </w:r>
      <w:r>
        <w:rPr>
          <w:lang w:val="es-ES_tradnl"/>
        </w:rPr>
        <w:t>m</w:t>
      </w:r>
      <w:r w:rsidRPr="00F8044B">
        <w:rPr>
          <w:lang w:val="es-ES_tradnl"/>
        </w:rPr>
        <w:t>anufactura.</w:t>
      </w:r>
      <w:r>
        <w:rPr>
          <w:lang w:val="es-ES_tradnl"/>
        </w:rPr>
        <w:t xml:space="preserve"> En </w:t>
      </w:r>
      <w:r w:rsidRPr="00F8044B">
        <w:rPr>
          <w:lang w:val="es-ES_tradnl"/>
        </w:rPr>
        <w:t>el área de los servicios, el sector de servicios profesionales, científicos y técnico</w:t>
      </w:r>
      <w:r>
        <w:rPr>
          <w:lang w:val="es-ES_tradnl"/>
        </w:rPr>
        <w:t>s</w:t>
      </w:r>
      <w:r w:rsidRPr="00F8044B">
        <w:rPr>
          <w:lang w:val="es-ES_tradnl"/>
        </w:rPr>
        <w:t xml:space="preserve"> </w:t>
      </w:r>
      <w:r>
        <w:rPr>
          <w:lang w:val="es-ES_tradnl"/>
        </w:rPr>
        <w:t>fue</w:t>
      </w:r>
      <w:r w:rsidRPr="00F8044B">
        <w:rPr>
          <w:lang w:val="es-ES_tradnl"/>
        </w:rPr>
        <w:t xml:space="preserve"> el de mayor participación dentro del grupo exportador.</w:t>
      </w:r>
      <w:r>
        <w:rPr>
          <w:lang w:val="es-ES_tradnl"/>
        </w:rPr>
        <w:t xml:space="preserve"> </w:t>
      </w:r>
      <w:r w:rsidRPr="00F8044B">
        <w:rPr>
          <w:lang w:val="es-ES_tradnl"/>
        </w:rPr>
        <w:t>El sector industrial con mayor número de exportadores entre los comer</w:t>
      </w:r>
      <w:r>
        <w:rPr>
          <w:lang w:val="es-ES_tradnl"/>
        </w:rPr>
        <w:t>cios registrados</w:t>
      </w:r>
      <w:r w:rsidRPr="00F8044B">
        <w:rPr>
          <w:lang w:val="es-ES_tradnl"/>
        </w:rPr>
        <w:t xml:space="preserve"> fue </w:t>
      </w:r>
      <w:r>
        <w:rPr>
          <w:lang w:val="es-ES_tradnl"/>
        </w:rPr>
        <w:t>el c</w:t>
      </w:r>
      <w:r w:rsidRPr="00F8044B">
        <w:rPr>
          <w:lang w:val="es-ES_tradnl"/>
        </w:rPr>
        <w:t>omercio al por mayor.</w:t>
      </w:r>
      <w:r>
        <w:rPr>
          <w:lang w:val="es-ES_tradnl"/>
        </w:rPr>
        <w:t xml:space="preserve"> </w:t>
      </w:r>
      <w:r w:rsidRPr="00F8044B">
        <w:rPr>
          <w:lang w:val="es-ES_tradnl"/>
        </w:rPr>
        <w:t xml:space="preserve">El </w:t>
      </w:r>
      <w:r>
        <w:rPr>
          <w:b/>
          <w:lang w:val="es-ES_tradnl"/>
        </w:rPr>
        <w:t>Apéndice 4.A</w:t>
      </w:r>
      <w:r>
        <w:rPr>
          <w:lang w:val="es-ES_tradnl"/>
        </w:rPr>
        <w:t xml:space="preserve"> </w:t>
      </w:r>
      <w:r w:rsidRPr="00F8044B">
        <w:rPr>
          <w:lang w:val="es-ES_tradnl"/>
        </w:rPr>
        <w:t xml:space="preserve">tiene </w:t>
      </w:r>
      <w:r>
        <w:rPr>
          <w:lang w:val="es-ES_tradnl"/>
        </w:rPr>
        <w:t xml:space="preserve">la </w:t>
      </w:r>
      <w:r w:rsidRPr="00F8044B">
        <w:rPr>
          <w:lang w:val="es-ES_tradnl"/>
        </w:rPr>
        <w:t>información sobre los comercios exportadores.</w:t>
      </w:r>
    </w:p>
    <w:p w:rsidR="005A5E7D" w:rsidRDefault="005A5E7D" w:rsidP="005A5E7D">
      <w:pPr>
        <w:rPr>
          <w:lang w:val="es-ES_tradnl"/>
        </w:rPr>
      </w:pPr>
      <w:r>
        <w:rPr>
          <w:lang w:val="es-ES_tradnl"/>
        </w:rPr>
        <w:t xml:space="preserve">De acuerdo con el </w:t>
      </w:r>
      <w:r w:rsidRPr="00E84393">
        <w:rPr>
          <w:i/>
          <w:lang w:val="es-ES_tradnl"/>
        </w:rPr>
        <w:t>Registro de Comerciantes</w:t>
      </w:r>
      <w:r>
        <w:rPr>
          <w:lang w:val="es-ES_tradnl"/>
        </w:rPr>
        <w:t>, el 42% del valor de las exportaciones en el 2011 se concentraban en la manufactura. No obstante, no permite identificar el sector al cual pertenece la empresa, ya que el 31% de los comerciantes no informó el NAIC al cual pertenece su actividad de exportación. Los datos de comercio exterior para Puerto Rico demuestran que el 99% de las exportaciones totales de Puerto Rico en el 2013 correspondieron a la manufactura, según los datos de la Junta de Planificación.</w:t>
      </w:r>
    </w:p>
    <w:p w:rsidR="005A5E7D" w:rsidRDefault="005A5E7D" w:rsidP="005A5E7D">
      <w:pPr>
        <w:rPr>
          <w:lang w:val="es-ES_tradnl"/>
        </w:rPr>
      </w:pPr>
      <w:r>
        <w:rPr>
          <w:lang w:val="es-ES_tradnl"/>
        </w:rPr>
        <w:t xml:space="preserve">A manera de comparación, en 2011, la mayoría de las empresas exportadoras grandes de Estados Unidos pertenecían a la industria manufacturera, al igual que </w:t>
      </w:r>
      <w:r w:rsidRPr="00E920D1">
        <w:rPr>
          <w:lang w:val="es-ES_tradnl"/>
        </w:rPr>
        <w:t xml:space="preserve">la mayor parte de las ventas de grandes exportadoras </w:t>
      </w:r>
      <w:r w:rsidRPr="006C2A22">
        <w:rPr>
          <w:noProof/>
        </w:rPr>
        <w:t>(</w:t>
      </w:r>
      <w:r w:rsidRPr="00E84393">
        <w:rPr>
          <w:i/>
          <w:noProof/>
        </w:rPr>
        <w:t>International Trade Administration</w:t>
      </w:r>
      <w:r w:rsidRPr="006C2A22">
        <w:rPr>
          <w:noProof/>
        </w:rPr>
        <w:t>)</w:t>
      </w:r>
      <w:r>
        <w:rPr>
          <w:lang w:val="es-ES_tradnl"/>
        </w:rPr>
        <w:t>. En 2011, e</w:t>
      </w:r>
      <w:r w:rsidRPr="00E920D1">
        <w:rPr>
          <w:lang w:val="es-ES_tradnl"/>
        </w:rPr>
        <w:t xml:space="preserve">l 76% de las pequeñas y medianas empresas exportadoras </w:t>
      </w:r>
      <w:r>
        <w:rPr>
          <w:lang w:val="es-ES_tradnl"/>
        </w:rPr>
        <w:t xml:space="preserve">de Estados Unidos eran </w:t>
      </w:r>
      <w:r w:rsidRPr="00E920D1">
        <w:rPr>
          <w:lang w:val="es-ES_tradnl"/>
        </w:rPr>
        <w:t>mayoristas e industrias no manufacturera</w:t>
      </w:r>
      <w:r>
        <w:rPr>
          <w:lang w:val="es-ES_tradnl"/>
        </w:rPr>
        <w:t>s</w:t>
      </w:r>
      <w:r w:rsidRPr="00E920D1">
        <w:rPr>
          <w:lang w:val="es-ES_tradnl"/>
        </w:rPr>
        <w:t>.</w:t>
      </w:r>
      <w:r>
        <w:rPr>
          <w:lang w:val="es-ES_tradnl"/>
        </w:rPr>
        <w:t xml:space="preserve"> A su vez, l</w:t>
      </w:r>
      <w:r w:rsidRPr="00E920D1">
        <w:rPr>
          <w:lang w:val="es-ES_tradnl"/>
        </w:rPr>
        <w:t>os mayoristas aportaban el 43% de las exportaciones de pequeñas y medianas empresas.</w:t>
      </w:r>
    </w:p>
    <w:p w:rsidR="006C1869" w:rsidRDefault="006C1869" w:rsidP="005A5E7D">
      <w:pPr>
        <w:rPr>
          <w:lang w:val="es-ES_tradnl"/>
        </w:rPr>
      </w:pPr>
    </w:p>
    <w:p w:rsidR="005A5E7D" w:rsidRDefault="005A5E7D" w:rsidP="005A5E7D">
      <w:pPr>
        <w:pStyle w:val="Heading2"/>
        <w:ind w:left="426" w:hanging="426"/>
        <w:rPr>
          <w:noProof/>
        </w:rPr>
      </w:pPr>
      <w:bookmarkStart w:id="68" w:name="_Toc384769761"/>
      <w:r w:rsidRPr="007D43B5">
        <w:rPr>
          <w:noProof/>
        </w:rPr>
        <w:t>Tendencia</w:t>
      </w:r>
      <w:r>
        <w:rPr>
          <w:noProof/>
        </w:rPr>
        <w:t>s</w:t>
      </w:r>
      <w:r w:rsidRPr="007D43B5">
        <w:rPr>
          <w:noProof/>
        </w:rPr>
        <w:t xml:space="preserve"> en las </w:t>
      </w:r>
      <w:r>
        <w:rPr>
          <w:noProof/>
        </w:rPr>
        <w:t>i</w:t>
      </w:r>
      <w:r w:rsidRPr="007D43B5">
        <w:rPr>
          <w:noProof/>
        </w:rPr>
        <w:t>mportaciones de Puerto Rico</w:t>
      </w:r>
      <w:bookmarkEnd w:id="68"/>
    </w:p>
    <w:p w:rsidR="005A5E7D" w:rsidRDefault="005A5E7D" w:rsidP="005A5E7D">
      <w:pPr>
        <w:spacing w:line="360" w:lineRule="auto"/>
        <w:rPr>
          <w:noProof/>
          <w:lang w:val="es-ES_tradnl"/>
        </w:rPr>
      </w:pPr>
    </w:p>
    <w:p w:rsidR="005A5E7D" w:rsidRDefault="005A5E7D" w:rsidP="005A5E7D">
      <w:pPr>
        <w:rPr>
          <w:noProof/>
          <w:lang w:val="es-ES_tradnl"/>
        </w:rPr>
      </w:pPr>
      <w:r>
        <w:rPr>
          <w:noProof/>
          <w:lang w:val="es-ES_tradnl"/>
        </w:rPr>
        <w:t xml:space="preserve">Del 2006 al 2013, el valor de las importaciones totales de Puerto Rico disminuyó en un 11% (de $45,000 millones a $40,200 millones), mientras las importaciones provenientes de Estados Unidos disminuyeron en un 16% (de $22,400 millones a $18,800 millones). La </w:t>
      </w:r>
      <w:r>
        <w:rPr>
          <w:b/>
          <w:noProof/>
          <w:lang w:val="es-ES_tradnl"/>
        </w:rPr>
        <w:t xml:space="preserve">Gráfica 2 </w:t>
      </w:r>
      <w:r>
        <w:rPr>
          <w:noProof/>
          <w:lang w:val="es-ES_tradnl"/>
        </w:rPr>
        <w:t>muestra los valores para los años 2007, 2010 y 2013.</w:t>
      </w:r>
    </w:p>
    <w:p w:rsidR="005A5E7D" w:rsidRDefault="005A5E7D" w:rsidP="005A5E7D">
      <w:r>
        <w:rPr>
          <w:lang w:val="es-ES_tradnl"/>
        </w:rPr>
        <w:t xml:space="preserve">En el caso de las </w:t>
      </w:r>
      <w:r w:rsidR="00B60AFF">
        <w:rPr>
          <w:lang w:val="es-ES_tradnl"/>
        </w:rPr>
        <w:t>im</w:t>
      </w:r>
      <w:r>
        <w:rPr>
          <w:lang w:val="es-ES_tradnl"/>
        </w:rPr>
        <w:t xml:space="preserve">portaciones procedentes de </w:t>
      </w:r>
      <w:r>
        <w:rPr>
          <w:noProof/>
          <w:lang w:val="es-ES_tradnl"/>
        </w:rPr>
        <w:t>Estados Unidos</w:t>
      </w:r>
      <w:r w:rsidR="00087312">
        <w:rPr>
          <w:noProof/>
          <w:lang w:val="es-ES_tradnl"/>
        </w:rPr>
        <w:t>, al 2013</w:t>
      </w:r>
      <w:r>
        <w:rPr>
          <w:lang w:val="es-ES_tradnl"/>
        </w:rPr>
        <w:t xml:space="preserve">, el 53% corresponde a manufactura de químicos y el 22% a manufactura de productos de petróleo. </w:t>
      </w:r>
      <w:r w:rsidRPr="0004705C">
        <w:t>Por su parte</w:t>
      </w:r>
      <w:r>
        <w:t>,</w:t>
      </w:r>
      <w:r w:rsidRPr="0004705C">
        <w:t xml:space="preserve"> las importaciones procedentes del resto del mundo tiene</w:t>
      </w:r>
      <w:r>
        <w:t>n</w:t>
      </w:r>
      <w:r w:rsidRPr="0004705C">
        <w:t xml:space="preserve"> una composici</w:t>
      </w:r>
      <w:r>
        <w:t xml:space="preserve">ón más diversa: un 32% en manufactura de químicos, un 14% en manufactura de comida, un 10% en manufactura de computadoras y equipos electrónicos, y un 9% en manufactura de equipos de transporte. </w:t>
      </w:r>
    </w:p>
    <w:p w:rsidR="004C19A5" w:rsidRDefault="004C19A5" w:rsidP="005A5E7D"/>
    <w:p w:rsidR="005A5E7D" w:rsidRPr="00544E5C" w:rsidRDefault="005A5E7D" w:rsidP="005A5E7D">
      <w:pPr>
        <w:spacing w:line="240" w:lineRule="auto"/>
        <w:rPr>
          <w:sz w:val="16"/>
        </w:rPr>
      </w:pPr>
    </w:p>
    <w:p w:rsidR="005A5E7D" w:rsidRDefault="0095547C" w:rsidP="005A5E7D">
      <w:pPr>
        <w:spacing w:after="240"/>
        <w:jc w:val="center"/>
      </w:pPr>
      <w:r>
        <w:rPr>
          <w:noProof/>
          <w:lang w:val="en-US"/>
        </w:rPr>
        <w:drawing>
          <wp:inline distT="0" distB="0" distL="0" distR="0">
            <wp:extent cx="4262907" cy="3232597"/>
            <wp:effectExtent l="19050" t="0" r="23343" b="5903"/>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4C19A5" w:rsidRDefault="004C19A5" w:rsidP="005A5E7D"/>
    <w:p w:rsidR="005A5E7D" w:rsidRDefault="005A5E7D" w:rsidP="005A5E7D">
      <w:r>
        <w:t>Un aspecto a destacar es que tanto las importaciones como las exportaciones se concentran en el mismo sector industrial de productos químicos, especialmente en el caso del comercio de la Isla con Estados Unidos. Esto apunta a que las transacciones intraempresas son un elemento importante en el comercio exterior de Puerto Rico. También evidencia que Puerto Rico no ha logrado crear eslabonamientos internos para servir de suplidores a las empresas manufactureras que se establecen locamente.</w:t>
      </w:r>
    </w:p>
    <w:p w:rsidR="006C1869" w:rsidRPr="0004705C" w:rsidRDefault="006C1869" w:rsidP="005A5E7D">
      <w:pPr>
        <w:spacing w:line="240" w:lineRule="auto"/>
      </w:pPr>
    </w:p>
    <w:p w:rsidR="005A5E7D" w:rsidRDefault="005A5E7D" w:rsidP="005A5E7D">
      <w:pPr>
        <w:pStyle w:val="Heading2"/>
        <w:ind w:left="426" w:hanging="426"/>
      </w:pPr>
      <w:bookmarkStart w:id="69" w:name="_Toc384769762"/>
      <w:r>
        <w:t>Los tratados comerciales de Estados Unidos y su efecto en Puerto Rico</w:t>
      </w:r>
      <w:bookmarkEnd w:id="69"/>
    </w:p>
    <w:p w:rsidR="005A5E7D" w:rsidRDefault="005A5E7D" w:rsidP="005A5E7D">
      <w:pPr>
        <w:spacing w:line="360" w:lineRule="auto"/>
        <w:rPr>
          <w:lang w:val="es-ES_tradnl"/>
        </w:rPr>
      </w:pPr>
    </w:p>
    <w:p w:rsidR="005A5E7D" w:rsidRDefault="005A5E7D" w:rsidP="005A5E7D">
      <w:pPr>
        <w:rPr>
          <w:lang w:val="es-ES_tradnl"/>
        </w:rPr>
      </w:pPr>
      <w:r>
        <w:rPr>
          <w:lang w:val="es-ES_tradnl"/>
        </w:rPr>
        <w:t xml:space="preserve">Al momento, Estados Unidos mantiene tratados de libre comercio (TLC) con veinte países: Australia, Baréin, Canadá, Chile, Colombia, Costa Rica, República Dominicana, El Salvador, Guatemala, Honduras, Israel, Jordania, Corea del Sur, México, Marruecos, Nicaragua, Omán, Panamá, Perú y Singapur. La </w:t>
      </w:r>
      <w:r w:rsidRPr="008472D8">
        <w:rPr>
          <w:b/>
          <w:lang w:val="es-ES_tradnl"/>
        </w:rPr>
        <w:t>Tabla 2</w:t>
      </w:r>
      <w:r>
        <w:rPr>
          <w:lang w:val="es-ES_tradnl"/>
        </w:rPr>
        <w:t xml:space="preserve"> presenta una lista de los tratados comerciales vigentes, los países incluidos en cada uno y la fecha de comienzo</w:t>
      </w:r>
      <w:r>
        <w:rPr>
          <w:noProof/>
        </w:rPr>
        <w:t xml:space="preserve"> (</w:t>
      </w:r>
      <w:r w:rsidRPr="00544E5C">
        <w:rPr>
          <w:i/>
          <w:noProof/>
        </w:rPr>
        <w:t>Office of the United States Trade Representative</w:t>
      </w:r>
      <w:r>
        <w:rPr>
          <w:noProof/>
        </w:rPr>
        <w:t>)</w:t>
      </w:r>
      <w:r>
        <w:rPr>
          <w:lang w:val="es-ES_tradnl"/>
        </w:rPr>
        <w:t>.</w:t>
      </w:r>
    </w:p>
    <w:p w:rsidR="005A5E7D" w:rsidRDefault="005A5E7D" w:rsidP="005A5E7D">
      <w:pPr>
        <w:spacing w:line="240" w:lineRule="auto"/>
        <w:rPr>
          <w:lang w:val="es-ES_tradnl"/>
        </w:rPr>
      </w:pPr>
    </w:p>
    <w:p w:rsidR="006C1869" w:rsidRDefault="006C1869" w:rsidP="005A5E7D">
      <w:pPr>
        <w:spacing w:line="240" w:lineRule="auto"/>
        <w:rPr>
          <w:lang w:val="es-ES_tradnl"/>
        </w:rPr>
      </w:pPr>
    </w:p>
    <w:tbl>
      <w:tblPr>
        <w:tblW w:w="0" w:type="auto"/>
        <w:tblBorders>
          <w:top w:val="single" w:sz="12" w:space="0" w:color="008000"/>
          <w:bottom w:val="single" w:sz="12" w:space="0" w:color="008000"/>
        </w:tblBorders>
        <w:tblLook w:val="04A0"/>
      </w:tblPr>
      <w:tblGrid>
        <w:gridCol w:w="4855"/>
        <w:gridCol w:w="4721"/>
      </w:tblGrid>
      <w:tr w:rsidR="005A5E7D" w:rsidRPr="006C2E2C">
        <w:tc>
          <w:tcPr>
            <w:tcW w:w="0" w:type="auto"/>
            <w:gridSpan w:val="2"/>
            <w:tcBorders>
              <w:bottom w:val="single" w:sz="6" w:space="0" w:color="008000"/>
            </w:tcBorders>
            <w:shd w:val="clear" w:color="auto" w:fill="auto"/>
          </w:tcPr>
          <w:p w:rsidR="005A5E7D" w:rsidRPr="00544570" w:rsidRDefault="005A5E7D" w:rsidP="005A5E7D">
            <w:pPr>
              <w:suppressAutoHyphens/>
              <w:spacing w:line="240" w:lineRule="auto"/>
              <w:jc w:val="center"/>
              <w:rPr>
                <w:rFonts w:ascii="Arial Narrow" w:eastAsia="Times New Roman" w:hAnsi="Arial Narrow"/>
                <w:b/>
                <w:sz w:val="22"/>
                <w:szCs w:val="20"/>
                <w:lang w:val="es-ES_tradnl"/>
              </w:rPr>
            </w:pPr>
            <w:r w:rsidRPr="00544570">
              <w:rPr>
                <w:rFonts w:ascii="Arial Narrow" w:eastAsia="Times New Roman" w:hAnsi="Arial Narrow"/>
                <w:b/>
                <w:sz w:val="22"/>
                <w:szCs w:val="20"/>
                <w:lang w:val="es-ES_tradnl"/>
              </w:rPr>
              <w:t>Tabla 2</w:t>
            </w:r>
          </w:p>
          <w:p w:rsidR="005A5E7D" w:rsidRPr="006C2E2C" w:rsidRDefault="005A5E7D" w:rsidP="005A5E7D">
            <w:pPr>
              <w:suppressAutoHyphens/>
              <w:spacing w:line="240" w:lineRule="auto"/>
              <w:jc w:val="center"/>
              <w:rPr>
                <w:rFonts w:ascii="Arial Narrow" w:eastAsia="Times New Roman" w:hAnsi="Arial Narrow"/>
                <w:sz w:val="20"/>
                <w:szCs w:val="20"/>
                <w:lang w:val="es-ES_tradnl"/>
              </w:rPr>
            </w:pPr>
            <w:r w:rsidRPr="00544570">
              <w:rPr>
                <w:rFonts w:ascii="Arial Narrow" w:eastAsia="Times New Roman" w:hAnsi="Arial Narrow"/>
                <w:b/>
                <w:sz w:val="22"/>
                <w:szCs w:val="20"/>
                <w:lang w:val="es-ES_tradnl"/>
              </w:rPr>
              <w:t>Tratados Comerciales Vigentes para Estados Unidos</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Tratado</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Fecha de comienzo</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 xml:space="preserve">TLC EEUU- Australia </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1ro de enero de 2005</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w:t>
            </w:r>
            <w:r>
              <w:rPr>
                <w:rFonts w:ascii="Arial Narrow" w:hAnsi="Arial Narrow"/>
                <w:sz w:val="20"/>
                <w:szCs w:val="20"/>
                <w:lang w:val="es-ES_tradnl"/>
              </w:rPr>
              <w:t>LC EEUU-Ba</w:t>
            </w:r>
            <w:r w:rsidRPr="006C2E2C">
              <w:rPr>
                <w:rFonts w:ascii="Arial Narrow" w:hAnsi="Arial Narrow"/>
                <w:sz w:val="20"/>
                <w:szCs w:val="20"/>
                <w:lang w:val="es-ES_tradnl"/>
              </w:rPr>
              <w:t>réin</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11 de enero de 2006</w:t>
            </w:r>
          </w:p>
        </w:tc>
      </w:tr>
      <w:tr w:rsidR="005A5E7D" w:rsidRPr="006C2E2C">
        <w:tc>
          <w:tcPr>
            <w:tcW w:w="0" w:type="auto"/>
            <w:shd w:val="clear" w:color="auto" w:fill="auto"/>
          </w:tcPr>
          <w:p w:rsidR="005A5E7D" w:rsidRPr="006C2E2C" w:rsidRDefault="005A5E7D" w:rsidP="005A5E7D">
            <w:pPr>
              <w:spacing w:before="240" w:line="240" w:lineRule="auto"/>
              <w:ind w:left="720" w:firstLine="0"/>
              <w:rPr>
                <w:rFonts w:ascii="Arial Narrow" w:hAnsi="Arial Narrow"/>
                <w:sz w:val="20"/>
              </w:rPr>
            </w:pPr>
            <w:r w:rsidRPr="006C2E2C">
              <w:rPr>
                <w:rFonts w:ascii="Arial Narrow" w:hAnsi="Arial Narrow"/>
                <w:sz w:val="20"/>
                <w:szCs w:val="20"/>
              </w:rPr>
              <w:t>CAFTA-DR (</w:t>
            </w:r>
            <w:r w:rsidRPr="006C2E2C">
              <w:rPr>
                <w:rFonts w:ascii="Arial Narrow" w:hAnsi="Arial Narrow"/>
                <w:sz w:val="20"/>
                <w:szCs w:val="20"/>
                <w:lang w:val="es-ES_tradnl"/>
              </w:rPr>
              <w:t>Costa Rica, El Salvador, Guatemala, Honduras, Nicaragua y República Dominicana)</w:t>
            </w:r>
          </w:p>
        </w:tc>
        <w:tc>
          <w:tcPr>
            <w:tcW w:w="0" w:type="auto"/>
            <w:shd w:val="clear" w:color="auto" w:fill="auto"/>
          </w:tcPr>
          <w:p w:rsidR="005A5E7D" w:rsidRPr="006C2E2C" w:rsidRDefault="005A5E7D" w:rsidP="005A5E7D">
            <w:pPr>
              <w:spacing w:line="240" w:lineRule="auto"/>
              <w:ind w:left="767" w:hanging="33"/>
              <w:rPr>
                <w:rFonts w:ascii="Arial Narrow" w:hAnsi="Arial Narrow"/>
                <w:sz w:val="20"/>
                <w:lang w:val="es-ES_tradnl"/>
              </w:rPr>
            </w:pPr>
            <w:r w:rsidRPr="006C2E2C">
              <w:rPr>
                <w:rFonts w:ascii="Arial Narrow" w:hAnsi="Arial Narrow"/>
                <w:sz w:val="20"/>
                <w:szCs w:val="20"/>
                <w:lang w:val="es-ES_tradnl"/>
              </w:rPr>
              <w:t>2006 (El Salvador, Guatemala, Honduras y Nicaragua)</w:t>
            </w:r>
          </w:p>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 de marzo 2007 (República Dominicana)</w:t>
            </w:r>
          </w:p>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1ro de enero 2009 (Costa Rica)</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EEUU-Chile</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1ro de enero de 2004</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EEUU-Colombia</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2012</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EEUU-Israel</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1990</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EEUU-Jordán</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 de enero de 2010</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EEUU-Corea del Sur</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15 de marzo de 2012</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EEUU-M</w:t>
            </w:r>
            <w:r>
              <w:rPr>
                <w:rFonts w:ascii="Arial Narrow" w:hAnsi="Arial Narrow"/>
                <w:sz w:val="20"/>
                <w:szCs w:val="20"/>
                <w:lang w:val="es-ES_tradnl"/>
              </w:rPr>
              <w:t>arruecos</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 de enero de 2006</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NAFTA (Canadá y México)</w:t>
            </w:r>
          </w:p>
        </w:tc>
        <w:tc>
          <w:tcPr>
            <w:tcW w:w="0" w:type="auto"/>
            <w:shd w:val="clear" w:color="auto" w:fill="auto"/>
          </w:tcPr>
          <w:p w:rsidR="005A5E7D" w:rsidRPr="006C2E2C" w:rsidRDefault="005A5E7D" w:rsidP="005A5E7D">
            <w:pPr>
              <w:spacing w:line="240" w:lineRule="auto"/>
              <w:ind w:left="727" w:firstLine="34"/>
              <w:rPr>
                <w:rFonts w:ascii="Arial Narrow" w:hAnsi="Arial Narrow"/>
                <w:sz w:val="20"/>
                <w:lang w:val="es-ES_tradnl"/>
              </w:rPr>
            </w:pPr>
            <w:r w:rsidRPr="006C2E2C">
              <w:rPr>
                <w:rFonts w:ascii="Arial Narrow" w:hAnsi="Arial Narrow"/>
                <w:sz w:val="20"/>
                <w:szCs w:val="20"/>
                <w:lang w:val="es-ES_tradnl"/>
              </w:rPr>
              <w:t>1 de enero de 1994 (Las últimas barreras a comercio fueron eliminadas el 1 de enero de 2008)</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EEUU-Omán</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 de enero de 2009</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EEUU-Panamá</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21 de octubre de 2011</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EUU-Perú</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 de febrero de 2009</w:t>
            </w:r>
          </w:p>
        </w:tc>
      </w:tr>
      <w:tr w:rsidR="005A5E7D" w:rsidRPr="006C2E2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TLC EEUU-Singapur</w:t>
            </w:r>
          </w:p>
        </w:tc>
        <w:tc>
          <w:tcPr>
            <w:tcW w:w="0" w:type="auto"/>
            <w:shd w:val="clear" w:color="auto" w:fill="auto"/>
          </w:tcPr>
          <w:p w:rsidR="005A5E7D" w:rsidRPr="006C2E2C" w:rsidRDefault="005A5E7D" w:rsidP="005A5E7D">
            <w:pPr>
              <w:spacing w:line="240" w:lineRule="auto"/>
              <w:rPr>
                <w:rFonts w:ascii="Arial Narrow" w:hAnsi="Arial Narrow"/>
                <w:sz w:val="20"/>
                <w:lang w:val="es-ES_tradnl"/>
              </w:rPr>
            </w:pPr>
            <w:r w:rsidRPr="006C2E2C">
              <w:rPr>
                <w:rFonts w:ascii="Arial Narrow" w:hAnsi="Arial Narrow"/>
                <w:sz w:val="20"/>
                <w:szCs w:val="20"/>
                <w:lang w:val="es-ES_tradnl"/>
              </w:rPr>
              <w:t>1 de enero de 2004</w:t>
            </w:r>
          </w:p>
        </w:tc>
      </w:tr>
    </w:tbl>
    <w:p w:rsidR="005A5E7D" w:rsidRPr="00D2205B" w:rsidRDefault="005A5E7D" w:rsidP="005A5E7D">
      <w:pPr>
        <w:rPr>
          <w:lang w:val="es-ES_tradnl"/>
        </w:rPr>
      </w:pPr>
    </w:p>
    <w:p w:rsidR="005A5E7D" w:rsidRDefault="005A5E7D" w:rsidP="005A5E7D">
      <w:r>
        <w:t>Para entender las implicaciones para Puerto Rico de estar bajo el mercado común de Estados Unidos, se debe indagar como estos tratados están afectando el comercio exterior de la Isla. Es típico escuchar que estos tratados no responden a las prioridades de desarrollo económico de la Isla y no necesariamente fomentan la internacionalización de las empresas en Puerto Rico</w:t>
      </w:r>
      <w:r>
        <w:rPr>
          <w:noProof/>
        </w:rPr>
        <w:t xml:space="preserve"> (Schmidt Nieto, 2013)</w:t>
      </w:r>
      <w:r>
        <w:t>. Para evaluar dicha aseveración, es necesario evaluar el comportamiento del comercio de Puerto Rico con dichos países. Excepto el TCL con Israel, los TLC vigentes se pusieron en vigor o expandieron (el caso del NAFTA) entre 2004 y 2013. En aras de la consistencia, se midieron los cambios en el comercio de Puerto Rico con cada uno de estos veinte países para el período del 2003 al 2013. En 2013, estos países recibían el 23% de las exportaciones de Estados Unidos, pero solo el 16% de las exportaciones de Puerto Rico al resto del mundo y el 6% de las exportaciones totales de Puerto Rico.</w:t>
      </w:r>
      <w:r>
        <w:rPr>
          <w:rStyle w:val="FootnoteReference"/>
        </w:rPr>
        <w:footnoteReference w:id="50"/>
      </w:r>
      <w:r>
        <w:t xml:space="preserve"> </w:t>
      </w:r>
    </w:p>
    <w:p w:rsidR="005A5E7D" w:rsidRDefault="005A5E7D" w:rsidP="005A5E7D">
      <w:r>
        <w:t>Entre el 2003 y el 2013, el valor nominal de las exportaciones de Estados Unidos a los veinte países con los que mantiene TLC aumentó un 106%, mientras que las exportaciones de Puerto Rico a dichos países solo aumentaron un 4%. Sin embargo, durante el mismo período, las exportaciones de Puerto Rico a los países que no tienen TLC con Estados Unidos aumentaron un 89%. Esto es indicativo de que los tratados de libre comercio no han sido un motor importante para la promoción de las exportaciones de Puerto Rico.</w:t>
      </w:r>
    </w:p>
    <w:p w:rsidR="005A5E7D" w:rsidRDefault="005A5E7D" w:rsidP="005A5E7D">
      <w:r>
        <w:t xml:space="preserve">La </w:t>
      </w:r>
      <w:r>
        <w:rPr>
          <w:b/>
        </w:rPr>
        <w:t>Gráfica 3</w:t>
      </w:r>
      <w:r>
        <w:t xml:space="preserve"> compara el crecimiento porcentual de las exportaciones de Puerto Rico a estos países durante los últimos diez años, con el porcentaje correspondiente para las exportaciones de Estados Unidos.</w:t>
      </w:r>
      <w:r>
        <w:rPr>
          <w:rStyle w:val="FootnoteReference"/>
        </w:rPr>
        <w:footnoteReference w:id="51"/>
      </w:r>
      <w:r>
        <w:t xml:space="preserve"> Durante ese período, el valor nominal de las exportaciones de Estados Unidos a cada uno de los veinte países ha aumentado en mayor o menor grado, mientras el valor nominal de las exportaciones de Puerto Rico solo ha aumentado para la mitad de ellos. </w:t>
      </w:r>
    </w:p>
    <w:p w:rsidR="005A5E7D" w:rsidRDefault="005A5E7D" w:rsidP="005A5E7D">
      <w:pPr>
        <w:spacing w:line="240" w:lineRule="auto"/>
      </w:pPr>
    </w:p>
    <w:p w:rsidR="005A5E7D" w:rsidRPr="00BC71D8" w:rsidRDefault="0095547C" w:rsidP="005A5E7D">
      <w:pPr>
        <w:spacing w:after="120"/>
        <w:jc w:val="center"/>
      </w:pPr>
      <w:r>
        <w:rPr>
          <w:noProof/>
          <w:lang w:val="en-US"/>
        </w:rPr>
        <w:drawing>
          <wp:inline distT="0" distB="0" distL="0" distR="0">
            <wp:extent cx="5464175" cy="4702175"/>
            <wp:effectExtent l="0" t="0" r="22225" b="22225"/>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015EE" w:rsidRDefault="00B015EE" w:rsidP="005A5E7D">
      <w:r>
        <w:t>Debido a la composición de las exportaciones de Puerto Rico y su concentración en el sector manufacturero de empresas extranjeras, un aumento en la cantidad de exportaciones no necesariamente implica una mayor participación de las empresas puertorriqueñas en el mercado internacional. Desafortunadamente, tampoco contamos con una base de datos que desglose las exportaciones por tipo de empresa, pero sí tenemos el desglose de las exportaciones a cada país por sector industrial, lo cual nos permite calc</w:t>
      </w:r>
      <w:r w:rsidR="00815B1D">
        <w:t>ular su nivel de concentración.</w:t>
      </w:r>
    </w:p>
    <w:p w:rsidR="005A5E7D" w:rsidRDefault="005A5E7D" w:rsidP="005A5E7D">
      <w:r>
        <w:t xml:space="preserve">La </w:t>
      </w:r>
      <w:r w:rsidRPr="00276E03">
        <w:rPr>
          <w:b/>
        </w:rPr>
        <w:t xml:space="preserve">Tabla </w:t>
      </w:r>
      <w:r>
        <w:rPr>
          <w:b/>
        </w:rPr>
        <w:t>3</w:t>
      </w:r>
      <w:r>
        <w:t xml:space="preserve"> presenta las exportaciones de Puerto Rico a cada uno de estos países correspondientes al 2013, así como el nivel de concentración de las exportaciones medido por el IH por sector industrial y el producto principal de exportación al país. Como era de esperarse, dada la composición general de las exportaciones de Puerto Rico, la industria de productos químicos domina las exportaciones hacia catorce de los veinte países en la lista. </w:t>
      </w:r>
    </w:p>
    <w:p w:rsidR="005A5E7D" w:rsidRDefault="005A5E7D" w:rsidP="005A5E7D">
      <w:r>
        <w:t>Un acuerdo beneficioso para fomentar la internacionalización de las empresas puertorriqueñas debe aumentar las exportaciones y su diversidad, por lo que conlleva aumentar las exportaciones a países que demandan mayor multiplicidad de bienes. De acuerdo con el IH, el país que recibe la mayor diversidad de exportaciones desde Puerto Rico es la República Dominicana. Este país es el tercer mercado más importante para los productos de Puerto Rico, luego de Estados Unidos y Canadá. Contrario a lo deseable, las exportaciones a la República Dominicana se redujeron un 17%, a pesar de haberse puesto en efecto el CAFTA en el 2007. Costa Rica, Perú, Omán y Chile se destacan entre los diez países que tienen TLC con Estados Unidos, y hacia los cuales Puerto Rico aumentó sus exportaciones durante el período,</w:t>
      </w:r>
      <w:r w:rsidRPr="004A4581">
        <w:t xml:space="preserve"> </w:t>
      </w:r>
      <w:r>
        <w:t>por tener IH bastante bajos. Por otro lado, Panamá y México resaltan por sus altos niveles de concentración en las exportaciones.</w:t>
      </w:r>
    </w:p>
    <w:p w:rsidR="005A5E7D" w:rsidRDefault="005A5E7D" w:rsidP="005A5E7D">
      <w:r>
        <w:t>En general, podemos decir que los tratados comerciales con los que actualmente Estados Unidos mantiene relaciones no han devengado mayores beneficios para los exportadores de Puerto Rico. Las exportaciones a la República Dominicana han disminuido, mientras los aumentos en las exportaciones se concentran mayormente en productos químicos. No obstante, cabe señalar la posibilidad de expandir el comercio con países como Perú, Costa Rica y Chile, que demandan mayor diversidad de productos. Actualmente, las exportaciones de Puerto Rico a estos países comprenden una ínfima parte de las exportaciones de Puerto Rico al resto del mundo. No obstante, la posibilidad de desarrollar políticas públicas y aumentar la presencia de Puerto Rico en los organismos regionales de América Latina y el Caribe, con el objetivo de fomentar las exportaciones de empresas puertorriqueñas, debe ser prioridad en el corto plazo.</w:t>
      </w:r>
    </w:p>
    <w:p w:rsidR="00815B1D" w:rsidRDefault="00815B1D" w:rsidP="00815B1D">
      <w:r>
        <w:t>El resultado es distinto con relación a las importaciones. Para medir los cambios en importaciones, nos basamos en los datos provistos por la Junta de Planificación, disponibles del 2006 al 2013. Durante dicho período, el valor de las importaciones totales de Puerto Rico se redujo un 8%. Sin embargo, los patrones divergen al diferenciar entre las importaciones provenientes de Estados Unidos, de los países con TLC con ese país y los países sin TLC. Mientras las importaciones provenientes de Estados Unidos se redujeron un 14.5% y las importaciones de países sin TLC con ese país disminuyeron un 17%, las importaciones de países con TLC se duplicaron. Esto nos lleva a concluir que los TLC que mantiene Estados Unidos actualmente no han contribuido a aumentar significativamente las exportaciones de Puerto Rico, pero sí han abierto la puerta a nuevas importaciones.</w:t>
      </w:r>
    </w:p>
    <w:p w:rsidR="005A5E7D" w:rsidRPr="004A4581" w:rsidRDefault="005A5E7D" w:rsidP="005A5E7D">
      <w:pPr>
        <w:sectPr w:rsidR="005A5E7D" w:rsidRPr="004A4581">
          <w:headerReference w:type="default" r:id="rId143"/>
          <w:pgSz w:w="12240" w:h="15840"/>
          <w:pgMar w:top="1440" w:right="1440" w:bottom="1440" w:left="1440" w:gutter="0"/>
          <w:titlePg/>
          <w:docGrid w:linePitch="326"/>
        </w:sectPr>
      </w:pPr>
    </w:p>
    <w:p w:rsidR="005A5E7D" w:rsidRDefault="005A5E7D" w:rsidP="005A5E7D"/>
    <w:tbl>
      <w:tblPr>
        <w:tblW w:w="13248" w:type="dxa"/>
        <w:tblBorders>
          <w:top w:val="single" w:sz="12" w:space="0" w:color="008000"/>
          <w:bottom w:val="single" w:sz="12" w:space="0" w:color="008000"/>
        </w:tblBorders>
        <w:tblLook w:val="04A0"/>
      </w:tblPr>
      <w:tblGrid>
        <w:gridCol w:w="1459"/>
        <w:gridCol w:w="2206"/>
        <w:gridCol w:w="2494"/>
        <w:gridCol w:w="2608"/>
        <w:gridCol w:w="2618"/>
        <w:gridCol w:w="1863"/>
      </w:tblGrid>
      <w:tr w:rsidR="005A5E7D" w:rsidRPr="006C2E2C">
        <w:trPr>
          <w:trHeight w:val="684"/>
        </w:trPr>
        <w:tc>
          <w:tcPr>
            <w:tcW w:w="13248" w:type="dxa"/>
            <w:gridSpan w:val="6"/>
            <w:tcBorders>
              <w:bottom w:val="single" w:sz="6" w:space="0" w:color="008000"/>
            </w:tcBorders>
            <w:shd w:val="clear" w:color="auto" w:fill="auto"/>
          </w:tcPr>
          <w:p w:rsidR="005A5E7D" w:rsidRPr="00BB7F0C" w:rsidRDefault="005A5E7D" w:rsidP="005A5E7D">
            <w:pPr>
              <w:suppressAutoHyphens/>
              <w:spacing w:line="240" w:lineRule="auto"/>
              <w:ind w:firstLine="0"/>
              <w:jc w:val="center"/>
              <w:rPr>
                <w:rFonts w:ascii="Arial Narrow" w:eastAsia="Times New Roman" w:hAnsi="Arial Narrow"/>
                <w:b/>
                <w:color w:val="000000"/>
                <w:sz w:val="22"/>
                <w:szCs w:val="20"/>
              </w:rPr>
            </w:pPr>
            <w:r w:rsidRPr="00BB7F0C">
              <w:rPr>
                <w:rFonts w:ascii="Arial Narrow" w:eastAsia="Times New Roman" w:hAnsi="Arial Narrow"/>
                <w:b/>
                <w:color w:val="000000"/>
                <w:sz w:val="22"/>
                <w:szCs w:val="20"/>
              </w:rPr>
              <w:t>Tabla 3</w:t>
            </w:r>
            <w:r w:rsidRPr="00BB7F0C">
              <w:rPr>
                <w:rFonts w:ascii="Arial Narrow" w:eastAsia="Times New Roman" w:hAnsi="Arial Narrow"/>
                <w:b/>
                <w:color w:val="000000"/>
                <w:sz w:val="22"/>
                <w:szCs w:val="20"/>
              </w:rPr>
              <w:br/>
              <w:t>Exportaciones de Puerto Rico a Países incluidos en</w:t>
            </w:r>
            <w:r>
              <w:rPr>
                <w:rFonts w:ascii="Arial Narrow" w:eastAsia="Times New Roman" w:hAnsi="Arial Narrow"/>
                <w:b/>
                <w:color w:val="000000"/>
                <w:sz w:val="22"/>
                <w:szCs w:val="20"/>
              </w:rPr>
              <w:t xml:space="preserve"> el</w:t>
            </w:r>
            <w:r w:rsidRPr="00BB7F0C">
              <w:rPr>
                <w:rFonts w:ascii="Arial Narrow" w:eastAsia="Times New Roman" w:hAnsi="Arial Narrow"/>
                <w:b/>
                <w:color w:val="000000"/>
                <w:sz w:val="22"/>
                <w:szCs w:val="20"/>
              </w:rPr>
              <w:t xml:space="preserve"> TLC con E</w:t>
            </w:r>
            <w:r>
              <w:rPr>
                <w:rFonts w:ascii="Arial Narrow" w:eastAsia="Times New Roman" w:hAnsi="Arial Narrow"/>
                <w:b/>
                <w:color w:val="000000"/>
                <w:sz w:val="22"/>
                <w:szCs w:val="20"/>
              </w:rPr>
              <w:t xml:space="preserve">stados </w:t>
            </w:r>
            <w:r w:rsidRPr="00BB7F0C">
              <w:rPr>
                <w:rFonts w:ascii="Arial Narrow" w:eastAsia="Times New Roman" w:hAnsi="Arial Narrow"/>
                <w:b/>
                <w:color w:val="000000"/>
                <w:sz w:val="22"/>
                <w:szCs w:val="20"/>
              </w:rPr>
              <w:t>U</w:t>
            </w:r>
            <w:r>
              <w:rPr>
                <w:rFonts w:ascii="Arial Narrow" w:eastAsia="Times New Roman" w:hAnsi="Arial Narrow"/>
                <w:b/>
                <w:color w:val="000000"/>
                <w:sz w:val="22"/>
                <w:szCs w:val="20"/>
              </w:rPr>
              <w:t>nidos</w:t>
            </w:r>
          </w:p>
        </w:tc>
      </w:tr>
      <w:tr w:rsidR="005A5E7D" w:rsidRPr="006C2E2C">
        <w:trPr>
          <w:trHeight w:val="975"/>
        </w:trPr>
        <w:tc>
          <w:tcPr>
            <w:tcW w:w="0" w:type="auto"/>
            <w:shd w:val="clear" w:color="auto" w:fill="auto"/>
            <w:noWrap/>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País</w:t>
            </w:r>
          </w:p>
        </w:tc>
        <w:tc>
          <w:tcPr>
            <w:tcW w:w="0" w:type="auto"/>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Exportaciones de Puerto Rico al País</w:t>
            </w:r>
            <w:r w:rsidRPr="006C2E2C">
              <w:rPr>
                <w:rFonts w:ascii="Arial Narrow" w:eastAsia="Times New Roman" w:hAnsi="Arial Narrow"/>
                <w:b/>
                <w:color w:val="000000"/>
                <w:sz w:val="20"/>
                <w:szCs w:val="20"/>
              </w:rPr>
              <w:br/>
              <w:t xml:space="preserve"> 2013</w:t>
            </w:r>
          </w:p>
        </w:tc>
        <w:tc>
          <w:tcPr>
            <w:tcW w:w="0" w:type="auto"/>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Cambio % en Exportaciones del 2003 al 2013</w:t>
            </w:r>
          </w:p>
        </w:tc>
        <w:tc>
          <w:tcPr>
            <w:tcW w:w="2608" w:type="dxa"/>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Pr>
                <w:rFonts w:ascii="Arial Narrow" w:eastAsia="Times New Roman" w:hAnsi="Arial Narrow"/>
                <w:b/>
                <w:color w:val="000000"/>
                <w:sz w:val="20"/>
                <w:szCs w:val="20"/>
              </w:rPr>
              <w:t>Porcentaje</w:t>
            </w:r>
            <w:r w:rsidRPr="006C2E2C">
              <w:rPr>
                <w:rFonts w:ascii="Arial Narrow" w:eastAsia="Times New Roman" w:hAnsi="Arial Narrow"/>
                <w:b/>
                <w:color w:val="000000"/>
                <w:sz w:val="20"/>
                <w:szCs w:val="20"/>
              </w:rPr>
              <w:t xml:space="preserve"> del Total de Exportaciones de Puerto Rico al Resto del Mundo</w:t>
            </w:r>
            <w:r w:rsidRPr="006C2E2C">
              <w:rPr>
                <w:rFonts w:ascii="Arial Narrow" w:eastAsia="Times New Roman" w:hAnsi="Arial Narrow"/>
                <w:b/>
                <w:color w:val="000000"/>
                <w:sz w:val="20"/>
                <w:szCs w:val="20"/>
              </w:rPr>
              <w:br/>
              <w:t>2013</w:t>
            </w:r>
          </w:p>
        </w:tc>
        <w:tc>
          <w:tcPr>
            <w:tcW w:w="0" w:type="auto"/>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Índice de Concentración de Exportaciones 2013</w:t>
            </w:r>
          </w:p>
        </w:tc>
        <w:tc>
          <w:tcPr>
            <w:tcW w:w="0" w:type="auto"/>
            <w:shd w:val="clear" w:color="auto" w:fill="auto"/>
            <w:noWrap/>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Industria Principal</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2608" w:type="dxa"/>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Canadá</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994,600,000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(19)</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5.0%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6,552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República Dominicana</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600,500,000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(17)</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3.0%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1,588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Manufactura Equipo Eléctrico</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México</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460,200,000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110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2.3%</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7,832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Singapur</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372,100,000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(30)</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1.9%</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4,074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Australia</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311,300,000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236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1.6%</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6,583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Panamá</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196,100,000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70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9,169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Corea del Sur</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127,200,000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118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0.6%</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4,306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Colombia</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51,734,874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87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0.3%</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6,601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Chile</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28,482,416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404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0.1%</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3,786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Costa Rica</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24,122,022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36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0.1%</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2,218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highlight w:val="lightGray"/>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Guatemala</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13,249,349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165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0.1%</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4,554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Manufac</w:t>
            </w:r>
            <w:r>
              <w:rPr>
                <w:rFonts w:ascii="Arial Narrow" w:eastAsia="Times New Roman" w:hAnsi="Arial Narrow"/>
                <w:color w:val="000000"/>
                <w:sz w:val="20"/>
                <w:szCs w:val="20"/>
              </w:rPr>
              <w:t>.</w:t>
            </w:r>
            <w:r w:rsidRPr="006C2E2C">
              <w:rPr>
                <w:rFonts w:ascii="Arial Narrow" w:eastAsia="Times New Roman" w:hAnsi="Arial Narrow"/>
                <w:color w:val="000000"/>
                <w:sz w:val="20"/>
                <w:szCs w:val="20"/>
              </w:rPr>
              <w:t xml:space="preserve"> Alimentos</w:t>
            </w:r>
          </w:p>
        </w:tc>
      </w:tr>
      <w:tr w:rsidR="005A5E7D" w:rsidRPr="006C2E2C">
        <w:trPr>
          <w:trHeight w:val="327"/>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Perú</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11,847,669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533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0.1%</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2,404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highlight w:val="lightGray"/>
              </w:rPr>
              <w:t>Manufac</w:t>
            </w:r>
            <w:r>
              <w:rPr>
                <w:rFonts w:ascii="Arial Narrow" w:eastAsia="Times New Roman" w:hAnsi="Arial Narrow"/>
                <w:color w:val="000000"/>
                <w:sz w:val="20"/>
                <w:szCs w:val="20"/>
                <w:highlight w:val="lightGray"/>
              </w:rPr>
              <w:t>.</w:t>
            </w:r>
            <w:r w:rsidRPr="006C2E2C">
              <w:rPr>
                <w:rFonts w:ascii="Arial Narrow" w:eastAsia="Times New Roman" w:hAnsi="Arial Narrow"/>
                <w:color w:val="000000"/>
                <w:sz w:val="20"/>
                <w:szCs w:val="20"/>
                <w:highlight w:val="lightGray"/>
              </w:rPr>
              <w:t xml:space="preserve"> Alimentos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Israel</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11,841,483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(84)</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0.1%</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8,278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Honduras</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9,150,907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(8)</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6,632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Manufactura de Ropa</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El Salvador</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2,961,229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(44)</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2,334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de Metal Fabricado</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Nicaragua</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950,756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(2)</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5,375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Jordán</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665,038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(33)</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4,883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Mercancía Usada o de 2da Mano</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M</w:t>
            </w:r>
            <w:r>
              <w:rPr>
                <w:rFonts w:ascii="Arial Narrow" w:eastAsia="Times New Roman" w:hAnsi="Arial Narrow"/>
                <w:color w:val="000000"/>
                <w:sz w:val="20"/>
                <w:szCs w:val="20"/>
              </w:rPr>
              <w:t>arruecos</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101,811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(82)</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5,019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Omán</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93,110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2,241 </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0.0%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highlight w:val="lightGray"/>
              </w:rPr>
            </w:pPr>
            <w:r w:rsidRPr="006C2E2C">
              <w:rPr>
                <w:rFonts w:ascii="Arial Narrow" w:eastAsia="Times New Roman" w:hAnsi="Arial Narrow"/>
                <w:color w:val="000000"/>
                <w:sz w:val="20"/>
                <w:szCs w:val="20"/>
                <w:highlight w:val="lightGray"/>
              </w:rPr>
              <w:t xml:space="preserve">              2,492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highlight w:val="lightGray"/>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Pr>
                <w:rFonts w:ascii="Arial Narrow" w:eastAsia="Times New Roman" w:hAnsi="Arial Narrow"/>
                <w:color w:val="000000"/>
                <w:sz w:val="20"/>
                <w:szCs w:val="20"/>
              </w:rPr>
              <w:t>Ba</w:t>
            </w:r>
            <w:r w:rsidRPr="006C2E2C">
              <w:rPr>
                <w:rFonts w:ascii="Arial Narrow" w:eastAsia="Times New Roman" w:hAnsi="Arial Narrow"/>
                <w:color w:val="000000"/>
                <w:sz w:val="20"/>
                <w:szCs w:val="20"/>
              </w:rPr>
              <w:t>réin</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14,618 </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(86)</w:t>
            </w: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0.0%</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10,000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Productos Químicos</w:t>
            </w:r>
          </w:p>
        </w:tc>
      </w:tr>
      <w:tr w:rsidR="005A5E7D" w:rsidRPr="006C2E2C">
        <w:trPr>
          <w:trHeight w:val="288"/>
        </w:trPr>
        <w:tc>
          <w:tcPr>
            <w:tcW w:w="0" w:type="auto"/>
            <w:shd w:val="clear" w:color="auto" w:fill="auto"/>
            <w:noWrap/>
          </w:tcPr>
          <w:p w:rsidR="005A5E7D" w:rsidRPr="006C2E2C" w:rsidRDefault="005A5E7D" w:rsidP="005A5E7D">
            <w:pPr>
              <w:spacing w:line="240" w:lineRule="auto"/>
              <w:ind w:firstLine="0"/>
              <w:jc w:val="left"/>
              <w:rPr>
                <w:rFonts w:ascii="Arial Narrow" w:hAnsi="Arial Narrow"/>
                <w:b/>
                <w:bCs/>
                <w:color w:val="000000"/>
                <w:sz w:val="20"/>
              </w:rPr>
            </w:pPr>
            <w:r w:rsidRPr="006C2E2C">
              <w:rPr>
                <w:rFonts w:ascii="Arial Narrow" w:eastAsia="Times New Roman" w:hAnsi="Arial Narrow"/>
                <w:b/>
                <w:bCs/>
                <w:color w:val="000000"/>
                <w:sz w:val="20"/>
                <w:szCs w:val="20"/>
              </w:rPr>
              <w:t>Total</w:t>
            </w:r>
          </w:p>
        </w:tc>
        <w:tc>
          <w:tcPr>
            <w:tcW w:w="0" w:type="auto"/>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rPr>
            </w:pPr>
            <w:r w:rsidRPr="006C2E2C">
              <w:rPr>
                <w:rFonts w:ascii="Arial Narrow" w:eastAsia="Times New Roman" w:hAnsi="Arial Narrow"/>
                <w:b/>
                <w:bCs/>
                <w:color w:val="000000"/>
                <w:sz w:val="20"/>
                <w:szCs w:val="20"/>
              </w:rPr>
              <w:t xml:space="preserve">      3,217,215,282 </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b/>
                <w:bCs/>
                <w:color w:val="000000"/>
                <w:sz w:val="20"/>
              </w:rPr>
            </w:pPr>
          </w:p>
        </w:tc>
        <w:tc>
          <w:tcPr>
            <w:tcW w:w="2608" w:type="dxa"/>
            <w:shd w:val="clear" w:color="auto" w:fill="auto"/>
            <w:noWrap/>
          </w:tcPr>
          <w:p w:rsidR="005A5E7D" w:rsidRPr="006C2E2C" w:rsidRDefault="005A5E7D" w:rsidP="005A5E7D">
            <w:pPr>
              <w:spacing w:line="240" w:lineRule="auto"/>
              <w:ind w:firstLine="0"/>
              <w:jc w:val="right"/>
              <w:rPr>
                <w:rFonts w:ascii="Arial Narrow" w:hAnsi="Arial Narrow"/>
                <w:b/>
                <w:bCs/>
                <w:color w:val="000000"/>
                <w:sz w:val="20"/>
              </w:rPr>
            </w:pPr>
            <w:r w:rsidRPr="006C2E2C">
              <w:rPr>
                <w:rFonts w:ascii="Arial Narrow" w:eastAsia="Times New Roman" w:hAnsi="Arial Narrow"/>
                <w:b/>
                <w:bCs/>
                <w:color w:val="000000"/>
                <w:sz w:val="20"/>
                <w:szCs w:val="20"/>
              </w:rPr>
              <w:t>16.15%</w:t>
            </w: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r>
    </w:tbl>
    <w:p w:rsidR="005A5E7D" w:rsidRDefault="005A5E7D" w:rsidP="005A5E7D">
      <w:pPr>
        <w:pStyle w:val="Heading1"/>
        <w:sectPr w:rsidR="005A5E7D">
          <w:headerReference w:type="first" r:id="rId144"/>
          <w:pgSz w:w="15840" w:h="12240" w:orient="landscape"/>
          <w:pgMar w:top="1440" w:right="1440" w:bottom="1440" w:left="1440" w:gutter="0"/>
          <w:docGrid w:linePitch="326"/>
        </w:sectPr>
      </w:pPr>
    </w:p>
    <w:p w:rsidR="005A5E7D" w:rsidRPr="00BB7F0C" w:rsidRDefault="005A5E7D" w:rsidP="005A5E7D">
      <w:pPr>
        <w:spacing w:line="240" w:lineRule="auto"/>
        <w:rPr>
          <w:sz w:val="16"/>
        </w:rPr>
      </w:pPr>
    </w:p>
    <w:p w:rsidR="005A5E7D" w:rsidRPr="000353D3" w:rsidRDefault="005A5E7D" w:rsidP="005A5E7D">
      <w:pPr>
        <w:pStyle w:val="Heading2"/>
        <w:ind w:left="426" w:hanging="426"/>
      </w:pPr>
      <w:bookmarkStart w:id="70" w:name="_Toc384769763"/>
      <w:r w:rsidRPr="000353D3">
        <w:t xml:space="preserve">Internacionalización y </w:t>
      </w:r>
      <w:r>
        <w:t>d</w:t>
      </w:r>
      <w:r w:rsidRPr="000353D3">
        <w:t>iversificación</w:t>
      </w:r>
      <w:bookmarkEnd w:id="70"/>
      <w:r w:rsidRPr="000353D3">
        <w:t xml:space="preserve"> </w:t>
      </w:r>
    </w:p>
    <w:p w:rsidR="005A5E7D" w:rsidRDefault="005A5E7D" w:rsidP="005A5E7D">
      <w:pPr>
        <w:spacing w:line="360" w:lineRule="auto"/>
        <w:rPr>
          <w:lang w:val="es-ES_tradnl"/>
        </w:rPr>
      </w:pPr>
    </w:p>
    <w:p w:rsidR="005A5E7D" w:rsidRDefault="005A5E7D" w:rsidP="005A5E7D">
      <w:pPr>
        <w:rPr>
          <w:lang w:val="es-ES_tradnl"/>
        </w:rPr>
      </w:pPr>
      <w:r>
        <w:rPr>
          <w:lang w:val="es-ES_tradnl"/>
        </w:rPr>
        <w:t>Desde hace varios años, tanto el Departamento de Estado de Puerto Rico como el de Turismo se han embarcado activamente en el proceso de internacionalización de las empresas puertorriqueñas. De igual modo, la Compañía de Comercio y Exportación (CCE) tiene una serie de programas con el mismo fin. Existen varios elementos que se interrelacionan a través de este proceso, entre otros: el establecimiento de redes o conexiones con otros países, la diversificación de los productos que se pueden exportar y el impulso al desarrollo de las empresas puertorriqueñas. De la misma forma, el Gobierno tiene varias motivaciones para impulsar este proceso.</w:t>
      </w:r>
    </w:p>
    <w:p w:rsidR="005A5E7D" w:rsidRDefault="005A5E7D" w:rsidP="005A5E7D">
      <w:pPr>
        <w:rPr>
          <w:lang w:val="es-ES_tradnl"/>
        </w:rPr>
      </w:pPr>
      <w:r>
        <w:rPr>
          <w:lang w:val="es-ES_tradnl"/>
        </w:rPr>
        <w:t xml:space="preserve">En primer lugar, la realidad económica actual de la Isla ha hecho cada vez más evidente las limitaciones del mercado interno. En segundo lugar, la política exterior de Puerto Rico interesa mejorar nuestra balanza comercial. Además, </w:t>
      </w:r>
      <w:r w:rsidRPr="00874BA0">
        <w:rPr>
          <w:lang w:val="es-ES_tradnl"/>
        </w:rPr>
        <w:t xml:space="preserve">también forma parte de las motivaciones del </w:t>
      </w:r>
      <w:r>
        <w:rPr>
          <w:lang w:val="es-ES_tradnl"/>
        </w:rPr>
        <w:t xml:space="preserve">Gobierno el hecho de que históricamente no se ha </w:t>
      </w:r>
      <w:r w:rsidRPr="00874BA0">
        <w:rPr>
          <w:lang w:val="es-ES_tradnl"/>
        </w:rPr>
        <w:t>desarrollado una política clara y coherente de internacionalización que aumente la presencia formal de Puerto Rico en los mercados internacionales.</w:t>
      </w:r>
      <w:r>
        <w:rPr>
          <w:lang w:val="es-ES_tradnl"/>
        </w:rPr>
        <w:t xml:space="preserve"> </w:t>
      </w:r>
      <w:r w:rsidRPr="00874BA0">
        <w:rPr>
          <w:lang w:val="es-ES_tradnl"/>
        </w:rPr>
        <w:t>Evidencia de esto es precisamente la carencia de participación</w:t>
      </w:r>
      <w:r>
        <w:rPr>
          <w:lang w:val="es-ES_tradnl"/>
        </w:rPr>
        <w:t xml:space="preserve"> del país en organizaciones internacionales. A manera de ejemplo, en el </w:t>
      </w:r>
      <w:r w:rsidRPr="00615E38">
        <w:rPr>
          <w:b/>
          <w:lang w:val="es-ES_tradnl"/>
        </w:rPr>
        <w:t xml:space="preserve">Apéndice </w:t>
      </w:r>
      <w:r>
        <w:rPr>
          <w:b/>
          <w:lang w:val="es-ES_tradnl"/>
        </w:rPr>
        <w:t>4.B</w:t>
      </w:r>
      <w:r>
        <w:rPr>
          <w:lang w:val="es-ES_tradnl"/>
        </w:rPr>
        <w:t xml:space="preserve"> se compara la participación de la República Dominicana en múltiples organizaciones de comercio internacional versus la escasa participación de Puerto Rico. </w:t>
      </w:r>
    </w:p>
    <w:p w:rsidR="00CC331E" w:rsidRDefault="00CC331E" w:rsidP="005A5E7D">
      <w:pPr>
        <w:rPr>
          <w:lang w:val="es-ES_tradnl"/>
        </w:rPr>
      </w:pPr>
    </w:p>
    <w:p w:rsidR="005A5E7D" w:rsidRPr="00F47889" w:rsidRDefault="005A5E7D" w:rsidP="00815B1D">
      <w:pPr>
        <w:pStyle w:val="Heading3"/>
        <w:rPr>
          <w:lang w:val="es-AR"/>
        </w:rPr>
      </w:pPr>
      <w:bookmarkStart w:id="71" w:name="_Toc384769764"/>
      <w:r>
        <w:rPr>
          <w:lang w:val="es-AR"/>
        </w:rPr>
        <w:t>E.1</w:t>
      </w:r>
      <w:r w:rsidRPr="00F47889">
        <w:rPr>
          <w:lang w:val="es-AR"/>
        </w:rPr>
        <w:t xml:space="preserve">. </w:t>
      </w:r>
      <w:r>
        <w:rPr>
          <w:lang w:val="es-AR"/>
        </w:rPr>
        <w:tab/>
      </w:r>
      <w:r w:rsidRPr="00F47889">
        <w:rPr>
          <w:lang w:val="es-AR"/>
        </w:rPr>
        <w:t>Tratado</w:t>
      </w:r>
      <w:r>
        <w:rPr>
          <w:lang w:val="es-AR"/>
        </w:rPr>
        <w:t>s Comerciales en Las Américas: pertinencia y p</w:t>
      </w:r>
      <w:r w:rsidRPr="00F47889">
        <w:rPr>
          <w:lang w:val="es-AR"/>
        </w:rPr>
        <w:t>osibilidades para Puerto Rico</w:t>
      </w:r>
      <w:bookmarkEnd w:id="71"/>
    </w:p>
    <w:p w:rsidR="005A5E7D" w:rsidRPr="00526F22" w:rsidRDefault="005A5E7D" w:rsidP="005A5E7D">
      <w:pPr>
        <w:rPr>
          <w:lang w:val="es-AR"/>
        </w:rPr>
      </w:pPr>
      <w:r w:rsidRPr="00C156E2">
        <w:rPr>
          <w:lang w:val="es-AR"/>
        </w:rPr>
        <w:t>Existen varios acuerdos comerciales en el ár</w:t>
      </w:r>
      <w:r>
        <w:rPr>
          <w:lang w:val="es-AR"/>
        </w:rPr>
        <w:t>ea geográfica que constituye Amé</w:t>
      </w:r>
      <w:r w:rsidRPr="00C156E2">
        <w:rPr>
          <w:lang w:val="es-AR"/>
        </w:rPr>
        <w:t>rica del Sur, Centroamérica</w:t>
      </w:r>
      <w:r>
        <w:rPr>
          <w:lang w:val="es-AR"/>
        </w:rPr>
        <w:t xml:space="preserve">, </w:t>
      </w:r>
      <w:r w:rsidRPr="00C156E2">
        <w:rPr>
          <w:lang w:val="es-AR"/>
        </w:rPr>
        <w:t xml:space="preserve">el Caribe y Norteamérica. </w:t>
      </w:r>
      <w:r>
        <w:rPr>
          <w:lang w:val="es-AR"/>
        </w:rPr>
        <w:t>Entre los de mayor importancia, pueden destacarse</w:t>
      </w:r>
      <w:r w:rsidRPr="00C156E2">
        <w:rPr>
          <w:lang w:val="es-AR"/>
        </w:rPr>
        <w:t xml:space="preserve"> </w:t>
      </w:r>
      <w:r>
        <w:rPr>
          <w:lang w:val="es-AR"/>
        </w:rPr>
        <w:t xml:space="preserve">actualmente </w:t>
      </w:r>
      <w:r w:rsidRPr="00C156E2">
        <w:rPr>
          <w:lang w:val="es-AR"/>
        </w:rPr>
        <w:t>tratados como el CAFTA-RD (Tratado de Libre Comercio del Carib</w:t>
      </w:r>
      <w:r>
        <w:rPr>
          <w:lang w:val="es-AR"/>
        </w:rPr>
        <w:t>e - Estados Unidos - República Dominicana) y</w:t>
      </w:r>
      <w:r w:rsidRPr="00C156E2">
        <w:rPr>
          <w:lang w:val="es-AR"/>
        </w:rPr>
        <w:t xml:space="preserve"> NAFTA (</w:t>
      </w:r>
      <w:r w:rsidRPr="00F64311">
        <w:rPr>
          <w:lang w:val="es-ES_tradnl"/>
        </w:rPr>
        <w:t>Tratado de Libre Comercio de América del Norte</w:t>
      </w:r>
      <w:r w:rsidRPr="00C156E2">
        <w:rPr>
          <w:lang w:val="es-AR"/>
        </w:rPr>
        <w:t>),</w:t>
      </w:r>
      <w:r>
        <w:rPr>
          <w:lang w:val="es-AR"/>
        </w:rPr>
        <w:t xml:space="preserve"> en los cuales participa Estados Unidos, y otros como </w:t>
      </w:r>
      <w:r w:rsidRPr="00C156E2">
        <w:rPr>
          <w:lang w:val="es-AR"/>
        </w:rPr>
        <w:t>ALBA-TCP (Alianza Bolivariana para los Pueblos de America</w:t>
      </w:r>
      <w:r>
        <w:rPr>
          <w:lang w:val="es-AR"/>
        </w:rPr>
        <w:t xml:space="preserve"> </w:t>
      </w:r>
      <w:r w:rsidRPr="00C156E2">
        <w:rPr>
          <w:lang w:val="es-AR"/>
        </w:rPr>
        <w:t>- Tratado de Comercio de los Pueblos), CARICOM (La Comunidad del Caribe) y ALADI (Asociación Latinoamericana de Integraci</w:t>
      </w:r>
      <w:r>
        <w:rPr>
          <w:lang w:val="es-AR"/>
        </w:rPr>
        <w:t>ó</w:t>
      </w:r>
      <w:r w:rsidRPr="00C156E2">
        <w:rPr>
          <w:lang w:val="es-AR"/>
        </w:rPr>
        <w:t xml:space="preserve">n). </w:t>
      </w:r>
      <w:r>
        <w:rPr>
          <w:lang w:val="es-AR"/>
        </w:rPr>
        <w:t>A</w:t>
      </w:r>
      <w:r w:rsidRPr="00C156E2">
        <w:rPr>
          <w:lang w:val="es-AR"/>
        </w:rPr>
        <w:t xml:space="preserve"> </w:t>
      </w:r>
      <w:r>
        <w:rPr>
          <w:lang w:val="es-AR"/>
        </w:rPr>
        <w:t xml:space="preserve">continuación se </w:t>
      </w:r>
      <w:r w:rsidRPr="00C156E2">
        <w:rPr>
          <w:lang w:val="es-AR"/>
        </w:rPr>
        <w:t>expon</w:t>
      </w:r>
      <w:r>
        <w:rPr>
          <w:lang w:val="es-AR"/>
        </w:rPr>
        <w:t>e</w:t>
      </w:r>
      <w:r w:rsidRPr="00C156E2">
        <w:rPr>
          <w:lang w:val="es-AR"/>
        </w:rPr>
        <w:t>n sus objetivos básicos y las ventajas que podrían representar para Puerto Rico.</w:t>
      </w:r>
      <w:r>
        <w:rPr>
          <w:lang w:val="es-AR"/>
        </w:rPr>
        <w:t xml:space="preserve"> Como ya hemos mencionado, Puerto Rico participa de CAFTA y de NAFTA mediante su inclusión en el mercado común de Estados Unidos. No así en el resto de los grupos mencionados, con excepción de CARICOM donde participa como observador.</w:t>
      </w:r>
    </w:p>
    <w:p w:rsidR="005A5E7D" w:rsidRDefault="005A5E7D" w:rsidP="005A5E7D">
      <w:pPr>
        <w:rPr>
          <w:lang w:val="es-AR"/>
        </w:rPr>
      </w:pPr>
      <w:r w:rsidRPr="00F47889">
        <w:rPr>
          <w:b/>
          <w:u w:val="single"/>
          <w:lang w:val="es-AR"/>
        </w:rPr>
        <w:t>CAFTA-RD</w:t>
      </w:r>
      <w:r>
        <w:rPr>
          <w:b/>
          <w:lang w:val="es-AR"/>
        </w:rPr>
        <w:t xml:space="preserve">: </w:t>
      </w:r>
      <w:r w:rsidRPr="00C156E2">
        <w:rPr>
          <w:lang w:val="es-AR"/>
        </w:rPr>
        <w:t>El CAFTA-RD es un acuerdo de nueva generación, el cual no s</w:t>
      </w:r>
      <w:r>
        <w:rPr>
          <w:lang w:val="es-AR"/>
        </w:rPr>
        <w:t>o</w:t>
      </w:r>
      <w:r w:rsidRPr="00C156E2">
        <w:rPr>
          <w:lang w:val="es-AR"/>
        </w:rPr>
        <w:t>lo contiene compromisos en materia de acceso a mercados, sino que también abarca temas como propiedad intelectual, servicios, compras gubernamentales, competencia, aspectos laborales y ambientales, entre otros, pero con un nivel de diferenciación entre los distintos países por sus diferentes características productivas y económicas</w:t>
      </w:r>
      <w:r>
        <w:rPr>
          <w:lang w:val="es-AR"/>
        </w:rPr>
        <w:t xml:space="preserve"> </w:t>
      </w:r>
      <w:r w:rsidRPr="00C156E2">
        <w:rPr>
          <w:lang w:val="es-AR"/>
        </w:rPr>
        <w:t xml:space="preserve">(Cordero 2013). El tratado busca profundizar la integración comercial y política de </w:t>
      </w:r>
      <w:r>
        <w:rPr>
          <w:lang w:val="es-AR"/>
        </w:rPr>
        <w:t xml:space="preserve">Estados Unidos </w:t>
      </w:r>
      <w:r w:rsidRPr="00C156E2">
        <w:rPr>
          <w:lang w:val="es-AR"/>
        </w:rPr>
        <w:t xml:space="preserve">y países que incluyen: Costa Rica, Guatemala, Nicaragua, Honduras, El Salvador </w:t>
      </w:r>
      <w:r>
        <w:rPr>
          <w:lang w:val="es-AR"/>
        </w:rPr>
        <w:t>y Repú</w:t>
      </w:r>
      <w:r w:rsidRPr="00C156E2">
        <w:rPr>
          <w:lang w:val="es-AR"/>
        </w:rPr>
        <w:t>blica Do</w:t>
      </w:r>
      <w:r>
        <w:rPr>
          <w:lang w:val="es-AR"/>
        </w:rPr>
        <w:t>minicana; abriendo los mercados y</w:t>
      </w:r>
      <w:r w:rsidRPr="00C156E2">
        <w:rPr>
          <w:lang w:val="es-AR"/>
        </w:rPr>
        <w:t xml:space="preserve"> eliminado barreras arancelarias en diversos productos. Particularmente</w:t>
      </w:r>
      <w:r>
        <w:rPr>
          <w:lang w:val="es-AR"/>
        </w:rPr>
        <w:t>,</w:t>
      </w:r>
      <w:r w:rsidRPr="00C156E2">
        <w:rPr>
          <w:lang w:val="es-AR"/>
        </w:rPr>
        <w:t xml:space="preserve"> para los diversos países del Caribe representa un comercio libre de productos agrícolas (principalmente) hacia el mercado estadounidense y un comercio intrarregional. También busca </w:t>
      </w:r>
      <w:r w:rsidRPr="008B456C">
        <w:t>—</w:t>
      </w:r>
      <w:r w:rsidRPr="00C156E2">
        <w:rPr>
          <w:lang w:val="es-AR"/>
        </w:rPr>
        <w:t>a</w:t>
      </w:r>
      <w:r>
        <w:rPr>
          <w:lang w:val="es-AR"/>
        </w:rPr>
        <w:t xml:space="preserve"> </w:t>
      </w:r>
      <w:r w:rsidRPr="00C156E2">
        <w:rPr>
          <w:lang w:val="es-AR"/>
        </w:rPr>
        <w:t>través de diversas reglas jurídicas</w:t>
      </w:r>
      <w:r w:rsidRPr="008B456C">
        <w:t>—</w:t>
      </w:r>
      <w:r w:rsidRPr="00C156E2">
        <w:rPr>
          <w:lang w:val="es-AR"/>
        </w:rPr>
        <w:t xml:space="preserve"> aumentar el nivel de inversión extranjera en los países centroamericanos y una diversificación de la oferta exportable </w:t>
      </w:r>
      <w:r w:rsidRPr="00C156E2">
        <w:rPr>
          <w:color w:val="000000"/>
          <w:shd w:val="clear" w:color="auto" w:fill="FFFFFF"/>
          <w:lang w:val="es-AR"/>
        </w:rPr>
        <w:t>(García, Cruz, et al</w:t>
      </w:r>
      <w:r>
        <w:rPr>
          <w:color w:val="000000"/>
          <w:shd w:val="clear" w:color="auto" w:fill="FFFFFF"/>
          <w:lang w:val="es-AR"/>
        </w:rPr>
        <w:t>.</w:t>
      </w:r>
      <w:r w:rsidRPr="00C156E2">
        <w:rPr>
          <w:color w:val="000000"/>
          <w:shd w:val="clear" w:color="auto" w:fill="FFFFFF"/>
          <w:lang w:val="es-AR"/>
        </w:rPr>
        <w:t>)</w:t>
      </w:r>
      <w:r w:rsidRPr="00C156E2">
        <w:rPr>
          <w:lang w:val="es-AR"/>
        </w:rPr>
        <w:t>.</w:t>
      </w:r>
    </w:p>
    <w:p w:rsidR="005A5E7D" w:rsidRPr="00923FED" w:rsidRDefault="005A5E7D" w:rsidP="005A5E7D">
      <w:pPr>
        <w:rPr>
          <w:b/>
          <w:lang w:val="es-AR"/>
        </w:rPr>
      </w:pPr>
      <w:r w:rsidRPr="00923FED">
        <w:rPr>
          <w:lang w:val="es-AR"/>
        </w:rPr>
        <w:t xml:space="preserve">El tamaño de este mercado (región) es de 52 millones de habitantes y se encuentra en un marcado crecimiento; </w:t>
      </w:r>
      <w:r>
        <w:rPr>
          <w:lang w:val="es-AR"/>
        </w:rPr>
        <w:t xml:space="preserve">ha </w:t>
      </w:r>
      <w:r w:rsidRPr="00923FED">
        <w:rPr>
          <w:lang w:val="es-AR"/>
        </w:rPr>
        <w:t>incrementa</w:t>
      </w:r>
      <w:r>
        <w:rPr>
          <w:lang w:val="es-AR"/>
        </w:rPr>
        <w:t>do</w:t>
      </w:r>
      <w:r w:rsidRPr="00923FED">
        <w:rPr>
          <w:lang w:val="es-AR"/>
        </w:rPr>
        <w:t xml:space="preserve"> </w:t>
      </w:r>
      <w:r>
        <w:rPr>
          <w:lang w:val="es-AR"/>
        </w:rPr>
        <w:t>tres</w:t>
      </w:r>
      <w:r w:rsidRPr="00923FED">
        <w:rPr>
          <w:lang w:val="es-AR"/>
        </w:rPr>
        <w:t xml:space="preserve"> veces su PIB desde 1990</w:t>
      </w:r>
      <w:r>
        <w:rPr>
          <w:lang w:val="es-AR"/>
        </w:rPr>
        <w:t>,</w:t>
      </w:r>
      <w:r w:rsidRPr="00923FED">
        <w:rPr>
          <w:lang w:val="es-AR"/>
        </w:rPr>
        <w:t xml:space="preserve"> que hoy es de $181.6 </w:t>
      </w:r>
      <w:r w:rsidR="00873F5E">
        <w:rPr>
          <w:lang w:val="es-AR"/>
        </w:rPr>
        <w:t xml:space="preserve">mil </w:t>
      </w:r>
      <w:r w:rsidRPr="00923FED">
        <w:rPr>
          <w:lang w:val="es-AR"/>
        </w:rPr>
        <w:t xml:space="preserve">millones </w:t>
      </w:r>
      <w:r w:rsidRPr="00923FED">
        <w:rPr>
          <w:color w:val="000000"/>
          <w:shd w:val="clear" w:color="auto" w:fill="FFFFFF"/>
          <w:lang w:val="es-AR"/>
        </w:rPr>
        <w:t>(Cordero 2013). Sin embargo</w:t>
      </w:r>
      <w:r>
        <w:rPr>
          <w:color w:val="000000"/>
          <w:shd w:val="clear" w:color="auto" w:fill="FFFFFF"/>
          <w:lang w:val="es-AR"/>
        </w:rPr>
        <w:t>,</w:t>
      </w:r>
      <w:r w:rsidRPr="00C156E2">
        <w:rPr>
          <w:color w:val="000000"/>
          <w:shd w:val="clear" w:color="auto" w:fill="FFFFFF"/>
          <w:lang w:val="es-AR"/>
        </w:rPr>
        <w:t xml:space="preserve"> no es un mercado de alto poder adquisitivo ya que la región posee una tasa de desempleo de alrededor del 15.6% (CEPAL) y un nivel de pobreza promedio del 45% (CEPAL). </w:t>
      </w:r>
    </w:p>
    <w:p w:rsidR="005A5E7D" w:rsidRPr="00C156E2" w:rsidRDefault="005A5E7D" w:rsidP="005A5E7D">
      <w:pPr>
        <w:rPr>
          <w:color w:val="000000"/>
          <w:shd w:val="clear" w:color="auto" w:fill="FFFFFF"/>
          <w:lang w:val="es-AR"/>
        </w:rPr>
      </w:pPr>
      <w:r w:rsidRPr="00C156E2">
        <w:rPr>
          <w:color w:val="000000"/>
          <w:shd w:val="clear" w:color="auto" w:fill="FFFFFF"/>
          <w:lang w:val="es-AR"/>
        </w:rPr>
        <w:t>Desde el punto de vista exportador-im</w:t>
      </w:r>
      <w:r>
        <w:rPr>
          <w:color w:val="000000"/>
          <w:shd w:val="clear" w:color="auto" w:fill="FFFFFF"/>
          <w:lang w:val="es-AR"/>
        </w:rPr>
        <w:t xml:space="preserve">portador, esta región comercial </w:t>
      </w:r>
      <w:r w:rsidRPr="008B456C">
        <w:t>—</w:t>
      </w:r>
      <w:r w:rsidRPr="00C156E2">
        <w:rPr>
          <w:color w:val="000000"/>
          <w:shd w:val="clear" w:color="auto" w:fill="FFFFFF"/>
          <w:lang w:val="es-AR"/>
        </w:rPr>
        <w:t>exceptuando E</w:t>
      </w:r>
      <w:r>
        <w:rPr>
          <w:color w:val="000000"/>
          <w:shd w:val="clear" w:color="auto" w:fill="FFFFFF"/>
          <w:lang w:val="es-AR"/>
        </w:rPr>
        <w:t>stados Unidos</w:t>
      </w:r>
      <w:r w:rsidRPr="008B456C">
        <w:t>—</w:t>
      </w:r>
      <w:r w:rsidRPr="00C156E2">
        <w:rPr>
          <w:color w:val="000000"/>
          <w:shd w:val="clear" w:color="auto" w:fill="FFFFFF"/>
          <w:lang w:val="es-AR"/>
        </w:rPr>
        <w:t xml:space="preserve"> importa la mayor parte de bienes y servicios clasificados como bienes de </w:t>
      </w:r>
      <w:r w:rsidRPr="00C156E2">
        <w:rPr>
          <w:b/>
          <w:color w:val="000000"/>
          <w:shd w:val="clear" w:color="auto" w:fill="FFFFFF"/>
          <w:lang w:val="es-AR"/>
        </w:rPr>
        <w:t xml:space="preserve">mediana tecnología </w:t>
      </w:r>
      <w:r>
        <w:rPr>
          <w:color w:val="000000"/>
          <w:shd w:val="clear" w:color="auto" w:fill="FFFFFF"/>
          <w:lang w:val="es-AR"/>
        </w:rPr>
        <w:t>(má</w:t>
      </w:r>
      <w:r w:rsidRPr="00C156E2">
        <w:rPr>
          <w:color w:val="000000"/>
          <w:shd w:val="clear" w:color="auto" w:fill="FFFFFF"/>
          <w:lang w:val="es-AR"/>
        </w:rPr>
        <w:t>quinas, aparatos y artefactos eléctricos)</w:t>
      </w:r>
      <w:r>
        <w:rPr>
          <w:color w:val="000000"/>
          <w:shd w:val="clear" w:color="auto" w:fill="FFFFFF"/>
          <w:lang w:val="es-AR"/>
        </w:rPr>
        <w:t xml:space="preserve"> </w:t>
      </w:r>
      <w:r w:rsidRPr="00C156E2">
        <w:rPr>
          <w:color w:val="000000"/>
          <w:shd w:val="clear" w:color="auto" w:fill="FFFFFF"/>
          <w:lang w:val="es-AR"/>
        </w:rPr>
        <w:t xml:space="preserve">y bienes derivados de recursos naturales. Las exportaciones </w:t>
      </w:r>
      <w:r>
        <w:rPr>
          <w:color w:val="000000"/>
          <w:shd w:val="clear" w:color="auto" w:fill="FFFFFF"/>
          <w:lang w:val="es-AR"/>
        </w:rPr>
        <w:t xml:space="preserve">se concentran </w:t>
      </w:r>
      <w:r w:rsidRPr="00C156E2">
        <w:rPr>
          <w:color w:val="000000"/>
          <w:shd w:val="clear" w:color="auto" w:fill="FFFFFF"/>
          <w:lang w:val="es-AR"/>
        </w:rPr>
        <w:t>principalmente</w:t>
      </w:r>
      <w:r>
        <w:rPr>
          <w:color w:val="000000"/>
          <w:shd w:val="clear" w:color="auto" w:fill="FFFFFF"/>
          <w:lang w:val="es-AR"/>
        </w:rPr>
        <w:t xml:space="preserve"> en </w:t>
      </w:r>
      <w:r w:rsidRPr="00C156E2">
        <w:rPr>
          <w:b/>
          <w:color w:val="000000"/>
          <w:shd w:val="clear" w:color="auto" w:fill="FFFFFF"/>
          <w:lang w:val="es-AR"/>
        </w:rPr>
        <w:t>bienes primarios</w:t>
      </w:r>
      <w:r>
        <w:rPr>
          <w:color w:val="000000"/>
          <w:shd w:val="clear" w:color="auto" w:fill="FFFFFF"/>
          <w:lang w:val="es-AR"/>
        </w:rPr>
        <w:t xml:space="preserve"> </w:t>
      </w:r>
      <w:r w:rsidRPr="008B456C">
        <w:t>—</w:t>
      </w:r>
      <w:r>
        <w:rPr>
          <w:color w:val="000000"/>
          <w:shd w:val="clear" w:color="auto" w:fill="FFFFFF"/>
          <w:lang w:val="es-AR"/>
        </w:rPr>
        <w:t>frutas, comestibles y</w:t>
      </w:r>
      <w:r w:rsidRPr="00C156E2">
        <w:rPr>
          <w:color w:val="000000"/>
          <w:shd w:val="clear" w:color="auto" w:fill="FFFFFF"/>
          <w:lang w:val="es-AR"/>
        </w:rPr>
        <w:t xml:space="preserve"> especias</w:t>
      </w:r>
      <w:r w:rsidRPr="008B456C">
        <w:t>—</w:t>
      </w:r>
      <w:r w:rsidRPr="00C156E2">
        <w:rPr>
          <w:color w:val="000000"/>
          <w:shd w:val="clear" w:color="auto" w:fill="FFFFFF"/>
          <w:lang w:val="es-AR"/>
        </w:rPr>
        <w:t xml:space="preserve"> (Cordero 2013). De estas características</w:t>
      </w:r>
      <w:r>
        <w:rPr>
          <w:color w:val="000000"/>
          <w:shd w:val="clear" w:color="auto" w:fill="FFFFFF"/>
          <w:lang w:val="es-AR"/>
        </w:rPr>
        <w:t>,</w:t>
      </w:r>
      <w:r w:rsidRPr="00C156E2">
        <w:rPr>
          <w:color w:val="000000"/>
          <w:shd w:val="clear" w:color="auto" w:fill="FFFFFF"/>
          <w:lang w:val="es-AR"/>
        </w:rPr>
        <w:t xml:space="preserve"> se puede deducir que Puerto Rico </w:t>
      </w:r>
      <w:r w:rsidRPr="008B456C">
        <w:t>—</w:t>
      </w:r>
      <w:r w:rsidRPr="00C156E2">
        <w:rPr>
          <w:color w:val="000000"/>
          <w:shd w:val="clear" w:color="auto" w:fill="FFFFFF"/>
          <w:lang w:val="es-AR"/>
        </w:rPr>
        <w:t xml:space="preserve">con un </w:t>
      </w:r>
      <w:r>
        <w:rPr>
          <w:color w:val="000000"/>
          <w:shd w:val="clear" w:color="auto" w:fill="FFFFFF"/>
          <w:lang w:val="es-AR"/>
        </w:rPr>
        <w:t xml:space="preserve">alto </w:t>
      </w:r>
      <w:r w:rsidRPr="00C156E2">
        <w:rPr>
          <w:color w:val="000000"/>
          <w:shd w:val="clear" w:color="auto" w:fill="FFFFFF"/>
          <w:lang w:val="es-AR"/>
        </w:rPr>
        <w:t>capital humano y una gran infraestructura</w:t>
      </w:r>
      <w:r w:rsidRPr="008B456C">
        <w:t>—</w:t>
      </w:r>
      <w:r w:rsidRPr="00C156E2">
        <w:rPr>
          <w:color w:val="000000"/>
          <w:shd w:val="clear" w:color="auto" w:fill="FFFFFF"/>
          <w:lang w:val="es-AR"/>
        </w:rPr>
        <w:t xml:space="preserve"> podría contribuir beneficiándose recíprocamente con el CAFTA-RD en materia de importación de bienes primarios </w:t>
      </w:r>
      <w:r w:rsidRPr="008B456C">
        <w:t>—</w:t>
      </w:r>
      <w:r w:rsidRPr="00D041D0">
        <w:rPr>
          <w:color w:val="000000"/>
          <w:shd w:val="clear" w:color="auto" w:fill="FFFFFF"/>
          <w:lang w:val="es-AR"/>
        </w:rPr>
        <w:t xml:space="preserve"> </w:t>
      </w:r>
      <w:r w:rsidRPr="00C156E2">
        <w:rPr>
          <w:color w:val="000000"/>
          <w:shd w:val="clear" w:color="auto" w:fill="FFFFFF"/>
          <w:lang w:val="es-AR"/>
        </w:rPr>
        <w:t>pri</w:t>
      </w:r>
      <w:r>
        <w:rPr>
          <w:color w:val="000000"/>
          <w:shd w:val="clear" w:color="auto" w:fill="FFFFFF"/>
          <w:lang w:val="es-AR"/>
        </w:rPr>
        <w:t>ncipalmente</w:t>
      </w:r>
      <w:r w:rsidRPr="00C156E2">
        <w:rPr>
          <w:color w:val="000000"/>
          <w:shd w:val="clear" w:color="auto" w:fill="FFFFFF"/>
          <w:lang w:val="es-AR"/>
        </w:rPr>
        <w:t xml:space="preserve"> alimenticios</w:t>
      </w:r>
      <w:r w:rsidRPr="008B456C">
        <w:t>—</w:t>
      </w:r>
      <w:r>
        <w:rPr>
          <w:color w:val="000000"/>
          <w:shd w:val="clear" w:color="auto" w:fill="FFFFFF"/>
          <w:lang w:val="es-AR"/>
        </w:rPr>
        <w:t xml:space="preserve"> y buscando precios má</w:t>
      </w:r>
      <w:r w:rsidRPr="00C156E2">
        <w:rPr>
          <w:color w:val="000000"/>
          <w:shd w:val="clear" w:color="auto" w:fill="FFFFFF"/>
          <w:lang w:val="es-AR"/>
        </w:rPr>
        <w:t>s atractivos que los actuales</w:t>
      </w:r>
      <w:r>
        <w:rPr>
          <w:color w:val="000000"/>
          <w:shd w:val="clear" w:color="auto" w:fill="FFFFFF"/>
          <w:lang w:val="es-AR"/>
        </w:rPr>
        <w:t xml:space="preserve">. En </w:t>
      </w:r>
      <w:r w:rsidRPr="00C156E2">
        <w:rPr>
          <w:color w:val="000000"/>
          <w:shd w:val="clear" w:color="auto" w:fill="FFFFFF"/>
          <w:lang w:val="es-AR"/>
        </w:rPr>
        <w:t>materia de exportación</w:t>
      </w:r>
      <w:r>
        <w:rPr>
          <w:color w:val="000000"/>
          <w:shd w:val="clear" w:color="auto" w:fill="FFFFFF"/>
          <w:lang w:val="es-AR"/>
        </w:rPr>
        <w:t>,</w:t>
      </w:r>
      <w:r w:rsidRPr="00C156E2">
        <w:rPr>
          <w:color w:val="000000"/>
          <w:shd w:val="clear" w:color="auto" w:fill="FFFFFF"/>
          <w:lang w:val="es-AR"/>
        </w:rPr>
        <w:t xml:space="preserve"> podría </w:t>
      </w:r>
      <w:r>
        <w:rPr>
          <w:color w:val="000000"/>
          <w:shd w:val="clear" w:color="auto" w:fill="FFFFFF"/>
          <w:lang w:val="es-AR"/>
        </w:rPr>
        <w:t xml:space="preserve">dirigirse a </w:t>
      </w:r>
      <w:r w:rsidRPr="00C156E2">
        <w:rPr>
          <w:color w:val="000000"/>
          <w:shd w:val="clear" w:color="auto" w:fill="FFFFFF"/>
          <w:lang w:val="es-AR"/>
        </w:rPr>
        <w:t>conseguir un espacio en el mercado de bienes de mediana tecnología en la región.</w:t>
      </w:r>
    </w:p>
    <w:p w:rsidR="005A5E7D" w:rsidRPr="00C156E2" w:rsidRDefault="005A5E7D" w:rsidP="005A5E7D">
      <w:pPr>
        <w:rPr>
          <w:color w:val="000000"/>
          <w:shd w:val="clear" w:color="auto" w:fill="FFFFFF"/>
          <w:lang w:val="es-AR"/>
        </w:rPr>
      </w:pPr>
      <w:r>
        <w:rPr>
          <w:color w:val="000000"/>
          <w:shd w:val="clear" w:color="auto" w:fill="FFFFFF"/>
          <w:lang w:val="es-AR"/>
        </w:rPr>
        <w:t xml:space="preserve">A esta fecha, </w:t>
      </w:r>
      <w:r w:rsidRPr="00C156E2">
        <w:rPr>
          <w:color w:val="000000"/>
          <w:shd w:val="clear" w:color="auto" w:fill="FFFFFF"/>
          <w:lang w:val="es-AR"/>
        </w:rPr>
        <w:t xml:space="preserve">Puerto Rico </w:t>
      </w:r>
      <w:r>
        <w:rPr>
          <w:color w:val="000000"/>
          <w:shd w:val="clear" w:color="auto" w:fill="FFFFFF"/>
          <w:lang w:val="es-AR"/>
        </w:rPr>
        <w:t xml:space="preserve">debería haberse </w:t>
      </w:r>
      <w:r w:rsidRPr="00C156E2">
        <w:rPr>
          <w:color w:val="000000"/>
          <w:shd w:val="clear" w:color="auto" w:fill="FFFFFF"/>
          <w:lang w:val="es-AR"/>
        </w:rPr>
        <w:t xml:space="preserve">beneficiado </w:t>
      </w:r>
      <w:r>
        <w:rPr>
          <w:color w:val="000000"/>
          <w:shd w:val="clear" w:color="auto" w:fill="FFFFFF"/>
          <w:lang w:val="es-AR"/>
        </w:rPr>
        <w:t xml:space="preserve">con </w:t>
      </w:r>
      <w:r w:rsidRPr="00C156E2">
        <w:rPr>
          <w:color w:val="000000"/>
          <w:shd w:val="clear" w:color="auto" w:fill="FFFFFF"/>
          <w:lang w:val="es-AR"/>
        </w:rPr>
        <w:t>la firma del CAFTA-RD por parte de E</w:t>
      </w:r>
      <w:r>
        <w:rPr>
          <w:color w:val="000000"/>
          <w:shd w:val="clear" w:color="auto" w:fill="FFFFFF"/>
          <w:lang w:val="es-AR"/>
        </w:rPr>
        <w:t xml:space="preserve">stados </w:t>
      </w:r>
      <w:r w:rsidRPr="00C156E2">
        <w:rPr>
          <w:color w:val="000000"/>
          <w:shd w:val="clear" w:color="auto" w:fill="FFFFFF"/>
          <w:lang w:val="es-AR"/>
        </w:rPr>
        <w:t>U</w:t>
      </w:r>
      <w:r>
        <w:rPr>
          <w:color w:val="000000"/>
          <w:shd w:val="clear" w:color="auto" w:fill="FFFFFF"/>
          <w:lang w:val="es-AR"/>
        </w:rPr>
        <w:t>nidos</w:t>
      </w:r>
      <w:r w:rsidRPr="00C156E2">
        <w:rPr>
          <w:color w:val="000000"/>
          <w:shd w:val="clear" w:color="auto" w:fill="FFFFFF"/>
          <w:lang w:val="es-AR"/>
        </w:rPr>
        <w:t>.</w:t>
      </w:r>
      <w:r>
        <w:rPr>
          <w:color w:val="000000"/>
          <w:shd w:val="clear" w:color="auto" w:fill="FFFFFF"/>
          <w:lang w:val="es-AR"/>
        </w:rPr>
        <w:t xml:space="preserve"> No obstante, el beneficio no se ha evidenciado. Las exportaciones a la región han disminuido y la balanza comercial se ha deteriorado.</w:t>
      </w:r>
      <w:r w:rsidRPr="00C156E2">
        <w:rPr>
          <w:rStyle w:val="FootnoteReference"/>
          <w:color w:val="000000"/>
          <w:shd w:val="clear" w:color="auto" w:fill="FFFFFF"/>
          <w:lang w:val="es-AR"/>
        </w:rPr>
        <w:footnoteReference w:id="52"/>
      </w:r>
    </w:p>
    <w:p w:rsidR="005A5E7D" w:rsidRDefault="005A5E7D" w:rsidP="005A5E7D">
      <w:pPr>
        <w:rPr>
          <w:color w:val="000000"/>
          <w:shd w:val="clear" w:color="auto" w:fill="FFFFFF"/>
          <w:lang w:val="es-AR"/>
        </w:rPr>
      </w:pPr>
      <w:r w:rsidRPr="00F47889">
        <w:rPr>
          <w:b/>
          <w:color w:val="000000"/>
          <w:u w:val="single"/>
          <w:shd w:val="clear" w:color="auto" w:fill="FFFFFF"/>
          <w:lang w:val="es-AR"/>
        </w:rPr>
        <w:t>NAFTA</w:t>
      </w:r>
      <w:r>
        <w:rPr>
          <w:b/>
          <w:color w:val="000000"/>
          <w:shd w:val="clear" w:color="auto" w:fill="FFFFFF"/>
          <w:lang w:val="es-AR"/>
        </w:rPr>
        <w:t xml:space="preserve">: </w:t>
      </w:r>
      <w:r w:rsidRPr="00C156E2">
        <w:rPr>
          <w:color w:val="000000"/>
          <w:shd w:val="clear" w:color="auto" w:fill="FFFFFF"/>
          <w:lang w:val="es-AR"/>
        </w:rPr>
        <w:t xml:space="preserve">El </w:t>
      </w:r>
      <w:r w:rsidRPr="00F64311">
        <w:rPr>
          <w:lang w:val="es-ES_tradnl"/>
        </w:rPr>
        <w:t>Tratado de Libre Comercio de América del Norte</w:t>
      </w:r>
      <w:r w:rsidRPr="00C156E2">
        <w:rPr>
          <w:color w:val="000000"/>
          <w:shd w:val="clear" w:color="auto" w:fill="FFFFFF"/>
          <w:lang w:val="es-AR"/>
        </w:rPr>
        <w:t xml:space="preserve"> es un tratado comercial que elimina casi todas las barreras arancelarias y no arancelarias, como también para las inversiones entre Canadá, E</w:t>
      </w:r>
      <w:r>
        <w:rPr>
          <w:color w:val="000000"/>
          <w:shd w:val="clear" w:color="auto" w:fill="FFFFFF"/>
          <w:lang w:val="es-AR"/>
        </w:rPr>
        <w:t xml:space="preserve">stados </w:t>
      </w:r>
      <w:r w:rsidRPr="00C156E2">
        <w:rPr>
          <w:color w:val="000000"/>
          <w:shd w:val="clear" w:color="auto" w:fill="FFFFFF"/>
          <w:lang w:val="es-AR"/>
        </w:rPr>
        <w:t>U</w:t>
      </w:r>
      <w:r>
        <w:rPr>
          <w:color w:val="000000"/>
          <w:shd w:val="clear" w:color="auto" w:fill="FFFFFF"/>
          <w:lang w:val="es-AR"/>
        </w:rPr>
        <w:t>nidos</w:t>
      </w:r>
      <w:r w:rsidRPr="00C156E2">
        <w:rPr>
          <w:color w:val="000000"/>
          <w:shd w:val="clear" w:color="auto" w:fill="FFFFFF"/>
          <w:lang w:val="es-AR"/>
        </w:rPr>
        <w:t xml:space="preserve"> y México. Juntas, estas tres naciones conforman un mercado de 444 millones de habitantes (Naftanow.</w:t>
      </w:r>
      <w:r>
        <w:rPr>
          <w:color w:val="000000"/>
          <w:shd w:val="clear" w:color="auto" w:fill="FFFFFF"/>
          <w:lang w:val="es-AR"/>
        </w:rPr>
        <w:t>org, 2014).</w:t>
      </w:r>
    </w:p>
    <w:p w:rsidR="005A5E7D" w:rsidRDefault="005A5E7D" w:rsidP="005A5E7D">
      <w:pPr>
        <w:rPr>
          <w:color w:val="000000"/>
          <w:shd w:val="clear" w:color="auto" w:fill="FFFFFF"/>
          <w:lang w:val="es-AR"/>
        </w:rPr>
      </w:pPr>
      <w:r>
        <w:rPr>
          <w:color w:val="000000"/>
          <w:shd w:val="clear" w:color="auto" w:fill="FFFFFF"/>
          <w:lang w:val="es-AR"/>
        </w:rPr>
        <w:t>S</w:t>
      </w:r>
      <w:r w:rsidRPr="00C156E2">
        <w:rPr>
          <w:color w:val="000000"/>
          <w:shd w:val="clear" w:color="auto" w:fill="FFFFFF"/>
          <w:lang w:val="es-AR"/>
        </w:rPr>
        <w:t>egún dicha organización</w:t>
      </w:r>
      <w:r>
        <w:rPr>
          <w:color w:val="000000"/>
          <w:shd w:val="clear" w:color="auto" w:fill="FFFFFF"/>
          <w:lang w:val="es-AR"/>
        </w:rPr>
        <w:t>, entre los logros del</w:t>
      </w:r>
      <w:r w:rsidRPr="00C156E2">
        <w:rPr>
          <w:color w:val="000000"/>
          <w:shd w:val="clear" w:color="auto" w:fill="FFFFFF"/>
          <w:lang w:val="es-AR"/>
        </w:rPr>
        <w:t xml:space="preserve"> tratad</w:t>
      </w:r>
      <w:r>
        <w:rPr>
          <w:color w:val="000000"/>
          <w:shd w:val="clear" w:color="auto" w:fill="FFFFFF"/>
          <w:lang w:val="es-AR"/>
        </w:rPr>
        <w:t>o se destacan</w:t>
      </w:r>
      <w:r w:rsidRPr="00C156E2">
        <w:rPr>
          <w:color w:val="000000"/>
          <w:shd w:val="clear" w:color="auto" w:fill="FFFFFF"/>
          <w:lang w:val="es-AR"/>
        </w:rPr>
        <w:t>: la creación de empleos (1 de cada 5 empleos en Canadá est</w:t>
      </w:r>
      <w:r>
        <w:rPr>
          <w:color w:val="000000"/>
          <w:shd w:val="clear" w:color="auto" w:fill="FFFFFF"/>
          <w:lang w:val="es-AR"/>
        </w:rPr>
        <w:t>á</w:t>
      </w:r>
      <w:r w:rsidRPr="00C156E2">
        <w:rPr>
          <w:color w:val="000000"/>
          <w:shd w:val="clear" w:color="auto" w:fill="FFFFFF"/>
          <w:lang w:val="es-AR"/>
        </w:rPr>
        <w:t xml:space="preserve"> vinculado a</w:t>
      </w:r>
      <w:r>
        <w:rPr>
          <w:color w:val="000000"/>
          <w:shd w:val="clear" w:color="auto" w:fill="FFFFFF"/>
          <w:lang w:val="es-AR"/>
        </w:rPr>
        <w:t>l</w:t>
      </w:r>
      <w:r w:rsidRPr="00C156E2">
        <w:rPr>
          <w:color w:val="000000"/>
          <w:shd w:val="clear" w:color="auto" w:fill="FFFFFF"/>
          <w:lang w:val="es-AR"/>
        </w:rPr>
        <w:t xml:space="preserve"> NAFTA), </w:t>
      </w:r>
      <w:r>
        <w:rPr>
          <w:color w:val="000000"/>
          <w:shd w:val="clear" w:color="auto" w:fill="FFFFFF"/>
          <w:lang w:val="es-AR"/>
        </w:rPr>
        <w:t xml:space="preserve">y </w:t>
      </w:r>
      <w:r w:rsidRPr="00C156E2">
        <w:rPr>
          <w:color w:val="000000"/>
          <w:shd w:val="clear" w:color="auto" w:fill="FFFFFF"/>
          <w:lang w:val="es-AR"/>
        </w:rPr>
        <w:t>la modernización de la economía mexicana</w:t>
      </w:r>
      <w:r>
        <w:rPr>
          <w:color w:val="000000"/>
          <w:shd w:val="clear" w:color="auto" w:fill="FFFFFF"/>
          <w:lang w:val="es-AR"/>
        </w:rPr>
        <w:t>,</w:t>
      </w:r>
      <w:r w:rsidRPr="00C156E2">
        <w:rPr>
          <w:color w:val="000000"/>
          <w:shd w:val="clear" w:color="auto" w:fill="FFFFFF"/>
          <w:lang w:val="es-AR"/>
        </w:rPr>
        <w:t xml:space="preserve"> fomentando el flujo de inversiones, diversificando sus exportaciones y haciendo de México uno de los exportadores mundiales</w:t>
      </w:r>
      <w:r>
        <w:rPr>
          <w:color w:val="000000"/>
          <w:shd w:val="clear" w:color="auto" w:fill="FFFFFF"/>
          <w:lang w:val="es-AR"/>
        </w:rPr>
        <w:t xml:space="preserve"> </w:t>
      </w:r>
      <w:r w:rsidRPr="00C156E2">
        <w:rPr>
          <w:color w:val="000000"/>
          <w:shd w:val="clear" w:color="auto" w:fill="FFFFFF"/>
          <w:lang w:val="es-AR"/>
        </w:rPr>
        <w:t xml:space="preserve">más grandes </w:t>
      </w:r>
      <w:r>
        <w:rPr>
          <w:color w:val="000000"/>
          <w:shd w:val="clear" w:color="auto" w:fill="FFFFFF"/>
          <w:lang w:val="es-AR"/>
        </w:rPr>
        <w:t>(Naftanow.org</w:t>
      </w:r>
      <w:r w:rsidRPr="00C156E2">
        <w:rPr>
          <w:color w:val="000000"/>
          <w:shd w:val="clear" w:color="auto" w:fill="FFFFFF"/>
          <w:lang w:val="es-AR"/>
        </w:rPr>
        <w:t>). Sin embargo tomando el caso de México</w:t>
      </w:r>
      <w:r>
        <w:rPr>
          <w:color w:val="000000"/>
          <w:shd w:val="clear" w:color="auto" w:fill="FFFFFF"/>
          <w:lang w:val="es-AR"/>
        </w:rPr>
        <w:t>,</w:t>
      </w:r>
      <w:r w:rsidRPr="00C156E2">
        <w:rPr>
          <w:color w:val="000000"/>
          <w:shd w:val="clear" w:color="auto" w:fill="FFFFFF"/>
          <w:lang w:val="es-AR"/>
        </w:rPr>
        <w:t xml:space="preserve"> desde el ingreso del país en 1994 </w:t>
      </w:r>
      <w:r>
        <w:rPr>
          <w:color w:val="000000"/>
          <w:shd w:val="clear" w:color="auto" w:fill="FFFFFF"/>
          <w:lang w:val="es-AR"/>
        </w:rPr>
        <w:t xml:space="preserve">ha sufrido </w:t>
      </w:r>
      <w:r w:rsidRPr="00C156E2">
        <w:rPr>
          <w:color w:val="000000"/>
          <w:shd w:val="clear" w:color="auto" w:fill="FFFFFF"/>
          <w:lang w:val="es-AR"/>
        </w:rPr>
        <w:t>una polarización de los sectores productivos que siguió la tendencia que tuvo desde la liberalización de los mercados en la década del ochenta</w:t>
      </w:r>
      <w:r>
        <w:rPr>
          <w:color w:val="000000"/>
          <w:shd w:val="clear" w:color="auto" w:fill="FFFFFF"/>
          <w:lang w:val="es-AR"/>
        </w:rPr>
        <w:t>. Esto permitió que se convirtiera en u</w:t>
      </w:r>
      <w:r w:rsidRPr="00C156E2">
        <w:rPr>
          <w:color w:val="000000"/>
          <w:shd w:val="clear" w:color="auto" w:fill="FFFFFF"/>
          <w:lang w:val="es-AR"/>
        </w:rPr>
        <w:t xml:space="preserve">n país exportador de </w:t>
      </w:r>
      <w:r>
        <w:rPr>
          <w:color w:val="000000"/>
          <w:shd w:val="clear" w:color="auto" w:fill="FFFFFF"/>
          <w:lang w:val="es-AR"/>
        </w:rPr>
        <w:t xml:space="preserve">bienes manufactureros </w:t>
      </w:r>
      <w:r w:rsidRPr="00C156E2">
        <w:rPr>
          <w:color w:val="000000"/>
          <w:shd w:val="clear" w:color="auto" w:fill="FFFFFF"/>
          <w:lang w:val="es-AR"/>
        </w:rPr>
        <w:t>(de empresas mayormente estadounidenses)</w:t>
      </w:r>
      <w:r>
        <w:rPr>
          <w:color w:val="000000"/>
          <w:shd w:val="clear" w:color="auto" w:fill="FFFFFF"/>
          <w:lang w:val="es-AR"/>
        </w:rPr>
        <w:t>,</w:t>
      </w:r>
      <w:r w:rsidRPr="00C156E2">
        <w:rPr>
          <w:color w:val="000000"/>
          <w:shd w:val="clear" w:color="auto" w:fill="FFFFFF"/>
          <w:lang w:val="es-AR"/>
        </w:rPr>
        <w:t xml:space="preserve"> y deja</w:t>
      </w:r>
      <w:r>
        <w:rPr>
          <w:color w:val="000000"/>
          <w:shd w:val="clear" w:color="auto" w:fill="FFFFFF"/>
          <w:lang w:val="es-AR"/>
        </w:rPr>
        <w:t>ra</w:t>
      </w:r>
      <w:r w:rsidRPr="00C156E2">
        <w:rPr>
          <w:color w:val="000000"/>
          <w:shd w:val="clear" w:color="auto" w:fill="FFFFFF"/>
          <w:lang w:val="es-AR"/>
        </w:rPr>
        <w:t xml:space="preserve"> de lado la producción y exportaciones de agricultura e hidrocarburos (Moreno-Brid, Rivas</w:t>
      </w:r>
      <w:r>
        <w:rPr>
          <w:color w:val="000000"/>
          <w:shd w:val="clear" w:color="auto" w:fill="FFFFFF"/>
          <w:lang w:val="es-AR"/>
        </w:rPr>
        <w:t xml:space="preserve"> y</w:t>
      </w:r>
      <w:r w:rsidRPr="00C156E2">
        <w:rPr>
          <w:color w:val="000000"/>
          <w:shd w:val="clear" w:color="auto" w:fill="FFFFFF"/>
          <w:lang w:val="es-AR"/>
        </w:rPr>
        <w:t xml:space="preserve"> Santamaria</w:t>
      </w:r>
      <w:r>
        <w:rPr>
          <w:color w:val="000000"/>
          <w:shd w:val="clear" w:color="auto" w:fill="FFFFFF"/>
          <w:lang w:val="es-AR"/>
        </w:rPr>
        <w:t>,</w:t>
      </w:r>
      <w:r w:rsidRPr="00C156E2">
        <w:rPr>
          <w:color w:val="000000"/>
          <w:shd w:val="clear" w:color="auto" w:fill="FFFFFF"/>
          <w:lang w:val="es-AR"/>
        </w:rPr>
        <w:t xml:space="preserve"> 2005). </w:t>
      </w:r>
    </w:p>
    <w:p w:rsidR="00E949C1" w:rsidRDefault="00E949C1" w:rsidP="00E949C1">
      <w:pPr>
        <w:rPr>
          <w:color w:val="000000"/>
          <w:shd w:val="clear" w:color="auto" w:fill="FFFFFF"/>
          <w:lang w:val="es-AR"/>
        </w:rPr>
      </w:pPr>
      <w:r>
        <w:rPr>
          <w:color w:val="000000"/>
          <w:shd w:val="clear" w:color="auto" w:fill="FFFFFF"/>
          <w:lang w:val="es-AR"/>
        </w:rPr>
        <w:t>T</w:t>
      </w:r>
      <w:r w:rsidRPr="00C156E2">
        <w:rPr>
          <w:color w:val="000000"/>
          <w:shd w:val="clear" w:color="auto" w:fill="FFFFFF"/>
          <w:lang w:val="es-AR"/>
        </w:rPr>
        <w:t>écnicamente</w:t>
      </w:r>
      <w:r>
        <w:rPr>
          <w:color w:val="000000"/>
          <w:shd w:val="clear" w:color="auto" w:fill="FFFFFF"/>
          <w:lang w:val="es-AR"/>
        </w:rPr>
        <w:t>,</w:t>
      </w:r>
      <w:r w:rsidRPr="00C156E2">
        <w:rPr>
          <w:color w:val="000000"/>
          <w:shd w:val="clear" w:color="auto" w:fill="FFFFFF"/>
          <w:lang w:val="es-AR"/>
        </w:rPr>
        <w:t xml:space="preserve"> Puerto Rico </w:t>
      </w:r>
      <w:r>
        <w:rPr>
          <w:color w:val="000000"/>
          <w:shd w:val="clear" w:color="auto" w:fill="FFFFFF"/>
          <w:lang w:val="es-AR"/>
        </w:rPr>
        <w:t>también pertenece a este</w:t>
      </w:r>
      <w:r w:rsidRPr="00C156E2">
        <w:rPr>
          <w:color w:val="000000"/>
          <w:shd w:val="clear" w:color="auto" w:fill="FFFFFF"/>
          <w:lang w:val="es-AR"/>
        </w:rPr>
        <w:t xml:space="preserve"> acuerdo</w:t>
      </w:r>
      <w:r>
        <w:rPr>
          <w:color w:val="000000"/>
          <w:shd w:val="clear" w:color="auto" w:fill="FFFFFF"/>
          <w:lang w:val="es-AR"/>
        </w:rPr>
        <w:t>,</w:t>
      </w:r>
      <w:r w:rsidRPr="00C156E2">
        <w:rPr>
          <w:color w:val="000000"/>
          <w:shd w:val="clear" w:color="auto" w:fill="FFFFFF"/>
          <w:lang w:val="es-AR"/>
        </w:rPr>
        <w:t xml:space="preserve"> por ser </w:t>
      </w:r>
      <w:r>
        <w:rPr>
          <w:color w:val="000000"/>
          <w:shd w:val="clear" w:color="auto" w:fill="FFFFFF"/>
          <w:lang w:val="es-AR"/>
        </w:rPr>
        <w:t xml:space="preserve">un territorio de Estados Unidos. No obstante, la experiencia demuestra una </w:t>
      </w:r>
      <w:r w:rsidRPr="00C156E2">
        <w:rPr>
          <w:color w:val="000000"/>
          <w:shd w:val="clear" w:color="auto" w:fill="FFFFFF"/>
          <w:lang w:val="es-AR"/>
        </w:rPr>
        <w:t>disminu</w:t>
      </w:r>
      <w:r>
        <w:rPr>
          <w:color w:val="000000"/>
          <w:shd w:val="clear" w:color="auto" w:fill="FFFFFF"/>
          <w:lang w:val="es-AR"/>
        </w:rPr>
        <w:t>ción en l</w:t>
      </w:r>
      <w:r w:rsidRPr="00C156E2">
        <w:rPr>
          <w:color w:val="000000"/>
          <w:shd w:val="clear" w:color="auto" w:fill="FFFFFF"/>
          <w:lang w:val="es-AR"/>
        </w:rPr>
        <w:t>as exportaciones en los últimos años</w:t>
      </w:r>
      <w:r>
        <w:rPr>
          <w:color w:val="000000"/>
          <w:shd w:val="clear" w:color="auto" w:fill="FFFFFF"/>
          <w:lang w:val="es-AR"/>
        </w:rPr>
        <w:t>. La Isla también se ha afectado por el artí</w:t>
      </w:r>
      <w:r w:rsidRPr="00C156E2">
        <w:rPr>
          <w:color w:val="000000"/>
          <w:shd w:val="clear" w:color="auto" w:fill="FFFFFF"/>
          <w:lang w:val="es-AR"/>
        </w:rPr>
        <w:t>culo 1003 del acuerdo</w:t>
      </w:r>
      <w:r>
        <w:rPr>
          <w:color w:val="000000"/>
          <w:shd w:val="clear" w:color="auto" w:fill="FFFFFF"/>
          <w:lang w:val="es-AR"/>
        </w:rPr>
        <w:t>,</w:t>
      </w:r>
      <w:r w:rsidRPr="00C156E2">
        <w:rPr>
          <w:color w:val="000000"/>
          <w:shd w:val="clear" w:color="auto" w:fill="FFFFFF"/>
          <w:lang w:val="es-AR"/>
        </w:rPr>
        <w:t xml:space="preserve"> que expone que los gobiernos deben dar igual trato a todos los proveedores de bienes privados de todos los miembros del acuerdo</w:t>
      </w:r>
      <w:r>
        <w:rPr>
          <w:color w:val="000000"/>
          <w:shd w:val="clear" w:color="auto" w:fill="FFFFFF"/>
          <w:lang w:val="es-AR"/>
        </w:rPr>
        <w:t>,</w:t>
      </w:r>
      <w:r w:rsidRPr="00C156E2">
        <w:rPr>
          <w:color w:val="000000"/>
          <w:shd w:val="clear" w:color="auto" w:fill="FFFFFF"/>
          <w:lang w:val="es-AR"/>
        </w:rPr>
        <w:t xml:space="preserve"> </w:t>
      </w:r>
      <w:r>
        <w:rPr>
          <w:color w:val="000000"/>
          <w:shd w:val="clear" w:color="auto" w:fill="FFFFFF"/>
          <w:lang w:val="es-AR"/>
        </w:rPr>
        <w:t xml:space="preserve">y </w:t>
      </w:r>
      <w:r w:rsidRPr="00C156E2">
        <w:rPr>
          <w:color w:val="000000"/>
          <w:shd w:val="clear" w:color="auto" w:fill="FFFFFF"/>
          <w:lang w:val="es-AR"/>
        </w:rPr>
        <w:t>evita</w:t>
      </w:r>
      <w:r>
        <w:rPr>
          <w:color w:val="000000"/>
          <w:shd w:val="clear" w:color="auto" w:fill="FFFFFF"/>
          <w:lang w:val="es-AR"/>
        </w:rPr>
        <w:t>r</w:t>
      </w:r>
      <w:r w:rsidRPr="00C156E2">
        <w:rPr>
          <w:color w:val="000000"/>
          <w:shd w:val="clear" w:color="auto" w:fill="FFFFFF"/>
          <w:lang w:val="es-AR"/>
        </w:rPr>
        <w:t xml:space="preserve"> así la protección de industrias y productores </w:t>
      </w:r>
      <w:r>
        <w:rPr>
          <w:color w:val="000000"/>
          <w:shd w:val="clear" w:color="auto" w:fill="FFFFFF"/>
          <w:lang w:val="es-AR"/>
        </w:rPr>
        <w:t>del paí</w:t>
      </w:r>
      <w:r w:rsidRPr="00C156E2">
        <w:rPr>
          <w:color w:val="000000"/>
          <w:shd w:val="clear" w:color="auto" w:fill="FFFFFF"/>
          <w:lang w:val="es-AR"/>
        </w:rPr>
        <w:t>s (Schmidt</w:t>
      </w:r>
      <w:r>
        <w:rPr>
          <w:color w:val="000000"/>
          <w:shd w:val="clear" w:color="auto" w:fill="FFFFFF"/>
          <w:lang w:val="es-AR"/>
        </w:rPr>
        <w:t>,</w:t>
      </w:r>
      <w:r w:rsidRPr="00C156E2">
        <w:rPr>
          <w:color w:val="000000"/>
          <w:shd w:val="clear" w:color="auto" w:fill="FFFFFF"/>
          <w:lang w:val="es-AR"/>
        </w:rPr>
        <w:t xml:space="preserve"> 2013). De esta situación se ha beneficiado mayormente el empresariado mexicano</w:t>
      </w:r>
      <w:r>
        <w:rPr>
          <w:color w:val="000000"/>
          <w:shd w:val="clear" w:color="auto" w:fill="FFFFFF"/>
          <w:lang w:val="es-AR"/>
        </w:rPr>
        <w:t>,</w:t>
      </w:r>
      <w:r w:rsidRPr="00C156E2">
        <w:rPr>
          <w:color w:val="000000"/>
          <w:shd w:val="clear" w:color="auto" w:fill="FFFFFF"/>
          <w:lang w:val="es-AR"/>
        </w:rPr>
        <w:t xml:space="preserve"> con la adquisición de varias empresas </w:t>
      </w:r>
      <w:r>
        <w:rPr>
          <w:color w:val="000000"/>
          <w:shd w:val="clear" w:color="auto" w:fill="FFFFFF"/>
          <w:lang w:val="es-AR"/>
        </w:rPr>
        <w:t xml:space="preserve">del país </w:t>
      </w:r>
      <w:r w:rsidRPr="00C156E2">
        <w:rPr>
          <w:color w:val="000000"/>
          <w:shd w:val="clear" w:color="auto" w:fill="FFFFFF"/>
          <w:lang w:val="es-AR"/>
        </w:rPr>
        <w:t>como Cemento Ponce, Inc. por parte de Cemex, la entrada de Claro y el contro</w:t>
      </w:r>
      <w:r>
        <w:rPr>
          <w:color w:val="000000"/>
          <w:shd w:val="clear" w:color="auto" w:fill="FFFFFF"/>
          <w:lang w:val="es-AR"/>
        </w:rPr>
        <w:t>l del Aeropuerto Luis Muñoz Marí</w:t>
      </w:r>
      <w:r w:rsidRPr="00C156E2">
        <w:rPr>
          <w:color w:val="000000"/>
          <w:shd w:val="clear" w:color="auto" w:fill="FFFFFF"/>
          <w:lang w:val="es-AR"/>
        </w:rPr>
        <w:t>n por parte de Aerostar.</w:t>
      </w:r>
    </w:p>
    <w:p w:rsidR="005A5E7D" w:rsidRPr="00F47889" w:rsidRDefault="005A5E7D" w:rsidP="005A5E7D">
      <w:pPr>
        <w:rPr>
          <w:b/>
          <w:lang w:val="es-AR"/>
        </w:rPr>
      </w:pPr>
      <w:r w:rsidRPr="00F47889">
        <w:rPr>
          <w:b/>
          <w:u w:val="single"/>
          <w:lang w:val="es-AR"/>
        </w:rPr>
        <w:t>ALBA-TCP</w:t>
      </w:r>
      <w:r>
        <w:rPr>
          <w:b/>
          <w:lang w:val="es-AR"/>
        </w:rPr>
        <w:t xml:space="preserve">: </w:t>
      </w:r>
      <w:r>
        <w:rPr>
          <w:lang w:val="es-AR"/>
        </w:rPr>
        <w:t>La Alianza Bolivariana para las Amé</w:t>
      </w:r>
      <w:r w:rsidRPr="00C156E2">
        <w:rPr>
          <w:lang w:val="es-AR"/>
        </w:rPr>
        <w:t>rica</w:t>
      </w:r>
      <w:r>
        <w:rPr>
          <w:lang w:val="es-AR"/>
        </w:rPr>
        <w:t xml:space="preserve">s es una plataforma </w:t>
      </w:r>
      <w:r w:rsidRPr="00C156E2">
        <w:rPr>
          <w:lang w:val="es-AR"/>
        </w:rPr>
        <w:t xml:space="preserve">que pretende la integración económica, social y política de Latinoamérica y el Caribe. Esta organización </w:t>
      </w:r>
      <w:r>
        <w:rPr>
          <w:lang w:val="es-AR"/>
        </w:rPr>
        <w:t>fomenta</w:t>
      </w:r>
      <w:r w:rsidRPr="00C156E2">
        <w:rPr>
          <w:lang w:val="es-AR"/>
        </w:rPr>
        <w:t xml:space="preserve"> el desarrollo de los países miembros sobre las bases de una alianza económica, política y social</w:t>
      </w:r>
      <w:r>
        <w:rPr>
          <w:lang w:val="es-AR"/>
        </w:rPr>
        <w:t>,</w:t>
      </w:r>
      <w:r w:rsidRPr="00C156E2">
        <w:rPr>
          <w:lang w:val="es-AR"/>
        </w:rPr>
        <w:t xml:space="preserve"> re</w:t>
      </w:r>
      <w:r>
        <w:rPr>
          <w:lang w:val="es-AR"/>
        </w:rPr>
        <w:t>sguardando la autodeterminación y la solidaridad,</w:t>
      </w:r>
      <w:r w:rsidRPr="00C156E2">
        <w:rPr>
          <w:lang w:val="es-AR"/>
        </w:rPr>
        <w:t xml:space="preserve"> en un contexto libre de prácticas comerciales rentistas a costa de las poblaciones de dichas naciones (ALBA). Los esfuerzos para el desarrollo van desde educación y eliminación de</w:t>
      </w:r>
      <w:r>
        <w:rPr>
          <w:lang w:val="es-AR"/>
        </w:rPr>
        <w:t>l</w:t>
      </w:r>
      <w:r w:rsidRPr="00C156E2">
        <w:rPr>
          <w:lang w:val="es-AR"/>
        </w:rPr>
        <w:t xml:space="preserve"> analfabetismo, acuerdos de cooperación en salud</w:t>
      </w:r>
      <w:r>
        <w:rPr>
          <w:lang w:val="es-AR"/>
        </w:rPr>
        <w:t>,</w:t>
      </w:r>
      <w:r w:rsidRPr="00C156E2">
        <w:rPr>
          <w:lang w:val="es-AR"/>
        </w:rPr>
        <w:t xml:space="preserve"> hasta integración financiera a través del Banco del ALBA y una moneda electrónica en común para efectuar transacciones comerciales (el Sucre).</w:t>
      </w:r>
    </w:p>
    <w:p w:rsidR="005A5E7D" w:rsidRPr="00C156E2" w:rsidRDefault="005A5E7D" w:rsidP="005A5E7D">
      <w:pPr>
        <w:rPr>
          <w:lang w:val="es-AR"/>
        </w:rPr>
      </w:pPr>
      <w:r w:rsidRPr="00C156E2">
        <w:rPr>
          <w:lang w:val="es-AR"/>
        </w:rPr>
        <w:t>Actualmente</w:t>
      </w:r>
      <w:r>
        <w:rPr>
          <w:lang w:val="es-AR"/>
        </w:rPr>
        <w:t>,</w:t>
      </w:r>
      <w:r w:rsidRPr="00C156E2">
        <w:rPr>
          <w:lang w:val="es-AR"/>
        </w:rPr>
        <w:t xml:space="preserve"> la organización cuenta con los siguientes miembros: Venezuela, Bolivia, Dominica, Ec</w:t>
      </w:r>
      <w:r>
        <w:rPr>
          <w:lang w:val="es-AR"/>
        </w:rPr>
        <w:t>uador, Cuba, Surinam, Santa Lucí</w:t>
      </w:r>
      <w:r w:rsidRPr="00C156E2">
        <w:rPr>
          <w:lang w:val="es-AR"/>
        </w:rPr>
        <w:t xml:space="preserve">a, San Vicente y las Granadinas, Antigua y Barbuda, y </w:t>
      </w:r>
      <w:r w:rsidRPr="00874BA0">
        <w:rPr>
          <w:lang w:val="es-AR"/>
        </w:rPr>
        <w:t>Nicaragua. Esta área de cooperación social-comercial cuenta con 70 millones de habitantes.</w:t>
      </w:r>
      <w:r>
        <w:rPr>
          <w:lang w:val="es-AR"/>
        </w:rPr>
        <w:t xml:space="preserve"> L</w:t>
      </w:r>
      <w:r w:rsidRPr="00C156E2">
        <w:rPr>
          <w:lang w:val="es-AR"/>
        </w:rPr>
        <w:t xml:space="preserve">a </w:t>
      </w:r>
      <w:r>
        <w:rPr>
          <w:lang w:val="es-AR"/>
        </w:rPr>
        <w:t>iniciativa</w:t>
      </w:r>
      <w:r w:rsidRPr="00C156E2">
        <w:rPr>
          <w:lang w:val="es-AR"/>
        </w:rPr>
        <w:t xml:space="preserve"> Petrocaribe</w:t>
      </w:r>
      <w:r>
        <w:rPr>
          <w:lang w:val="es-AR"/>
        </w:rPr>
        <w:t xml:space="preserve"> está</w:t>
      </w:r>
      <w:r w:rsidRPr="00874BA0">
        <w:rPr>
          <w:lang w:val="es-AR"/>
        </w:rPr>
        <w:t xml:space="preserve"> </w:t>
      </w:r>
      <w:r>
        <w:rPr>
          <w:lang w:val="es-AR"/>
        </w:rPr>
        <w:t>estrechamente relacionada</w:t>
      </w:r>
      <w:r w:rsidRPr="00874BA0">
        <w:rPr>
          <w:lang w:val="es-AR"/>
        </w:rPr>
        <w:t xml:space="preserve"> </w:t>
      </w:r>
      <w:r>
        <w:rPr>
          <w:lang w:val="es-AR"/>
        </w:rPr>
        <w:t xml:space="preserve">a </w:t>
      </w:r>
      <w:r w:rsidRPr="00874BA0">
        <w:rPr>
          <w:lang w:val="es-AR"/>
        </w:rPr>
        <w:t>dicha or</w:t>
      </w:r>
      <w:r w:rsidRPr="00C156E2">
        <w:rPr>
          <w:lang w:val="es-AR"/>
        </w:rPr>
        <w:t>ganización por parte de Venezuela</w:t>
      </w:r>
      <w:r>
        <w:rPr>
          <w:lang w:val="es-AR"/>
        </w:rPr>
        <w:t>;</w:t>
      </w:r>
      <w:r w:rsidRPr="00C156E2">
        <w:rPr>
          <w:lang w:val="es-AR"/>
        </w:rPr>
        <w:t xml:space="preserve"> busca brindar seguridad energética a los países del Caribe </w:t>
      </w:r>
      <w:r>
        <w:rPr>
          <w:lang w:val="es-AR"/>
        </w:rPr>
        <w:t>a través de</w:t>
      </w:r>
      <w:r w:rsidRPr="00C156E2">
        <w:rPr>
          <w:lang w:val="es-AR"/>
        </w:rPr>
        <w:t xml:space="preserve"> precios subsidiados y </w:t>
      </w:r>
      <w:r>
        <w:rPr>
          <w:lang w:val="es-AR"/>
        </w:rPr>
        <w:t>el desarrollo de</w:t>
      </w:r>
      <w:r w:rsidRPr="00C156E2">
        <w:rPr>
          <w:lang w:val="es-AR"/>
        </w:rPr>
        <w:t xml:space="preserve"> empresas mixtas dedicadas al hidrocarburo, con </w:t>
      </w:r>
      <w:r>
        <w:rPr>
          <w:lang w:val="es-AR"/>
        </w:rPr>
        <w:t xml:space="preserve">una </w:t>
      </w:r>
      <w:r w:rsidRPr="00C156E2">
        <w:rPr>
          <w:lang w:val="es-AR"/>
        </w:rPr>
        <w:t>financiación a 17-25 años y a tasas preferenciales de</w:t>
      </w:r>
      <w:r>
        <w:rPr>
          <w:lang w:val="es-AR"/>
        </w:rPr>
        <w:t>l</w:t>
      </w:r>
      <w:r w:rsidRPr="00C156E2">
        <w:rPr>
          <w:lang w:val="es-AR"/>
        </w:rPr>
        <w:t xml:space="preserve"> 2-4%</w:t>
      </w:r>
      <w:r w:rsidRPr="00C156E2">
        <w:rPr>
          <w:color w:val="000000"/>
          <w:shd w:val="clear" w:color="auto" w:fill="FFFFFF"/>
          <w:lang w:val="es-AR"/>
        </w:rPr>
        <w:t xml:space="preserve"> (Altmann 2009; Primera 2013).</w:t>
      </w:r>
      <w:r w:rsidRPr="00C156E2">
        <w:rPr>
          <w:lang w:val="es-AR"/>
        </w:rPr>
        <w:t xml:space="preserve"> </w:t>
      </w:r>
    </w:p>
    <w:p w:rsidR="005A5E7D" w:rsidRDefault="005A5E7D" w:rsidP="005A5E7D">
      <w:pPr>
        <w:rPr>
          <w:color w:val="000000"/>
          <w:shd w:val="clear" w:color="auto" w:fill="FFFFFF"/>
          <w:lang w:val="es-AR"/>
        </w:rPr>
      </w:pPr>
      <w:r w:rsidRPr="00C156E2">
        <w:rPr>
          <w:lang w:val="es-AR"/>
        </w:rPr>
        <w:t>El acuerdo también busca la sobera</w:t>
      </w:r>
      <w:r>
        <w:rPr>
          <w:lang w:val="es-AR"/>
        </w:rPr>
        <w:t xml:space="preserve">nía y seguridad alimentaria de los </w:t>
      </w:r>
      <w:r w:rsidRPr="00C156E2">
        <w:rPr>
          <w:lang w:val="es-AR"/>
        </w:rPr>
        <w:t>países miembros</w:t>
      </w:r>
      <w:r>
        <w:rPr>
          <w:lang w:val="es-AR"/>
        </w:rPr>
        <w:t>,</w:t>
      </w:r>
      <w:r w:rsidRPr="00C156E2">
        <w:rPr>
          <w:lang w:val="es-AR"/>
        </w:rPr>
        <w:t xml:space="preserve"> con acuerdos de cooperación en la producción, innovación, intercambio y sustentabilidad de productos alimenticios. </w:t>
      </w:r>
      <w:r w:rsidRPr="00C156E2">
        <w:rPr>
          <w:color w:val="000000"/>
          <w:shd w:val="clear" w:color="auto" w:fill="FFFFFF"/>
          <w:lang w:val="es-AR"/>
        </w:rPr>
        <w:t xml:space="preserve">Nicaragua pasó de tener </w:t>
      </w:r>
      <w:r>
        <w:rPr>
          <w:color w:val="000000"/>
          <w:shd w:val="clear" w:color="auto" w:fill="FFFFFF"/>
          <w:lang w:val="es-AR"/>
        </w:rPr>
        <w:t xml:space="preserve">un </w:t>
      </w:r>
      <w:r w:rsidRPr="00C156E2">
        <w:rPr>
          <w:color w:val="000000"/>
          <w:shd w:val="clear" w:color="auto" w:fill="FFFFFF"/>
          <w:lang w:val="es-AR"/>
        </w:rPr>
        <w:t>déficit energético a un superávit en la producción energética</w:t>
      </w:r>
      <w:r>
        <w:rPr>
          <w:color w:val="000000"/>
          <w:shd w:val="clear" w:color="auto" w:fill="FFFFFF"/>
          <w:lang w:val="es-AR"/>
        </w:rPr>
        <w:t>, luego de</w:t>
      </w:r>
      <w:r w:rsidRPr="00C156E2">
        <w:rPr>
          <w:color w:val="000000"/>
          <w:shd w:val="clear" w:color="auto" w:fill="FFFFFF"/>
          <w:lang w:val="es-AR"/>
        </w:rPr>
        <w:t>l acuerdo de cooperación con el ALBA</w:t>
      </w:r>
      <w:r>
        <w:rPr>
          <w:color w:val="000000"/>
          <w:shd w:val="clear" w:color="auto" w:fill="FFFFFF"/>
          <w:lang w:val="es-AR"/>
        </w:rPr>
        <w:t>. Además</w:t>
      </w:r>
      <w:r w:rsidRPr="00C156E2">
        <w:rPr>
          <w:color w:val="000000"/>
          <w:shd w:val="clear" w:color="auto" w:fill="FFFFFF"/>
          <w:lang w:val="es-AR"/>
        </w:rPr>
        <w:t>, expandió su red comercial</w:t>
      </w:r>
      <w:r>
        <w:t xml:space="preserve">, </w:t>
      </w:r>
      <w:r w:rsidRPr="00C156E2">
        <w:rPr>
          <w:color w:val="000000"/>
          <w:shd w:val="clear" w:color="auto" w:fill="FFFFFF"/>
          <w:lang w:val="es-AR"/>
        </w:rPr>
        <w:t>principalmente con Venezuela</w:t>
      </w:r>
      <w:r>
        <w:rPr>
          <w:color w:val="000000"/>
          <w:shd w:val="clear" w:color="auto" w:fill="FFFFFF"/>
          <w:lang w:val="es-AR"/>
        </w:rPr>
        <w:t>,</w:t>
      </w:r>
      <w:r w:rsidRPr="00C156E2">
        <w:rPr>
          <w:color w:val="000000"/>
          <w:shd w:val="clear" w:color="auto" w:fill="FFFFFF"/>
          <w:lang w:val="es-AR"/>
        </w:rPr>
        <w:t xml:space="preserve"> cuyas</w:t>
      </w:r>
      <w:r>
        <w:rPr>
          <w:color w:val="000000"/>
          <w:shd w:val="clear" w:color="auto" w:fill="FFFFFF"/>
          <w:lang w:val="es-AR"/>
        </w:rPr>
        <w:t xml:space="preserve"> exportaciones a ese país eran </w:t>
      </w:r>
      <w:r w:rsidRPr="00C156E2">
        <w:rPr>
          <w:color w:val="000000"/>
          <w:shd w:val="clear" w:color="auto" w:fill="FFFFFF"/>
          <w:lang w:val="es-AR"/>
        </w:rPr>
        <w:t xml:space="preserve">$10 </w:t>
      </w:r>
      <w:r>
        <w:rPr>
          <w:color w:val="000000"/>
          <w:shd w:val="clear" w:color="auto" w:fill="FFFFFF"/>
          <w:lang w:val="es-AR"/>
        </w:rPr>
        <w:t>millones en 2007 y llegaron a $307 millones en 2012. T</w:t>
      </w:r>
      <w:r w:rsidRPr="00C156E2">
        <w:rPr>
          <w:color w:val="000000"/>
          <w:shd w:val="clear" w:color="auto" w:fill="FFFFFF"/>
          <w:lang w:val="es-AR"/>
        </w:rPr>
        <w:t xml:space="preserve">ambién se </w:t>
      </w:r>
      <w:r>
        <w:rPr>
          <w:color w:val="000000"/>
          <w:shd w:val="clear" w:color="auto" w:fill="FFFFFF"/>
          <w:lang w:val="es-AR"/>
        </w:rPr>
        <w:t>han pactado programas agro</w:t>
      </w:r>
      <w:r w:rsidRPr="00C156E2">
        <w:rPr>
          <w:color w:val="000000"/>
          <w:shd w:val="clear" w:color="auto" w:fill="FFFFFF"/>
          <w:lang w:val="es-AR"/>
        </w:rPr>
        <w:t>aliment</w:t>
      </w:r>
      <w:r>
        <w:rPr>
          <w:color w:val="000000"/>
          <w:shd w:val="clear" w:color="auto" w:fill="FFFFFF"/>
          <w:lang w:val="es-AR"/>
        </w:rPr>
        <w:t>ario</w:t>
      </w:r>
      <w:r w:rsidRPr="00C156E2">
        <w:rPr>
          <w:color w:val="000000"/>
          <w:shd w:val="clear" w:color="auto" w:fill="FFFFFF"/>
          <w:lang w:val="es-AR"/>
        </w:rPr>
        <w:t>s para</w:t>
      </w:r>
      <w:r>
        <w:rPr>
          <w:color w:val="000000"/>
          <w:shd w:val="clear" w:color="auto" w:fill="FFFFFF"/>
          <w:lang w:val="es-AR"/>
        </w:rPr>
        <w:t xml:space="preserve"> el</w:t>
      </w:r>
      <w:r w:rsidRPr="00C156E2">
        <w:rPr>
          <w:color w:val="000000"/>
          <w:shd w:val="clear" w:color="auto" w:fill="FFFFFF"/>
          <w:lang w:val="es-AR"/>
        </w:rPr>
        <w:t xml:space="preserve"> 2016</w:t>
      </w:r>
      <w:r>
        <w:rPr>
          <w:color w:val="000000"/>
          <w:shd w:val="clear" w:color="auto" w:fill="FFFFFF"/>
          <w:lang w:val="es-AR"/>
        </w:rPr>
        <w:t>,</w:t>
      </w:r>
      <w:r w:rsidRPr="00C156E2">
        <w:rPr>
          <w:color w:val="000000"/>
          <w:shd w:val="clear" w:color="auto" w:fill="FFFFFF"/>
          <w:lang w:val="es-AR"/>
        </w:rPr>
        <w:t xml:space="preserve"> </w:t>
      </w:r>
      <w:r>
        <w:rPr>
          <w:color w:val="000000"/>
          <w:shd w:val="clear" w:color="auto" w:fill="FFFFFF"/>
          <w:lang w:val="es-AR"/>
        </w:rPr>
        <w:t>que incluyen</w:t>
      </w:r>
      <w:r w:rsidRPr="00C156E2">
        <w:rPr>
          <w:color w:val="000000"/>
          <w:shd w:val="clear" w:color="auto" w:fill="FFFFFF"/>
          <w:lang w:val="es-AR"/>
        </w:rPr>
        <w:t>: mejoramiento de genética de ganadería vacuna, planta procesadora de leche en polvo, planta de matadero industrial, programas de riego y la reactiv</w:t>
      </w:r>
      <w:r>
        <w:rPr>
          <w:color w:val="000000"/>
          <w:shd w:val="clear" w:color="auto" w:fill="FFFFFF"/>
          <w:lang w:val="es-AR"/>
        </w:rPr>
        <w:t>ación del programa algodonero (</w:t>
      </w:r>
      <w:r w:rsidRPr="00515020">
        <w:rPr>
          <w:i/>
          <w:color w:val="000000"/>
          <w:shd w:val="clear" w:color="auto" w:fill="FFFFFF"/>
          <w:lang w:val="es-AR"/>
        </w:rPr>
        <w:t>Comitee on World Food Security</w:t>
      </w:r>
      <w:r>
        <w:rPr>
          <w:color w:val="000000"/>
          <w:shd w:val="clear" w:color="auto" w:fill="FFFFFF"/>
          <w:lang w:val="es-AR"/>
        </w:rPr>
        <w:t>).</w:t>
      </w:r>
    </w:p>
    <w:p w:rsidR="005A5E7D" w:rsidRPr="00C156E2" w:rsidRDefault="005A5E7D" w:rsidP="005A5E7D">
      <w:pPr>
        <w:rPr>
          <w:color w:val="000000"/>
          <w:shd w:val="clear" w:color="auto" w:fill="FFFFFF"/>
          <w:lang w:val="es-AR"/>
        </w:rPr>
      </w:pPr>
      <w:r w:rsidRPr="00C156E2">
        <w:rPr>
          <w:color w:val="000000"/>
          <w:shd w:val="clear" w:color="auto" w:fill="FFFFFF"/>
          <w:lang w:val="es-AR"/>
        </w:rPr>
        <w:t>Puerto Rico podría insertarse en este acuerdo</w:t>
      </w:r>
      <w:r>
        <w:rPr>
          <w:color w:val="000000"/>
          <w:shd w:val="clear" w:color="auto" w:fill="FFFFFF"/>
          <w:lang w:val="es-AR"/>
        </w:rPr>
        <w:t xml:space="preserve"> e intentar obtener </w:t>
      </w:r>
      <w:r w:rsidRPr="00C156E2">
        <w:rPr>
          <w:color w:val="000000"/>
          <w:shd w:val="clear" w:color="auto" w:fill="FFFFFF"/>
          <w:lang w:val="es-AR"/>
        </w:rPr>
        <w:t>beneficios</w:t>
      </w:r>
      <w:r>
        <w:rPr>
          <w:color w:val="000000"/>
          <w:shd w:val="clear" w:color="auto" w:fill="FFFFFF"/>
          <w:lang w:val="es-AR"/>
        </w:rPr>
        <w:t>, particularmente</w:t>
      </w:r>
      <w:r w:rsidRPr="00C156E2">
        <w:rPr>
          <w:color w:val="000000"/>
          <w:shd w:val="clear" w:color="auto" w:fill="FFFFFF"/>
          <w:lang w:val="es-AR"/>
        </w:rPr>
        <w:t xml:space="preserve"> en el sector energético, </w:t>
      </w:r>
      <w:r>
        <w:rPr>
          <w:color w:val="000000"/>
          <w:shd w:val="clear" w:color="auto" w:fill="FFFFFF"/>
          <w:lang w:val="es-AR"/>
        </w:rPr>
        <w:t xml:space="preserve">en </w:t>
      </w:r>
      <w:r w:rsidRPr="00C156E2">
        <w:rPr>
          <w:color w:val="000000"/>
          <w:shd w:val="clear" w:color="auto" w:fill="FFFFFF"/>
          <w:lang w:val="es-AR"/>
        </w:rPr>
        <w:t>programas de soberanía aliment</w:t>
      </w:r>
      <w:r>
        <w:rPr>
          <w:color w:val="000000"/>
          <w:shd w:val="clear" w:color="auto" w:fill="FFFFFF"/>
          <w:lang w:val="es-AR"/>
        </w:rPr>
        <w:t>ari</w:t>
      </w:r>
      <w:r w:rsidRPr="00C156E2">
        <w:rPr>
          <w:color w:val="000000"/>
          <w:shd w:val="clear" w:color="auto" w:fill="FFFFFF"/>
          <w:lang w:val="es-AR"/>
        </w:rPr>
        <w:t>a para reactivar la agricultura nacional</w:t>
      </w:r>
      <w:r>
        <w:rPr>
          <w:color w:val="000000"/>
          <w:shd w:val="clear" w:color="auto" w:fill="FFFFFF"/>
          <w:lang w:val="es-AR"/>
        </w:rPr>
        <w:t>,</w:t>
      </w:r>
      <w:r w:rsidRPr="00C156E2">
        <w:rPr>
          <w:color w:val="000000"/>
          <w:shd w:val="clear" w:color="auto" w:fill="FFFFFF"/>
          <w:lang w:val="es-AR"/>
        </w:rPr>
        <w:t xml:space="preserve"> y competir por un espacio en la importación de productos químicos y conexos (</w:t>
      </w:r>
      <w:r>
        <w:rPr>
          <w:color w:val="000000"/>
          <w:shd w:val="clear" w:color="auto" w:fill="FFFFFF"/>
          <w:lang w:val="es-AR"/>
        </w:rPr>
        <w:t xml:space="preserve">el </w:t>
      </w:r>
      <w:r w:rsidRPr="00C156E2">
        <w:rPr>
          <w:color w:val="000000"/>
          <w:shd w:val="clear" w:color="auto" w:fill="FFFFFF"/>
          <w:lang w:val="es-AR"/>
        </w:rPr>
        <w:t>17% de importaciones de ALBA)</w:t>
      </w:r>
      <w:r>
        <w:rPr>
          <w:color w:val="000000"/>
          <w:shd w:val="clear" w:color="auto" w:fill="FFFFFF"/>
          <w:lang w:val="es-AR"/>
        </w:rPr>
        <w:t>,</w:t>
      </w:r>
      <w:r w:rsidRPr="00C156E2">
        <w:rPr>
          <w:color w:val="000000"/>
          <w:shd w:val="clear" w:color="auto" w:fill="FFFFFF"/>
          <w:lang w:val="es-AR"/>
        </w:rPr>
        <w:t xml:space="preserve"> y suministros y equipos médicos</w:t>
      </w:r>
      <w:r>
        <w:rPr>
          <w:color w:val="000000"/>
          <w:shd w:val="clear" w:color="auto" w:fill="FFFFFF"/>
          <w:lang w:val="es-AR"/>
        </w:rPr>
        <w:t>,</w:t>
      </w:r>
      <w:r w:rsidRPr="00C156E2">
        <w:rPr>
          <w:color w:val="000000"/>
          <w:shd w:val="clear" w:color="auto" w:fill="FFFFFF"/>
          <w:lang w:val="es-AR"/>
        </w:rPr>
        <w:t xml:space="preserve"> entre otros.</w:t>
      </w:r>
    </w:p>
    <w:p w:rsidR="005A5E7D" w:rsidRDefault="005A5E7D" w:rsidP="005A5E7D">
      <w:pPr>
        <w:rPr>
          <w:color w:val="000000"/>
          <w:shd w:val="clear" w:color="auto" w:fill="FFFFFF"/>
          <w:lang w:val="es-AR"/>
        </w:rPr>
      </w:pPr>
      <w:r w:rsidRPr="00F47889">
        <w:rPr>
          <w:b/>
          <w:color w:val="000000"/>
          <w:u w:val="single"/>
          <w:shd w:val="clear" w:color="auto" w:fill="FFFFFF"/>
          <w:lang w:val="es-AR"/>
        </w:rPr>
        <w:t>ALADI</w:t>
      </w:r>
      <w:r>
        <w:rPr>
          <w:b/>
          <w:color w:val="000000"/>
          <w:shd w:val="clear" w:color="auto" w:fill="FFFFFF"/>
          <w:lang w:val="es-AR"/>
        </w:rPr>
        <w:t xml:space="preserve">: </w:t>
      </w:r>
      <w:r w:rsidRPr="00C156E2">
        <w:rPr>
          <w:color w:val="000000"/>
          <w:shd w:val="clear" w:color="auto" w:fill="FFFFFF"/>
          <w:lang w:val="es-AR"/>
        </w:rPr>
        <w:t xml:space="preserve">El ALADI es el mayor grupo de integración de Latinoamérica que cuenta con </w:t>
      </w:r>
      <w:r>
        <w:rPr>
          <w:color w:val="000000"/>
          <w:shd w:val="clear" w:color="auto" w:fill="FFFFFF"/>
          <w:lang w:val="es-AR"/>
        </w:rPr>
        <w:t>trece</w:t>
      </w:r>
      <w:r w:rsidRPr="00C156E2">
        <w:rPr>
          <w:color w:val="000000"/>
          <w:shd w:val="clear" w:color="auto" w:fill="FFFFFF"/>
          <w:lang w:val="es-AR"/>
        </w:rPr>
        <w:t xml:space="preserve"> países: Argentina, Bolivia, Brasil, Chile, Colombia, Cuba, Ecuador, México, Panamá, Paraguay, Perú, Uruguay y Venezuela.</w:t>
      </w:r>
      <w:r>
        <w:rPr>
          <w:color w:val="000000"/>
          <w:shd w:val="clear" w:color="auto" w:fill="FFFFFF"/>
          <w:lang w:val="es-AR"/>
        </w:rPr>
        <w:t xml:space="preserve"> Tiene</w:t>
      </w:r>
      <w:r w:rsidRPr="00C156E2">
        <w:rPr>
          <w:color w:val="000000"/>
          <w:shd w:val="clear" w:color="auto" w:fill="FFFFFF"/>
          <w:lang w:val="es-AR"/>
        </w:rPr>
        <w:t xml:space="preserve"> un mercado de 510 millones de habitantes y un comercio intrarregional de más de </w:t>
      </w:r>
      <w:r>
        <w:rPr>
          <w:color w:val="000000"/>
          <w:shd w:val="clear" w:color="auto" w:fill="FFFFFF"/>
          <w:lang w:val="es-AR"/>
        </w:rPr>
        <w:t>$</w:t>
      </w:r>
      <w:r w:rsidRPr="00C156E2">
        <w:rPr>
          <w:color w:val="000000"/>
          <w:shd w:val="clear" w:color="auto" w:fill="FFFFFF"/>
          <w:lang w:val="es-AR"/>
        </w:rPr>
        <w:t>240</w:t>
      </w:r>
      <w:r>
        <w:rPr>
          <w:color w:val="000000"/>
          <w:shd w:val="clear" w:color="auto" w:fill="FFFFFF"/>
          <w:lang w:val="es-AR"/>
        </w:rPr>
        <w:t>,000</w:t>
      </w:r>
      <w:r w:rsidRPr="00C156E2">
        <w:rPr>
          <w:color w:val="000000"/>
          <w:shd w:val="clear" w:color="auto" w:fill="FFFFFF"/>
          <w:lang w:val="es-AR"/>
        </w:rPr>
        <w:t xml:space="preserve"> millones (ALADI</w:t>
      </w:r>
      <w:r>
        <w:rPr>
          <w:color w:val="000000"/>
          <w:shd w:val="clear" w:color="auto" w:fill="FFFFFF"/>
          <w:lang w:val="es-AR"/>
        </w:rPr>
        <w:t>, 2012).</w:t>
      </w:r>
    </w:p>
    <w:p w:rsidR="005A5E7D" w:rsidRDefault="005A5E7D" w:rsidP="005A5E7D">
      <w:pPr>
        <w:rPr>
          <w:color w:val="000000"/>
          <w:shd w:val="clear" w:color="auto" w:fill="FFFFFF"/>
          <w:lang w:val="es-AR"/>
        </w:rPr>
      </w:pPr>
      <w:r>
        <w:rPr>
          <w:color w:val="000000"/>
          <w:shd w:val="clear" w:color="auto" w:fill="FFFFFF"/>
          <w:lang w:val="es-AR"/>
        </w:rPr>
        <w:t>P</w:t>
      </w:r>
      <w:r w:rsidRPr="00C156E2">
        <w:rPr>
          <w:color w:val="000000"/>
          <w:shd w:val="clear" w:color="auto" w:fill="FFFFFF"/>
          <w:lang w:val="es-AR"/>
        </w:rPr>
        <w:t>ropicia la creación de un mercado común latinoamericano con diversas ventajas</w:t>
      </w:r>
      <w:r>
        <w:rPr>
          <w:color w:val="000000"/>
          <w:shd w:val="clear" w:color="auto" w:fill="FFFFFF"/>
          <w:lang w:val="es-AR"/>
        </w:rPr>
        <w:t>, tales</w:t>
      </w:r>
      <w:r w:rsidRPr="00C156E2">
        <w:rPr>
          <w:color w:val="000000"/>
          <w:shd w:val="clear" w:color="auto" w:fill="FFFFFF"/>
          <w:lang w:val="es-AR"/>
        </w:rPr>
        <w:t xml:space="preserve"> como: preferencias arancelarias regionales a todos los miembros </w:t>
      </w:r>
      <w:r>
        <w:rPr>
          <w:color w:val="000000"/>
          <w:shd w:val="clear" w:color="auto" w:fill="FFFFFF"/>
          <w:lang w:val="es-AR"/>
        </w:rPr>
        <w:t xml:space="preserve">versus </w:t>
      </w:r>
      <w:r w:rsidRPr="00C156E2">
        <w:rPr>
          <w:color w:val="000000"/>
          <w:shd w:val="clear" w:color="auto" w:fill="FFFFFF"/>
          <w:lang w:val="es-AR"/>
        </w:rPr>
        <w:t>arance</w:t>
      </w:r>
      <w:r>
        <w:rPr>
          <w:color w:val="000000"/>
          <w:shd w:val="clear" w:color="auto" w:fill="FFFFFF"/>
          <w:lang w:val="es-AR"/>
        </w:rPr>
        <w:t>les vigentes de terceros países</w:t>
      </w:r>
      <w:r w:rsidRPr="00C156E2">
        <w:rPr>
          <w:color w:val="000000"/>
          <w:shd w:val="clear" w:color="auto" w:fill="FFFFFF"/>
          <w:lang w:val="es-AR"/>
        </w:rPr>
        <w:t>, acuerdos de alcance regional y acuerdos de alcance parcial</w:t>
      </w:r>
      <w:r>
        <w:rPr>
          <w:color w:val="000000"/>
          <w:shd w:val="clear" w:color="auto" w:fill="FFFFFF"/>
          <w:lang w:val="es-AR"/>
        </w:rPr>
        <w:t>. D</w:t>
      </w:r>
      <w:r w:rsidRPr="00C156E2">
        <w:rPr>
          <w:color w:val="000000"/>
          <w:shd w:val="clear" w:color="auto" w:fill="FFFFFF"/>
          <w:lang w:val="es-AR"/>
        </w:rPr>
        <w:t xml:space="preserve">ichos acuerdos pueden contemplar: </w:t>
      </w:r>
      <w:r>
        <w:rPr>
          <w:color w:val="000000"/>
          <w:shd w:val="clear" w:color="auto" w:fill="FFFFFF"/>
          <w:lang w:val="es-AR"/>
        </w:rPr>
        <w:t>eliminación de aranceles</w:t>
      </w:r>
      <w:r w:rsidRPr="00C156E2">
        <w:rPr>
          <w:color w:val="000000"/>
          <w:shd w:val="clear" w:color="auto" w:fill="FFFFFF"/>
          <w:lang w:val="es-AR"/>
        </w:rPr>
        <w:t xml:space="preserve"> y promoción del comercio; complementación económica; comercio agropecuario; cooperación financiera, tributaria, aduanera</w:t>
      </w:r>
      <w:r>
        <w:rPr>
          <w:color w:val="000000"/>
          <w:shd w:val="clear" w:color="auto" w:fill="FFFFFF"/>
          <w:lang w:val="es-AR"/>
        </w:rPr>
        <w:t xml:space="preserve"> y</w:t>
      </w:r>
      <w:r w:rsidRPr="00C156E2">
        <w:rPr>
          <w:color w:val="000000"/>
          <w:shd w:val="clear" w:color="auto" w:fill="FFFFFF"/>
          <w:lang w:val="es-AR"/>
        </w:rPr>
        <w:t xml:space="preserve"> sanitaria; preservación del medio ambiente; cooperación científica y tecnológica; </w:t>
      </w:r>
      <w:r>
        <w:rPr>
          <w:color w:val="000000"/>
          <w:shd w:val="clear" w:color="auto" w:fill="FFFFFF"/>
          <w:lang w:val="es-AR"/>
        </w:rPr>
        <w:t xml:space="preserve">y </w:t>
      </w:r>
      <w:r w:rsidRPr="00C156E2">
        <w:rPr>
          <w:color w:val="000000"/>
          <w:shd w:val="clear" w:color="auto" w:fill="FFFFFF"/>
          <w:lang w:val="es-AR"/>
        </w:rPr>
        <w:t>promoción del turismo.</w:t>
      </w:r>
    </w:p>
    <w:p w:rsidR="005A5E7D" w:rsidRDefault="005A5E7D" w:rsidP="005A5E7D">
      <w:pPr>
        <w:rPr>
          <w:color w:val="000000"/>
          <w:shd w:val="clear" w:color="auto" w:fill="FFFFFF"/>
          <w:lang w:val="es-AR"/>
        </w:rPr>
      </w:pPr>
      <w:r>
        <w:rPr>
          <w:color w:val="000000"/>
          <w:shd w:val="clear" w:color="auto" w:fill="FFFFFF"/>
          <w:lang w:val="es-AR"/>
        </w:rPr>
        <w:t>Los</w:t>
      </w:r>
      <w:r w:rsidRPr="00C156E2">
        <w:rPr>
          <w:color w:val="000000"/>
          <w:shd w:val="clear" w:color="auto" w:fill="FFFFFF"/>
          <w:lang w:val="es-AR"/>
        </w:rPr>
        <w:t xml:space="preserve"> países </w:t>
      </w:r>
      <w:r>
        <w:rPr>
          <w:color w:val="000000"/>
          <w:shd w:val="clear" w:color="auto" w:fill="FFFFFF"/>
          <w:lang w:val="es-AR"/>
        </w:rPr>
        <w:t xml:space="preserve">con un </w:t>
      </w:r>
      <w:r w:rsidRPr="00C156E2">
        <w:rPr>
          <w:color w:val="000000"/>
          <w:shd w:val="clear" w:color="auto" w:fill="FFFFFF"/>
          <w:lang w:val="es-AR"/>
        </w:rPr>
        <w:t xml:space="preserve">desarrollo económico relativo </w:t>
      </w:r>
      <w:r>
        <w:rPr>
          <w:color w:val="000000"/>
          <w:shd w:val="clear" w:color="auto" w:fill="FFFFFF"/>
          <w:lang w:val="es-AR"/>
        </w:rPr>
        <w:t xml:space="preserve">menor </w:t>
      </w:r>
      <w:r w:rsidRPr="00C156E2">
        <w:rPr>
          <w:color w:val="000000"/>
          <w:shd w:val="clear" w:color="auto" w:fill="FFFFFF"/>
          <w:lang w:val="es-AR"/>
        </w:rPr>
        <w:t xml:space="preserve">poseen un sistema preferencial (ALADI 2012). La organización propone como preocupación central el desarrollo de las </w:t>
      </w:r>
      <w:r>
        <w:rPr>
          <w:color w:val="000000"/>
          <w:shd w:val="clear" w:color="auto" w:fill="FFFFFF"/>
          <w:lang w:val="es-AR"/>
        </w:rPr>
        <w:t>pymes</w:t>
      </w:r>
      <w:r w:rsidRPr="00C156E2">
        <w:rPr>
          <w:color w:val="000000"/>
          <w:shd w:val="clear" w:color="auto" w:fill="FFFFFF"/>
          <w:lang w:val="es-AR"/>
        </w:rPr>
        <w:t xml:space="preserve"> (</w:t>
      </w:r>
      <w:r>
        <w:rPr>
          <w:color w:val="000000"/>
          <w:shd w:val="clear" w:color="auto" w:fill="FFFFFF"/>
          <w:lang w:val="es-AR"/>
        </w:rPr>
        <w:t>p</w:t>
      </w:r>
      <w:r w:rsidRPr="00C156E2">
        <w:rPr>
          <w:color w:val="000000"/>
          <w:shd w:val="clear" w:color="auto" w:fill="FFFFFF"/>
          <w:lang w:val="es-AR"/>
        </w:rPr>
        <w:t xml:space="preserve">equeñas y </w:t>
      </w:r>
      <w:r>
        <w:rPr>
          <w:color w:val="000000"/>
          <w:shd w:val="clear" w:color="auto" w:fill="FFFFFF"/>
          <w:lang w:val="es-AR"/>
        </w:rPr>
        <w:t>m</w:t>
      </w:r>
      <w:r w:rsidRPr="00C156E2">
        <w:rPr>
          <w:color w:val="000000"/>
          <w:shd w:val="clear" w:color="auto" w:fill="FFFFFF"/>
          <w:lang w:val="es-AR"/>
        </w:rPr>
        <w:t xml:space="preserve">edianas </w:t>
      </w:r>
      <w:r>
        <w:rPr>
          <w:color w:val="000000"/>
          <w:shd w:val="clear" w:color="auto" w:fill="FFFFFF"/>
          <w:lang w:val="es-AR"/>
        </w:rPr>
        <w:t>e</w:t>
      </w:r>
      <w:r w:rsidRPr="00C156E2">
        <w:rPr>
          <w:color w:val="000000"/>
          <w:shd w:val="clear" w:color="auto" w:fill="FFFFFF"/>
          <w:lang w:val="es-AR"/>
        </w:rPr>
        <w:t>mpresas) como pilar del desarrollo, ofrece programas de ayuda</w:t>
      </w:r>
      <w:r>
        <w:rPr>
          <w:color w:val="000000"/>
          <w:shd w:val="clear" w:color="auto" w:fill="FFFFFF"/>
          <w:lang w:val="es-AR"/>
        </w:rPr>
        <w:t xml:space="preserve">, </w:t>
      </w:r>
      <w:r w:rsidRPr="00C156E2">
        <w:rPr>
          <w:color w:val="000000"/>
          <w:shd w:val="clear" w:color="auto" w:fill="FFFFFF"/>
          <w:lang w:val="es-AR"/>
        </w:rPr>
        <w:t>capacitación</w:t>
      </w:r>
      <w:r>
        <w:rPr>
          <w:color w:val="000000"/>
          <w:shd w:val="clear" w:color="auto" w:fill="FFFFFF"/>
          <w:lang w:val="es-AR"/>
        </w:rPr>
        <w:t xml:space="preserve"> a empresarios y </w:t>
      </w:r>
      <w:r w:rsidRPr="00C156E2">
        <w:rPr>
          <w:color w:val="000000"/>
          <w:shd w:val="clear" w:color="auto" w:fill="FFFFFF"/>
          <w:lang w:val="es-AR"/>
        </w:rPr>
        <w:t xml:space="preserve">comercialización de sus productos </w:t>
      </w:r>
      <w:r>
        <w:rPr>
          <w:color w:val="000000"/>
          <w:shd w:val="clear" w:color="auto" w:fill="FFFFFF"/>
          <w:lang w:val="es-AR"/>
        </w:rPr>
        <w:t xml:space="preserve">a los miembros de ALADI </w:t>
      </w:r>
      <w:r w:rsidRPr="00C156E2">
        <w:rPr>
          <w:color w:val="000000"/>
          <w:shd w:val="clear" w:color="auto" w:fill="FFFFFF"/>
          <w:lang w:val="es-AR"/>
        </w:rPr>
        <w:t xml:space="preserve">(Rabczuk </w:t>
      </w:r>
      <w:r>
        <w:rPr>
          <w:color w:val="000000"/>
          <w:shd w:val="clear" w:color="auto" w:fill="FFFFFF"/>
          <w:lang w:val="es-AR"/>
        </w:rPr>
        <w:t>2010).</w:t>
      </w:r>
    </w:p>
    <w:p w:rsidR="005A5E7D" w:rsidRPr="00F47889" w:rsidRDefault="005A5E7D" w:rsidP="005A5E7D">
      <w:pPr>
        <w:rPr>
          <w:b/>
          <w:color w:val="000000"/>
          <w:shd w:val="clear" w:color="auto" w:fill="FFFFFF"/>
          <w:lang w:val="es-AR"/>
        </w:rPr>
      </w:pPr>
      <w:r>
        <w:rPr>
          <w:color w:val="000000"/>
          <w:shd w:val="clear" w:color="auto" w:fill="FFFFFF"/>
          <w:lang w:val="es-AR"/>
        </w:rPr>
        <w:t>En vistas de</w:t>
      </w:r>
      <w:r w:rsidRPr="00C156E2">
        <w:rPr>
          <w:color w:val="000000"/>
          <w:shd w:val="clear" w:color="auto" w:fill="FFFFFF"/>
          <w:lang w:val="es-AR"/>
        </w:rPr>
        <w:t xml:space="preserve">l </w:t>
      </w:r>
      <w:r>
        <w:rPr>
          <w:color w:val="000000"/>
          <w:shd w:val="clear" w:color="auto" w:fill="FFFFFF"/>
          <w:lang w:val="es-AR"/>
        </w:rPr>
        <w:t>considerable tama</w:t>
      </w:r>
      <w:r w:rsidRPr="00C156E2">
        <w:rPr>
          <w:color w:val="000000"/>
          <w:shd w:val="clear" w:color="auto" w:fill="FFFFFF"/>
          <w:lang w:val="es-AR"/>
        </w:rPr>
        <w:t xml:space="preserve">ño de este mercado </w:t>
      </w:r>
      <w:r>
        <w:rPr>
          <w:color w:val="000000"/>
          <w:shd w:val="clear" w:color="auto" w:fill="FFFFFF"/>
          <w:lang w:val="es-AR"/>
        </w:rPr>
        <w:t>y sus altas p</w:t>
      </w:r>
      <w:r w:rsidRPr="00C156E2">
        <w:rPr>
          <w:color w:val="000000"/>
          <w:shd w:val="clear" w:color="auto" w:fill="FFFFFF"/>
          <w:lang w:val="es-AR"/>
        </w:rPr>
        <w:t xml:space="preserve">royecciones de crecimiento comercial y económico (Barcena 2012), </w:t>
      </w:r>
      <w:r>
        <w:rPr>
          <w:color w:val="000000"/>
          <w:shd w:val="clear" w:color="auto" w:fill="FFFFFF"/>
          <w:lang w:val="es-AR"/>
        </w:rPr>
        <w:t xml:space="preserve">Puerto Rico se beneficiaría de negociar </w:t>
      </w:r>
      <w:r w:rsidRPr="00C156E2">
        <w:rPr>
          <w:color w:val="000000"/>
          <w:shd w:val="clear" w:color="auto" w:fill="FFFFFF"/>
          <w:lang w:val="es-AR"/>
        </w:rPr>
        <w:t xml:space="preserve">acuerdos </w:t>
      </w:r>
      <w:r>
        <w:rPr>
          <w:color w:val="000000"/>
          <w:shd w:val="clear" w:color="auto" w:fill="FFFFFF"/>
          <w:lang w:val="es-AR"/>
        </w:rPr>
        <w:t xml:space="preserve">comerciales </w:t>
      </w:r>
      <w:r w:rsidRPr="00C156E2">
        <w:rPr>
          <w:color w:val="000000"/>
          <w:shd w:val="clear" w:color="auto" w:fill="FFFFFF"/>
          <w:lang w:val="es-AR"/>
        </w:rPr>
        <w:t xml:space="preserve">regionales </w:t>
      </w:r>
      <w:r>
        <w:rPr>
          <w:color w:val="000000"/>
          <w:shd w:val="clear" w:color="auto" w:fill="FFFFFF"/>
          <w:lang w:val="es-AR"/>
        </w:rPr>
        <w:t xml:space="preserve">con otros países. </w:t>
      </w:r>
    </w:p>
    <w:p w:rsidR="005A5E7D" w:rsidRDefault="005A5E7D" w:rsidP="005A5E7D">
      <w:pPr>
        <w:rPr>
          <w:color w:val="000000"/>
          <w:shd w:val="clear" w:color="auto" w:fill="FFFFFF"/>
          <w:lang w:val="es-AR"/>
        </w:rPr>
      </w:pPr>
      <w:r w:rsidRPr="00F47889">
        <w:rPr>
          <w:b/>
          <w:color w:val="000000"/>
          <w:u w:val="single"/>
          <w:shd w:val="clear" w:color="auto" w:fill="FFFFFF"/>
          <w:lang w:val="es-AR"/>
        </w:rPr>
        <w:t>CARICOM</w:t>
      </w:r>
      <w:r>
        <w:rPr>
          <w:b/>
          <w:color w:val="000000"/>
          <w:shd w:val="clear" w:color="auto" w:fill="FFFFFF"/>
          <w:lang w:val="es-AR"/>
        </w:rPr>
        <w:t xml:space="preserve">: </w:t>
      </w:r>
      <w:r w:rsidRPr="00C156E2">
        <w:rPr>
          <w:color w:val="000000"/>
          <w:shd w:val="clear" w:color="auto" w:fill="FFFFFF"/>
          <w:lang w:val="es-AR"/>
        </w:rPr>
        <w:t xml:space="preserve">La Comunidad del Caribe </w:t>
      </w:r>
      <w:r>
        <w:rPr>
          <w:color w:val="000000"/>
          <w:shd w:val="clear" w:color="auto" w:fill="FFFFFF"/>
          <w:lang w:val="es-AR"/>
        </w:rPr>
        <w:t>la</w:t>
      </w:r>
      <w:r w:rsidRPr="00C156E2">
        <w:rPr>
          <w:color w:val="000000"/>
          <w:shd w:val="clear" w:color="auto" w:fill="FFFFFF"/>
          <w:lang w:val="es-AR"/>
        </w:rPr>
        <w:t xml:space="preserve"> conforma</w:t>
      </w:r>
      <w:r>
        <w:rPr>
          <w:color w:val="000000"/>
          <w:shd w:val="clear" w:color="auto" w:fill="FFFFFF"/>
          <w:lang w:val="es-AR"/>
        </w:rPr>
        <w:t>n</w:t>
      </w:r>
      <w:r w:rsidRPr="00C156E2">
        <w:rPr>
          <w:color w:val="000000"/>
          <w:shd w:val="clear" w:color="auto" w:fill="FFFFFF"/>
          <w:lang w:val="es-AR"/>
        </w:rPr>
        <w:t xml:space="preserve"> </w:t>
      </w:r>
      <w:r>
        <w:rPr>
          <w:color w:val="000000"/>
          <w:shd w:val="clear" w:color="auto" w:fill="FFFFFF"/>
          <w:lang w:val="es-AR"/>
        </w:rPr>
        <w:t>quince</w:t>
      </w:r>
      <w:r w:rsidRPr="00C156E2">
        <w:rPr>
          <w:color w:val="000000"/>
          <w:shd w:val="clear" w:color="auto" w:fill="FFFFFF"/>
          <w:lang w:val="es-AR"/>
        </w:rPr>
        <w:t xml:space="preserve"> países: Antigua y Barbuda, las Bahamas, Barbados, Belice, Dominica, Granada, Guyana, Haití, Jamaica, Montserrat, Santa L</w:t>
      </w:r>
      <w:r>
        <w:rPr>
          <w:color w:val="000000"/>
          <w:shd w:val="clear" w:color="auto" w:fill="FFFFFF"/>
          <w:lang w:val="es-AR"/>
        </w:rPr>
        <w:t>ucía, Saint. Kitts y Nevis, San</w:t>
      </w:r>
      <w:r w:rsidRPr="00C156E2">
        <w:rPr>
          <w:color w:val="000000"/>
          <w:shd w:val="clear" w:color="auto" w:fill="FFFFFF"/>
          <w:lang w:val="es-AR"/>
        </w:rPr>
        <w:t xml:space="preserve"> Vicente y las Granadinas, Suriname</w:t>
      </w:r>
      <w:r>
        <w:rPr>
          <w:color w:val="000000"/>
          <w:shd w:val="clear" w:color="auto" w:fill="FFFFFF"/>
          <w:lang w:val="es-AR"/>
        </w:rPr>
        <w:t>,</w:t>
      </w:r>
      <w:r w:rsidRPr="00C156E2">
        <w:rPr>
          <w:color w:val="000000"/>
          <w:shd w:val="clear" w:color="auto" w:fill="FFFFFF"/>
          <w:lang w:val="es-AR"/>
        </w:rPr>
        <w:t xml:space="preserve"> y </w:t>
      </w:r>
      <w:r>
        <w:rPr>
          <w:color w:val="000000"/>
          <w:shd w:val="clear" w:color="auto" w:fill="FFFFFF"/>
          <w:lang w:val="es-AR"/>
        </w:rPr>
        <w:t>Trinidad y To</w:t>
      </w:r>
      <w:r w:rsidRPr="00C156E2">
        <w:rPr>
          <w:color w:val="000000"/>
          <w:shd w:val="clear" w:color="auto" w:fill="FFFFFF"/>
          <w:lang w:val="es-AR"/>
        </w:rPr>
        <w:t>bago</w:t>
      </w:r>
      <w:r>
        <w:rPr>
          <w:color w:val="000000"/>
          <w:shd w:val="clear" w:color="auto" w:fill="FFFFFF"/>
          <w:lang w:val="es-AR"/>
        </w:rPr>
        <w:t>. Sus</w:t>
      </w:r>
      <w:r w:rsidRPr="00C156E2">
        <w:rPr>
          <w:color w:val="000000"/>
          <w:shd w:val="clear" w:color="auto" w:fill="FFFFFF"/>
          <w:lang w:val="es-AR"/>
        </w:rPr>
        <w:t xml:space="preserve"> objetivos principales son fortalecer la integración económica regional, la coordinación de las políticas externas de los miembros, la cooperación funcional en materia de desarrollo económico, social y cultural</w:t>
      </w:r>
      <w:r>
        <w:rPr>
          <w:color w:val="000000"/>
          <w:shd w:val="clear" w:color="auto" w:fill="FFFFFF"/>
          <w:lang w:val="es-AR"/>
        </w:rPr>
        <w:t>,</w:t>
      </w:r>
      <w:r w:rsidRPr="00C156E2">
        <w:rPr>
          <w:color w:val="000000"/>
          <w:shd w:val="clear" w:color="auto" w:fill="FFFFFF"/>
          <w:lang w:val="es-AR"/>
        </w:rPr>
        <w:t xml:space="preserve"> y la cooperación en áreas específi</w:t>
      </w:r>
      <w:r>
        <w:rPr>
          <w:color w:val="000000"/>
          <w:shd w:val="clear" w:color="auto" w:fill="FFFFFF"/>
          <w:lang w:val="es-AR"/>
        </w:rPr>
        <w:t>cas como la salud, la educación y</w:t>
      </w:r>
      <w:r w:rsidRPr="00C156E2">
        <w:rPr>
          <w:color w:val="000000"/>
          <w:shd w:val="clear" w:color="auto" w:fill="FFFFFF"/>
          <w:lang w:val="es-AR"/>
        </w:rPr>
        <w:t xml:space="preserve"> las telecomunicaciones, entre otras.</w:t>
      </w:r>
    </w:p>
    <w:p w:rsidR="005A5E7D" w:rsidRDefault="005A5E7D" w:rsidP="005A5E7D">
      <w:pPr>
        <w:rPr>
          <w:color w:val="000000"/>
          <w:shd w:val="clear" w:color="auto" w:fill="FFFFFF"/>
          <w:lang w:val="es-AR"/>
        </w:rPr>
      </w:pPr>
      <w:r w:rsidRPr="00C156E2">
        <w:rPr>
          <w:color w:val="000000"/>
          <w:shd w:val="clear" w:color="auto" w:fill="FFFFFF"/>
          <w:lang w:val="es-AR"/>
        </w:rPr>
        <w:t>Los países del CARICOM comparten características en común</w:t>
      </w:r>
      <w:r>
        <w:rPr>
          <w:color w:val="000000"/>
          <w:shd w:val="clear" w:color="auto" w:fill="FFFFFF"/>
          <w:lang w:val="es-AR"/>
        </w:rPr>
        <w:t>,</w:t>
      </w:r>
      <w:r w:rsidRPr="00C156E2">
        <w:rPr>
          <w:color w:val="000000"/>
          <w:shd w:val="clear" w:color="auto" w:fill="FFFFFF"/>
          <w:lang w:val="es-AR"/>
        </w:rPr>
        <w:t xml:space="preserve"> como ser pequeños estados insulares, con pocas posibilidades agrícolas y m</w:t>
      </w:r>
      <w:r>
        <w:rPr>
          <w:color w:val="000000"/>
          <w:shd w:val="clear" w:color="auto" w:fill="FFFFFF"/>
          <w:lang w:val="es-AR"/>
        </w:rPr>
        <w:t>á</w:t>
      </w:r>
      <w:r w:rsidRPr="00C156E2">
        <w:rPr>
          <w:color w:val="000000"/>
          <w:shd w:val="clear" w:color="auto" w:fill="FFFFFF"/>
          <w:lang w:val="es-AR"/>
        </w:rPr>
        <w:t xml:space="preserve">s enfocados en el turismo, con lejanía de grandes mercados que conlleva </w:t>
      </w:r>
      <w:r>
        <w:rPr>
          <w:color w:val="000000"/>
          <w:shd w:val="clear" w:color="auto" w:fill="FFFFFF"/>
          <w:lang w:val="es-AR"/>
        </w:rPr>
        <w:t>altos costos de transportación, la</w:t>
      </w:r>
      <w:r w:rsidRPr="00C156E2">
        <w:rPr>
          <w:color w:val="000000"/>
          <w:shd w:val="clear" w:color="auto" w:fill="FFFFFF"/>
          <w:lang w:val="es-AR"/>
        </w:rPr>
        <w:t xml:space="preserve"> falta de infraestructura de transporte</w:t>
      </w:r>
      <w:r>
        <w:rPr>
          <w:color w:val="000000"/>
          <w:shd w:val="clear" w:color="auto" w:fill="FFFFFF"/>
          <w:lang w:val="es-AR"/>
        </w:rPr>
        <w:t>,</w:t>
      </w:r>
      <w:r w:rsidRPr="00C156E2">
        <w:rPr>
          <w:color w:val="000000"/>
          <w:shd w:val="clear" w:color="auto" w:fill="FFFFFF"/>
          <w:lang w:val="es-AR"/>
        </w:rPr>
        <w:t xml:space="preserve"> y </w:t>
      </w:r>
      <w:r>
        <w:rPr>
          <w:color w:val="000000"/>
          <w:shd w:val="clear" w:color="auto" w:fill="FFFFFF"/>
          <w:lang w:val="es-AR"/>
        </w:rPr>
        <w:t xml:space="preserve">la </w:t>
      </w:r>
      <w:r w:rsidRPr="00C156E2">
        <w:rPr>
          <w:color w:val="000000"/>
          <w:shd w:val="clear" w:color="auto" w:fill="FFFFFF"/>
          <w:lang w:val="es-AR"/>
        </w:rPr>
        <w:t>alta vulnerabilidad económica a choques comercia</w:t>
      </w:r>
      <w:r>
        <w:rPr>
          <w:color w:val="000000"/>
          <w:shd w:val="clear" w:color="auto" w:fill="FFFFFF"/>
          <w:lang w:val="es-AR"/>
        </w:rPr>
        <w:t>les y naturales (Barcena, Prado</w:t>
      </w:r>
      <w:r w:rsidRPr="00C156E2">
        <w:rPr>
          <w:color w:val="000000"/>
          <w:shd w:val="clear" w:color="auto" w:fill="FFFFFF"/>
          <w:lang w:val="es-AR"/>
        </w:rPr>
        <w:t xml:space="preserve"> y Beteta</w:t>
      </w:r>
      <w:r>
        <w:rPr>
          <w:color w:val="000000"/>
          <w:shd w:val="clear" w:color="auto" w:fill="FFFFFF"/>
          <w:lang w:val="es-AR"/>
        </w:rPr>
        <w:t>,</w:t>
      </w:r>
      <w:r w:rsidRPr="00C156E2">
        <w:rPr>
          <w:color w:val="000000"/>
          <w:shd w:val="clear" w:color="auto" w:fill="FFFFFF"/>
          <w:lang w:val="es-AR"/>
        </w:rPr>
        <w:t xml:space="preserve"> 2012).</w:t>
      </w:r>
      <w:r>
        <w:rPr>
          <w:color w:val="000000"/>
          <w:shd w:val="clear" w:color="auto" w:fill="FFFFFF"/>
          <w:lang w:val="es-AR"/>
        </w:rPr>
        <w:t xml:space="preserve"> </w:t>
      </w:r>
      <w:r w:rsidRPr="00C156E2">
        <w:rPr>
          <w:color w:val="000000"/>
          <w:shd w:val="clear" w:color="auto" w:fill="FFFFFF"/>
          <w:lang w:val="es-AR"/>
        </w:rPr>
        <w:t>CARICOM cuenta con un mercad</w:t>
      </w:r>
      <w:r>
        <w:rPr>
          <w:color w:val="000000"/>
          <w:shd w:val="clear" w:color="auto" w:fill="FFFFFF"/>
          <w:lang w:val="es-AR"/>
        </w:rPr>
        <w:t xml:space="preserve">o de 17 millones de habitantes y </w:t>
      </w:r>
      <w:r w:rsidRPr="00C156E2">
        <w:rPr>
          <w:color w:val="000000"/>
          <w:shd w:val="clear" w:color="auto" w:fill="FFFFFF"/>
          <w:lang w:val="es-AR"/>
        </w:rPr>
        <w:t xml:space="preserve">con un PIB </w:t>
      </w:r>
      <w:r w:rsidRPr="007B05F8">
        <w:rPr>
          <w:color w:val="000000"/>
          <w:shd w:val="clear" w:color="auto" w:fill="FFFFFF"/>
          <w:lang w:val="es-AR"/>
        </w:rPr>
        <w:t xml:space="preserve">de </w:t>
      </w:r>
      <w:r>
        <w:rPr>
          <w:color w:val="000000"/>
          <w:shd w:val="clear" w:color="auto" w:fill="FFFFFF"/>
          <w:lang w:val="es-AR"/>
        </w:rPr>
        <w:t>$</w:t>
      </w:r>
      <w:r w:rsidRPr="007B05F8">
        <w:rPr>
          <w:color w:val="000000"/>
          <w:shd w:val="clear" w:color="auto" w:fill="FFFFFF"/>
          <w:lang w:val="es-AR"/>
        </w:rPr>
        <w:t>64,000 millones</w:t>
      </w:r>
      <w:r>
        <w:rPr>
          <w:color w:val="000000"/>
          <w:shd w:val="clear" w:color="auto" w:fill="FFFFFF"/>
          <w:lang w:val="es-AR"/>
        </w:rPr>
        <w:t>,</w:t>
      </w:r>
      <w:r w:rsidRPr="00C156E2">
        <w:rPr>
          <w:color w:val="000000"/>
          <w:shd w:val="clear" w:color="auto" w:fill="FFFFFF"/>
          <w:lang w:val="es-AR"/>
        </w:rPr>
        <w:t xml:space="preserve"> donde los bienes de servicios representan la mayor parte del PIB </w:t>
      </w:r>
      <w:r>
        <w:rPr>
          <w:color w:val="000000"/>
          <w:shd w:val="clear" w:color="auto" w:fill="FFFFFF"/>
          <w:lang w:val="es-AR"/>
        </w:rPr>
        <w:t>al igual que sus exportaciones.</w:t>
      </w:r>
    </w:p>
    <w:p w:rsidR="005A5E7D" w:rsidRPr="00E1694E" w:rsidRDefault="005A5E7D" w:rsidP="005A5E7D">
      <w:pPr>
        <w:rPr>
          <w:color w:val="000000"/>
          <w:shd w:val="clear" w:color="auto" w:fill="FFFFFF"/>
          <w:lang w:val="es-AR"/>
        </w:rPr>
      </w:pPr>
      <w:r w:rsidRPr="00C156E2">
        <w:rPr>
          <w:color w:val="000000"/>
          <w:shd w:val="clear" w:color="auto" w:fill="FFFFFF"/>
          <w:lang w:val="es-AR"/>
        </w:rPr>
        <w:t>En materia de inversión</w:t>
      </w:r>
      <w:r>
        <w:rPr>
          <w:color w:val="000000"/>
          <w:shd w:val="clear" w:color="auto" w:fill="FFFFFF"/>
          <w:lang w:val="es-AR"/>
        </w:rPr>
        <w:t>, esta C</w:t>
      </w:r>
      <w:r w:rsidRPr="00C156E2">
        <w:rPr>
          <w:color w:val="000000"/>
          <w:shd w:val="clear" w:color="auto" w:fill="FFFFFF"/>
          <w:lang w:val="es-AR"/>
        </w:rPr>
        <w:t>om</w:t>
      </w:r>
      <w:r>
        <w:rPr>
          <w:color w:val="000000"/>
          <w:shd w:val="clear" w:color="auto" w:fill="FFFFFF"/>
          <w:lang w:val="es-AR"/>
        </w:rPr>
        <w:t>unidad se ha destacado por las i</w:t>
      </w:r>
      <w:r w:rsidRPr="00C156E2">
        <w:rPr>
          <w:color w:val="000000"/>
          <w:shd w:val="clear" w:color="auto" w:fill="FFFFFF"/>
          <w:lang w:val="es-AR"/>
        </w:rPr>
        <w:t>nversiones</w:t>
      </w:r>
      <w:r>
        <w:rPr>
          <w:color w:val="000000"/>
          <w:shd w:val="clear" w:color="auto" w:fill="FFFFFF"/>
          <w:lang w:val="es-AR"/>
        </w:rPr>
        <w:t xml:space="preserve"> externas directas (IED)</w:t>
      </w:r>
      <w:r w:rsidRPr="00C156E2">
        <w:rPr>
          <w:color w:val="000000"/>
          <w:shd w:val="clear" w:color="auto" w:fill="FFFFFF"/>
          <w:lang w:val="es-AR"/>
        </w:rPr>
        <w:t xml:space="preserve"> en sectores como el turismo, la hotelería, el transporte y la manufactura (entre los que se destacan los segmentos de bebidas y alimento</w:t>
      </w:r>
      <w:r>
        <w:rPr>
          <w:color w:val="000000"/>
          <w:shd w:val="clear" w:color="auto" w:fill="FFFFFF"/>
          <w:lang w:val="es-AR"/>
        </w:rPr>
        <w:t>s y de cemento). U</w:t>
      </w:r>
      <w:r w:rsidRPr="00C156E2">
        <w:rPr>
          <w:color w:val="000000"/>
          <w:shd w:val="clear" w:color="auto" w:fill="FFFFFF"/>
          <w:lang w:val="es-AR"/>
        </w:rPr>
        <w:t xml:space="preserve">n informe de la CEPAL </w:t>
      </w:r>
      <w:r>
        <w:rPr>
          <w:color w:val="000000"/>
          <w:shd w:val="clear" w:color="auto" w:fill="FFFFFF"/>
          <w:lang w:val="es-AR"/>
        </w:rPr>
        <w:t>destaca que L</w:t>
      </w:r>
      <w:r w:rsidRPr="00C156E2">
        <w:rPr>
          <w:color w:val="000000"/>
          <w:shd w:val="clear" w:color="auto" w:fill="FFFFFF"/>
          <w:lang w:val="es-AR"/>
        </w:rPr>
        <w:t xml:space="preserve">a </w:t>
      </w:r>
      <w:r>
        <w:rPr>
          <w:color w:val="000000"/>
          <w:shd w:val="clear" w:color="auto" w:fill="FFFFFF"/>
          <w:lang w:val="es-AR"/>
        </w:rPr>
        <w:t>C</w:t>
      </w:r>
      <w:r w:rsidRPr="00C156E2">
        <w:rPr>
          <w:color w:val="000000"/>
          <w:shd w:val="clear" w:color="auto" w:fill="FFFFFF"/>
          <w:lang w:val="es-AR"/>
        </w:rPr>
        <w:t xml:space="preserve">omunidad </w:t>
      </w:r>
      <w:r>
        <w:rPr>
          <w:color w:val="000000"/>
          <w:shd w:val="clear" w:color="auto" w:fill="FFFFFF"/>
          <w:lang w:val="es-AR"/>
        </w:rPr>
        <w:t xml:space="preserve">del Caribe </w:t>
      </w:r>
      <w:r w:rsidRPr="00C156E2">
        <w:rPr>
          <w:color w:val="000000"/>
          <w:shd w:val="clear" w:color="auto" w:fill="FFFFFF"/>
          <w:lang w:val="es-AR"/>
        </w:rPr>
        <w:t>debe mejorar sus esfuerzos en la generación de ventajas comparativas dinámicas, particularmente en incentivar la formación de mano de obra capacitada, la capacidad científica, tecnológica y de innovación</w:t>
      </w:r>
      <w:r>
        <w:rPr>
          <w:color w:val="000000"/>
          <w:shd w:val="clear" w:color="auto" w:fill="FFFFFF"/>
          <w:lang w:val="es-AR"/>
        </w:rPr>
        <w:t>,</w:t>
      </w:r>
      <w:r w:rsidRPr="00C156E2">
        <w:rPr>
          <w:color w:val="000000"/>
          <w:shd w:val="clear" w:color="auto" w:fill="FFFFFF"/>
          <w:lang w:val="es-AR"/>
        </w:rPr>
        <w:t xml:space="preserve"> y la capacidad empresarial local</w:t>
      </w:r>
      <w:bookmarkStart w:id="72" w:name="OLE_LINK1"/>
      <w:bookmarkStart w:id="73" w:name="OLE_LINK2"/>
      <w:r>
        <w:rPr>
          <w:color w:val="000000"/>
          <w:shd w:val="clear" w:color="auto" w:fill="FFFFFF"/>
          <w:lang w:val="es-AR"/>
        </w:rPr>
        <w:t xml:space="preserve"> (Barcena, Prado</w:t>
      </w:r>
      <w:r w:rsidRPr="00C156E2">
        <w:rPr>
          <w:color w:val="000000"/>
          <w:shd w:val="clear" w:color="auto" w:fill="FFFFFF"/>
          <w:lang w:val="es-AR"/>
        </w:rPr>
        <w:t xml:space="preserve"> y Beteta</w:t>
      </w:r>
      <w:r>
        <w:rPr>
          <w:color w:val="000000"/>
          <w:shd w:val="clear" w:color="auto" w:fill="FFFFFF"/>
          <w:lang w:val="es-AR"/>
        </w:rPr>
        <w:t>,</w:t>
      </w:r>
      <w:r w:rsidRPr="00C156E2">
        <w:rPr>
          <w:color w:val="000000"/>
          <w:shd w:val="clear" w:color="auto" w:fill="FFFFFF"/>
          <w:lang w:val="es-AR"/>
        </w:rPr>
        <w:t xml:space="preserve"> 2012). </w:t>
      </w:r>
      <w:bookmarkEnd w:id="72"/>
      <w:bookmarkEnd w:id="73"/>
    </w:p>
    <w:p w:rsidR="005A5E7D" w:rsidRDefault="005A5E7D" w:rsidP="005A5E7D">
      <w:pPr>
        <w:rPr>
          <w:color w:val="000000"/>
          <w:shd w:val="clear" w:color="auto" w:fill="FFFFFF"/>
          <w:lang w:val="es-AR"/>
        </w:rPr>
      </w:pPr>
      <w:r>
        <w:rPr>
          <w:color w:val="000000"/>
          <w:shd w:val="clear" w:color="auto" w:fill="FFFFFF"/>
          <w:lang w:val="es-AR"/>
        </w:rPr>
        <w:t xml:space="preserve">De participar en el </w:t>
      </w:r>
      <w:r w:rsidRPr="00C156E2">
        <w:rPr>
          <w:color w:val="000000"/>
          <w:shd w:val="clear" w:color="auto" w:fill="FFFFFF"/>
          <w:lang w:val="es-AR"/>
        </w:rPr>
        <w:t>CARICOM</w:t>
      </w:r>
      <w:r>
        <w:rPr>
          <w:color w:val="000000"/>
          <w:shd w:val="clear" w:color="auto" w:fill="FFFFFF"/>
          <w:lang w:val="es-AR"/>
        </w:rPr>
        <w:t xml:space="preserve"> y gracias a su prestigioso sistema universitario público, </w:t>
      </w:r>
      <w:r w:rsidRPr="00C156E2">
        <w:rPr>
          <w:color w:val="000000"/>
          <w:shd w:val="clear" w:color="auto" w:fill="FFFFFF"/>
          <w:lang w:val="es-AR"/>
        </w:rPr>
        <w:t xml:space="preserve">Puerto Rico podría obtener beneficios sirviendo a la comunidad caribeña </w:t>
      </w:r>
      <w:r>
        <w:rPr>
          <w:color w:val="000000"/>
          <w:shd w:val="clear" w:color="auto" w:fill="FFFFFF"/>
          <w:lang w:val="es-AR"/>
        </w:rPr>
        <w:t xml:space="preserve">como </w:t>
      </w:r>
      <w:r w:rsidRPr="00C156E2">
        <w:rPr>
          <w:color w:val="000000"/>
          <w:shd w:val="clear" w:color="auto" w:fill="FFFFFF"/>
          <w:lang w:val="es-AR"/>
        </w:rPr>
        <w:t xml:space="preserve">foco de capacitación </w:t>
      </w:r>
      <w:r>
        <w:rPr>
          <w:color w:val="000000"/>
          <w:shd w:val="clear" w:color="auto" w:fill="FFFFFF"/>
          <w:lang w:val="es-AR"/>
        </w:rPr>
        <w:t>científica,</w:t>
      </w:r>
      <w:r w:rsidRPr="00C156E2">
        <w:rPr>
          <w:color w:val="000000"/>
          <w:shd w:val="clear" w:color="auto" w:fill="FFFFFF"/>
          <w:lang w:val="es-AR"/>
        </w:rPr>
        <w:t xml:space="preserve"> tecnológica </w:t>
      </w:r>
      <w:r>
        <w:rPr>
          <w:color w:val="000000"/>
          <w:shd w:val="clear" w:color="auto" w:fill="FFFFFF"/>
          <w:lang w:val="es-AR"/>
        </w:rPr>
        <w:t xml:space="preserve">y </w:t>
      </w:r>
      <w:r w:rsidRPr="00C156E2">
        <w:rPr>
          <w:color w:val="000000"/>
          <w:shd w:val="clear" w:color="auto" w:fill="FFFFFF"/>
          <w:lang w:val="es-AR"/>
        </w:rPr>
        <w:t>de</w:t>
      </w:r>
      <w:r>
        <w:rPr>
          <w:color w:val="000000"/>
          <w:shd w:val="clear" w:color="auto" w:fill="FFFFFF"/>
          <w:lang w:val="es-AR"/>
        </w:rPr>
        <w:t xml:space="preserve"> capital humano. También </w:t>
      </w:r>
      <w:r w:rsidRPr="00C156E2">
        <w:rPr>
          <w:color w:val="000000"/>
          <w:shd w:val="clear" w:color="auto" w:fill="FFFFFF"/>
          <w:lang w:val="es-AR"/>
        </w:rPr>
        <w:t>podría suplir productos de importación en demanda creciente del CARICOM</w:t>
      </w:r>
      <w:r>
        <w:rPr>
          <w:color w:val="000000"/>
          <w:shd w:val="clear" w:color="auto" w:fill="FFFFFF"/>
          <w:lang w:val="es-AR"/>
        </w:rPr>
        <w:t xml:space="preserve">, tales como </w:t>
      </w:r>
      <w:r w:rsidRPr="00C156E2">
        <w:rPr>
          <w:color w:val="000000"/>
          <w:shd w:val="clear" w:color="auto" w:fill="FFFFFF"/>
          <w:lang w:val="es-AR"/>
        </w:rPr>
        <w:t>como desperdicios de papel y cartón (Barcena, Prado, y Beteta 2012)</w:t>
      </w:r>
      <w:r>
        <w:rPr>
          <w:color w:val="000000"/>
          <w:shd w:val="clear" w:color="auto" w:fill="FFFFFF"/>
          <w:lang w:val="es-AR"/>
        </w:rPr>
        <w:t>,</w:t>
      </w:r>
      <w:r w:rsidRPr="00C156E2">
        <w:rPr>
          <w:color w:val="000000"/>
          <w:shd w:val="clear" w:color="auto" w:fill="FFFFFF"/>
          <w:lang w:val="es-AR"/>
        </w:rPr>
        <w:t xml:space="preserve"> que en Puerto Rico representan un 40</w:t>
      </w:r>
      <w:r>
        <w:rPr>
          <w:color w:val="000000"/>
          <w:shd w:val="clear" w:color="auto" w:fill="FFFFFF"/>
          <w:lang w:val="es-AR"/>
        </w:rPr>
        <w:t>.</w:t>
      </w:r>
      <w:r w:rsidRPr="00C156E2">
        <w:rPr>
          <w:color w:val="000000"/>
          <w:shd w:val="clear" w:color="auto" w:fill="FFFFFF"/>
          <w:lang w:val="es-AR"/>
        </w:rPr>
        <w:t xml:space="preserve">2% del total de las </w:t>
      </w:r>
      <w:r>
        <w:rPr>
          <w:color w:val="000000"/>
          <w:shd w:val="clear" w:color="auto" w:fill="FFFFFF"/>
          <w:lang w:val="es-AR"/>
        </w:rPr>
        <w:t>dos</w:t>
      </w:r>
      <w:r w:rsidRPr="00C156E2">
        <w:rPr>
          <w:color w:val="000000"/>
          <w:shd w:val="clear" w:color="auto" w:fill="FFFFFF"/>
          <w:lang w:val="es-AR"/>
        </w:rPr>
        <w:t xml:space="preserve"> millones de toneladas producidas en desperdicios sólidos al año (Silva</w:t>
      </w:r>
      <w:r>
        <w:rPr>
          <w:color w:val="000000"/>
          <w:shd w:val="clear" w:color="auto" w:fill="FFFFFF"/>
          <w:lang w:val="es-AR"/>
        </w:rPr>
        <w:t>,</w:t>
      </w:r>
      <w:r w:rsidRPr="00C156E2">
        <w:rPr>
          <w:color w:val="000000"/>
          <w:shd w:val="clear" w:color="auto" w:fill="FFFFFF"/>
          <w:lang w:val="es-AR"/>
        </w:rPr>
        <w:t xml:space="preserve"> 2005). Los productos químicos como éter y alcohol también </w:t>
      </w:r>
      <w:r>
        <w:rPr>
          <w:color w:val="000000"/>
          <w:shd w:val="clear" w:color="auto" w:fill="FFFFFF"/>
          <w:lang w:val="es-AR"/>
        </w:rPr>
        <w:t xml:space="preserve">tendrían una alta demanda. </w:t>
      </w:r>
      <w:r w:rsidRPr="00C156E2">
        <w:rPr>
          <w:color w:val="000000"/>
          <w:shd w:val="clear" w:color="auto" w:fill="FFFFFF"/>
          <w:lang w:val="es-AR"/>
        </w:rPr>
        <w:t xml:space="preserve">Puerto Rico </w:t>
      </w:r>
      <w:r w:rsidRPr="00874BA0">
        <w:rPr>
          <w:color w:val="000000"/>
          <w:shd w:val="clear" w:color="auto" w:fill="FFFFFF"/>
          <w:lang w:val="es-AR"/>
        </w:rPr>
        <w:t xml:space="preserve">genera </w:t>
      </w:r>
      <w:r w:rsidRPr="00C156E2">
        <w:rPr>
          <w:color w:val="000000"/>
          <w:shd w:val="clear" w:color="auto" w:fill="FFFFFF"/>
          <w:lang w:val="es-AR"/>
        </w:rPr>
        <w:t xml:space="preserve">actualmente </w:t>
      </w:r>
      <w:r w:rsidRPr="00874BA0">
        <w:rPr>
          <w:color w:val="000000"/>
          <w:shd w:val="clear" w:color="auto" w:fill="FFFFFF"/>
          <w:lang w:val="es-AR"/>
        </w:rPr>
        <w:t>$234 millones</w:t>
      </w:r>
      <w:r w:rsidRPr="00C156E2">
        <w:rPr>
          <w:rStyle w:val="FootnoteReference"/>
          <w:color w:val="000000"/>
          <w:shd w:val="clear" w:color="auto" w:fill="FFFFFF"/>
          <w:lang w:val="es-AR"/>
        </w:rPr>
        <w:footnoteReference w:id="53"/>
      </w:r>
      <w:r w:rsidRPr="00C156E2">
        <w:rPr>
          <w:color w:val="000000"/>
          <w:shd w:val="clear" w:color="auto" w:fill="FFFFFF"/>
          <w:lang w:val="es-AR"/>
        </w:rPr>
        <w:t xml:space="preserve"> en exportaciones de estos productos</w:t>
      </w:r>
      <w:r>
        <w:rPr>
          <w:color w:val="000000"/>
          <w:shd w:val="clear" w:color="auto" w:fill="FFFFFF"/>
          <w:lang w:val="es-AR"/>
        </w:rPr>
        <w:t>,</w:t>
      </w:r>
      <w:r w:rsidRPr="00C156E2">
        <w:rPr>
          <w:color w:val="000000"/>
          <w:shd w:val="clear" w:color="auto" w:fill="FFFFFF"/>
          <w:lang w:val="es-AR"/>
        </w:rPr>
        <w:t xml:space="preserve"> por lo que podría expandir su oferta exportadora.</w:t>
      </w:r>
      <w:r>
        <w:rPr>
          <w:color w:val="000000"/>
          <w:shd w:val="clear" w:color="auto" w:fill="FFFFFF"/>
          <w:lang w:val="es-AR"/>
        </w:rPr>
        <w:t xml:space="preserve"> </w:t>
      </w:r>
      <w:r w:rsidRPr="00C156E2">
        <w:rPr>
          <w:color w:val="000000"/>
          <w:shd w:val="clear" w:color="auto" w:fill="FFFFFF"/>
          <w:lang w:val="es-AR"/>
        </w:rPr>
        <w:t>También podría obtener beneficios en la cooperación de mejoras del sector turístico y atracción de inversiones externas directas</w:t>
      </w:r>
      <w:r>
        <w:rPr>
          <w:color w:val="000000"/>
          <w:shd w:val="clear" w:color="auto" w:fill="FFFFFF"/>
          <w:lang w:val="es-AR"/>
        </w:rPr>
        <w:t>, a</w:t>
      </w:r>
      <w:r w:rsidRPr="00C156E2">
        <w:rPr>
          <w:color w:val="000000"/>
          <w:shd w:val="clear" w:color="auto" w:fill="FFFFFF"/>
          <w:lang w:val="es-AR"/>
        </w:rPr>
        <w:t>demás de la integración económica con un sector geográfico cercano.</w:t>
      </w:r>
    </w:p>
    <w:p w:rsidR="00CC331E" w:rsidRPr="00F4132D" w:rsidRDefault="00CC331E" w:rsidP="005A5E7D">
      <w:pPr>
        <w:rPr>
          <w:color w:val="000000"/>
          <w:shd w:val="clear" w:color="auto" w:fill="FFFFFF"/>
          <w:lang w:val="es-AR"/>
        </w:rPr>
      </w:pPr>
    </w:p>
    <w:p w:rsidR="005A5E7D" w:rsidRPr="00D97A60" w:rsidRDefault="005A5E7D" w:rsidP="00815B1D">
      <w:pPr>
        <w:pStyle w:val="Heading3"/>
        <w:rPr>
          <w:shd w:val="clear" w:color="auto" w:fill="FFFFFF"/>
        </w:rPr>
      </w:pPr>
      <w:bookmarkStart w:id="74" w:name="_Toc384769765"/>
      <w:r w:rsidRPr="00D97A60">
        <w:rPr>
          <w:shd w:val="clear" w:color="auto" w:fill="FFFFFF"/>
        </w:rPr>
        <w:t xml:space="preserve">E.2. </w:t>
      </w:r>
      <w:r>
        <w:rPr>
          <w:shd w:val="clear" w:color="auto" w:fill="FFFFFF"/>
        </w:rPr>
        <w:tab/>
      </w:r>
      <w:r w:rsidRPr="00D97A60">
        <w:rPr>
          <w:shd w:val="clear" w:color="auto" w:fill="FFFFFF"/>
        </w:rPr>
        <w:t xml:space="preserve"> Exportaciones de Puerto Rico a </w:t>
      </w:r>
      <w:r>
        <w:rPr>
          <w:shd w:val="clear" w:color="auto" w:fill="FFFFFF"/>
        </w:rPr>
        <w:t>d</w:t>
      </w:r>
      <w:r w:rsidRPr="00D97A60">
        <w:rPr>
          <w:shd w:val="clear" w:color="auto" w:fill="FFFFFF"/>
        </w:rPr>
        <w:t xml:space="preserve">iversos </w:t>
      </w:r>
      <w:r>
        <w:rPr>
          <w:shd w:val="clear" w:color="auto" w:fill="FFFFFF"/>
        </w:rPr>
        <w:t>b</w:t>
      </w:r>
      <w:r w:rsidRPr="00D97A60">
        <w:rPr>
          <w:shd w:val="clear" w:color="auto" w:fill="FFFFFF"/>
        </w:rPr>
        <w:t xml:space="preserve">loques </w:t>
      </w:r>
      <w:r>
        <w:rPr>
          <w:shd w:val="clear" w:color="auto" w:fill="FFFFFF"/>
        </w:rPr>
        <w:t>r</w:t>
      </w:r>
      <w:r w:rsidRPr="00D97A60">
        <w:rPr>
          <w:shd w:val="clear" w:color="auto" w:fill="FFFFFF"/>
        </w:rPr>
        <w:t>egionales</w:t>
      </w:r>
      <w:bookmarkEnd w:id="74"/>
    </w:p>
    <w:p w:rsidR="005A5E7D" w:rsidRDefault="005A5E7D" w:rsidP="005A5E7D">
      <w:pPr>
        <w:rPr>
          <w:lang w:val="es-AR"/>
        </w:rPr>
      </w:pPr>
      <w:r>
        <w:rPr>
          <w:lang w:val="es-AR"/>
        </w:rPr>
        <w:t>Los escasos beneficios que recibe Puerto Rico de los TLC que actualmente tienen vigencia con Estados Unidos, así como la tendencia internacional a mayores acuerdos que fomenten el comercio exterior de los países miembros, hace imperante que Puerto Rico identifique alternativas de mayor integración comercial con zonas comerciales que tengan un potencial de demandar las exportaciones de productos de Puerto Rico</w:t>
      </w:r>
    </w:p>
    <w:p w:rsidR="005A5E7D" w:rsidRDefault="005A5E7D" w:rsidP="005A5E7D">
      <w:pPr>
        <w:rPr>
          <w:lang w:val="es-AR"/>
        </w:rPr>
      </w:pPr>
      <w:r>
        <w:rPr>
          <w:lang w:val="es-AR"/>
        </w:rPr>
        <w:t xml:space="preserve">La base de datos del </w:t>
      </w:r>
      <w:r w:rsidRPr="000C17E9">
        <w:rPr>
          <w:i/>
          <w:lang w:val="es-AR"/>
        </w:rPr>
        <w:t>TradeStats</w:t>
      </w:r>
      <w:r>
        <w:rPr>
          <w:i/>
          <w:lang w:val="es-AR"/>
        </w:rPr>
        <w:t xml:space="preserve"> </w:t>
      </w:r>
      <w:r>
        <w:rPr>
          <w:lang w:val="es-AR"/>
        </w:rPr>
        <w:t>del ITA</w:t>
      </w:r>
      <w:r>
        <w:rPr>
          <w:i/>
          <w:lang w:val="es-AR"/>
        </w:rPr>
        <w:t xml:space="preserve"> </w:t>
      </w:r>
      <w:r>
        <w:rPr>
          <w:lang w:val="es-AR"/>
        </w:rPr>
        <w:t xml:space="preserve">ofrece información sobre las exportaciones de Puerto Rico, clasificadas según el bloque comercial al cual están dirigidas. Con miras a evaluar las áreas que ofrecen mayores posibilidades para Puerto Rico, seleccionamos los bloques regionales que el ITA define para las Américas y evaluamos el comportamiento de las exportaciones de Puerto Rico hacia dichas zonas. Se incluyen los países miembros de la Organización para el Desarrollo y la Cooperación Económica (ODCE), a manera de comparación. </w:t>
      </w:r>
    </w:p>
    <w:p w:rsidR="005A5E7D" w:rsidRPr="00A23557" w:rsidRDefault="005A5E7D" w:rsidP="005A5E7D">
      <w:pPr>
        <w:rPr>
          <w:lang w:val="es-AR"/>
        </w:rPr>
      </w:pPr>
      <w:r>
        <w:rPr>
          <w:lang w:val="es-AR"/>
        </w:rPr>
        <w:t xml:space="preserve">La </w:t>
      </w:r>
      <w:r>
        <w:rPr>
          <w:b/>
          <w:lang w:val="es-AR"/>
        </w:rPr>
        <w:t xml:space="preserve">Gráfica 4 </w:t>
      </w:r>
      <w:r>
        <w:rPr>
          <w:lang w:val="es-AR"/>
        </w:rPr>
        <w:t>muestra el crecimiento porcentual de las exportaciones de Puerto Rico a cada uno de los bloques regionales identificados en el año 2003 y el 2013. Cabe destacar a CAFTA y NAFTA, que son zonas de libre comercio con Estados Unidos. Las exportaciones de Puerto Rico a la región del CAFTA disminuyeron un 15%, mientras que las exportaciones a NAFTA aumentaron en solo un 1%. Por el contrario, las exportaciones hacia América del Sur han aumentado, tanto para el grupo de Mercosur como para la Comunidad Andina. Con relación al grupo de países caribeños, se observa una disminución en las exportaciones a los países del CARICOM, mientras las exportaciones a los países de la Iniciativa de la Cuenca del Caribe aumentaron un 22%.</w:t>
      </w:r>
      <w:r>
        <w:rPr>
          <w:rStyle w:val="FootnoteReference"/>
          <w:lang w:val="es-AR"/>
        </w:rPr>
        <w:footnoteReference w:id="54"/>
      </w:r>
    </w:p>
    <w:p w:rsidR="005A5E7D" w:rsidRDefault="0095547C" w:rsidP="005A5E7D">
      <w:pPr>
        <w:jc w:val="center"/>
        <w:rPr>
          <w:color w:val="000000"/>
          <w:shd w:val="clear" w:color="auto" w:fill="FFFFFF"/>
          <w:lang w:val="es-AR"/>
        </w:rPr>
      </w:pPr>
      <w:r>
        <w:rPr>
          <w:noProof/>
          <w:color w:val="000000"/>
          <w:shd w:val="clear" w:color="auto" w:fill="FFFFFF"/>
          <w:lang w:val="en-US"/>
        </w:rPr>
        <w:drawing>
          <wp:inline distT="0" distB="0" distL="0" distR="0">
            <wp:extent cx="4765183" cy="2743200"/>
            <wp:effectExtent l="19050" t="0" r="16367" b="0"/>
            <wp:docPr id="2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A5E7D" w:rsidRDefault="005A5E7D" w:rsidP="005A5E7D">
      <w:pPr>
        <w:spacing w:line="240" w:lineRule="auto"/>
        <w:rPr>
          <w:color w:val="000000"/>
          <w:shd w:val="clear" w:color="auto" w:fill="FFFFFF"/>
          <w:lang w:val="es-AR"/>
        </w:rPr>
      </w:pPr>
    </w:p>
    <w:p w:rsidR="005A5E7D" w:rsidRDefault="005A5E7D" w:rsidP="005A5E7D">
      <w:pPr>
        <w:rPr>
          <w:color w:val="000000"/>
          <w:shd w:val="clear" w:color="auto" w:fill="FFFFFF"/>
          <w:lang w:val="es-AR"/>
        </w:rPr>
      </w:pPr>
      <w:r>
        <w:rPr>
          <w:color w:val="000000"/>
          <w:shd w:val="clear" w:color="auto" w:fill="FFFFFF"/>
          <w:lang w:val="es-AR"/>
        </w:rPr>
        <w:t xml:space="preserve">La </w:t>
      </w:r>
      <w:r>
        <w:rPr>
          <w:b/>
          <w:color w:val="000000"/>
          <w:shd w:val="clear" w:color="auto" w:fill="FFFFFF"/>
          <w:lang w:val="es-AR"/>
        </w:rPr>
        <w:t>Tabla 4</w:t>
      </w:r>
      <w:r>
        <w:rPr>
          <w:color w:val="000000"/>
          <w:shd w:val="clear" w:color="auto" w:fill="FFFFFF"/>
          <w:lang w:val="es-AR"/>
        </w:rPr>
        <w:t xml:space="preserve"> presenta el valor de las exportaciones en el 2013, así como su importancia relativa y su nivel de concentración por tipo de producto. De la tabla resalta que los bloques que incluyen al Caribe son los que muestran menor concentración (mayor diversificación) en las exportaciones, mostrando que la cercanía geográfica es un factor importante para establecer lazos comerciales que pueden contribuir a la internacionalización de las empresas puertorriqueñas. Cualquier intento de internacionalización de Puerto Rico debe estar enfocado en fomentar los lazos comerciales con el Caribe y América Latina. Estas son las regiones que muestran la demanda más diversa para las exportaciones de Puerto Rico, además de que la Isla tiene ventajas comparativas que puede desarrollar para fomentar las exportaciones de productos puertorriqueños.</w:t>
      </w:r>
    </w:p>
    <w:p w:rsidR="00815B1D" w:rsidRPr="0030010F" w:rsidRDefault="00815B1D" w:rsidP="005A5E7D">
      <w:pPr>
        <w:rPr>
          <w:color w:val="000000"/>
          <w:shd w:val="clear" w:color="auto" w:fill="FFFFFF"/>
          <w:lang w:val="es-AR"/>
        </w:rPr>
      </w:pPr>
    </w:p>
    <w:tbl>
      <w:tblPr>
        <w:tblW w:w="8216" w:type="dxa"/>
        <w:jc w:val="center"/>
        <w:tblBorders>
          <w:top w:val="single" w:sz="12" w:space="0" w:color="008000"/>
          <w:bottom w:val="single" w:sz="12" w:space="0" w:color="008000"/>
        </w:tblBorders>
        <w:tblLook w:val="04A0"/>
      </w:tblPr>
      <w:tblGrid>
        <w:gridCol w:w="1643"/>
        <w:gridCol w:w="1851"/>
        <w:gridCol w:w="1154"/>
        <w:gridCol w:w="504"/>
        <w:gridCol w:w="1000"/>
        <w:gridCol w:w="636"/>
        <w:gridCol w:w="1301"/>
        <w:gridCol w:w="127"/>
      </w:tblGrid>
      <w:tr w:rsidR="005A5E7D" w:rsidRPr="006C2E2C">
        <w:trPr>
          <w:trHeight w:val="600"/>
          <w:jc w:val="center"/>
        </w:trPr>
        <w:tc>
          <w:tcPr>
            <w:tcW w:w="8216" w:type="dxa"/>
            <w:gridSpan w:val="8"/>
            <w:tcBorders>
              <w:bottom w:val="single" w:sz="6" w:space="0" w:color="008000"/>
            </w:tcBorders>
            <w:shd w:val="clear" w:color="auto" w:fill="auto"/>
          </w:tcPr>
          <w:p w:rsidR="005A5E7D" w:rsidRPr="00A21A41" w:rsidRDefault="005A5E7D" w:rsidP="005A5E7D">
            <w:pPr>
              <w:suppressAutoHyphens/>
              <w:spacing w:line="240" w:lineRule="auto"/>
              <w:ind w:firstLine="0"/>
              <w:jc w:val="center"/>
              <w:rPr>
                <w:rFonts w:ascii="Arial Narrow" w:eastAsia="Times New Roman" w:hAnsi="Arial Narrow"/>
                <w:b/>
                <w:color w:val="000000"/>
                <w:sz w:val="22"/>
                <w:szCs w:val="20"/>
              </w:rPr>
            </w:pPr>
            <w:r>
              <w:rPr>
                <w:color w:val="000000"/>
                <w:shd w:val="clear" w:color="auto" w:fill="FFFFFF"/>
                <w:lang w:val="es-AR"/>
              </w:rPr>
              <w:br w:type="page"/>
            </w:r>
            <w:r w:rsidRPr="00A21A41">
              <w:rPr>
                <w:rFonts w:ascii="Arial Narrow" w:eastAsia="Times New Roman" w:hAnsi="Arial Narrow"/>
                <w:b/>
                <w:color w:val="000000"/>
                <w:sz w:val="22"/>
                <w:szCs w:val="20"/>
              </w:rPr>
              <w:t>Tabla 4</w:t>
            </w:r>
          </w:p>
          <w:p w:rsidR="005A5E7D" w:rsidRPr="006C2E2C" w:rsidRDefault="005A5E7D" w:rsidP="005A5E7D">
            <w:pPr>
              <w:suppressAutoHyphens/>
              <w:spacing w:line="240" w:lineRule="auto"/>
              <w:ind w:firstLine="0"/>
              <w:jc w:val="center"/>
              <w:rPr>
                <w:rFonts w:ascii="Arial Narrow" w:eastAsia="Times New Roman" w:hAnsi="Arial Narrow"/>
                <w:color w:val="000000"/>
                <w:sz w:val="20"/>
                <w:szCs w:val="20"/>
              </w:rPr>
            </w:pPr>
            <w:r w:rsidRPr="00A21A41">
              <w:rPr>
                <w:rFonts w:ascii="Arial Narrow" w:eastAsia="Times New Roman" w:hAnsi="Arial Narrow"/>
                <w:b/>
                <w:color w:val="000000"/>
                <w:sz w:val="22"/>
                <w:szCs w:val="20"/>
              </w:rPr>
              <w:t>Exportaciones de Puerto Rico a Diversos Bloques Comerciales (2013)</w:t>
            </w:r>
          </w:p>
        </w:tc>
      </w:tr>
      <w:tr w:rsidR="005A5E7D" w:rsidRPr="006C2E2C">
        <w:trPr>
          <w:trHeight w:val="1152"/>
          <w:jc w:val="center"/>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p>
        </w:tc>
        <w:tc>
          <w:tcPr>
            <w:tcW w:w="1851" w:type="dxa"/>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 xml:space="preserve">Exportaciones de </w:t>
            </w:r>
            <w:r w:rsidRPr="006C2E2C">
              <w:rPr>
                <w:rFonts w:ascii="Arial Narrow" w:eastAsia="Times New Roman" w:hAnsi="Arial Narrow"/>
                <w:b/>
                <w:color w:val="000000"/>
                <w:sz w:val="20"/>
                <w:szCs w:val="20"/>
              </w:rPr>
              <w:br/>
              <w:t>Puerto Rico a la Región (2013)</w:t>
            </w:r>
          </w:p>
        </w:tc>
        <w:tc>
          <w:tcPr>
            <w:tcW w:w="1658" w:type="dxa"/>
            <w:gridSpan w:val="2"/>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 del Total de Exportaciones de Puerto Rico</w:t>
            </w:r>
          </w:p>
        </w:tc>
        <w:tc>
          <w:tcPr>
            <w:tcW w:w="1636" w:type="dxa"/>
            <w:gridSpan w:val="2"/>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 del Total de Exportaciones de Puerto Rico al Resto del Mundo</w:t>
            </w:r>
          </w:p>
        </w:tc>
        <w:tc>
          <w:tcPr>
            <w:tcW w:w="0" w:type="auto"/>
            <w:gridSpan w:val="2"/>
            <w:shd w:val="clear" w:color="auto" w:fill="auto"/>
          </w:tcPr>
          <w:p w:rsidR="005A5E7D" w:rsidRPr="006C2E2C" w:rsidRDefault="005A5E7D" w:rsidP="005A5E7D">
            <w:pPr>
              <w:spacing w:line="240" w:lineRule="auto"/>
              <w:ind w:firstLine="0"/>
              <w:jc w:val="center"/>
              <w:rPr>
                <w:rFonts w:ascii="Arial Narrow" w:hAnsi="Arial Narrow"/>
                <w:b/>
                <w:color w:val="000000"/>
                <w:sz w:val="20"/>
              </w:rPr>
            </w:pPr>
            <w:r w:rsidRPr="006C2E2C">
              <w:rPr>
                <w:rFonts w:ascii="Arial Narrow" w:eastAsia="Times New Roman" w:hAnsi="Arial Narrow"/>
                <w:b/>
                <w:color w:val="000000"/>
                <w:sz w:val="20"/>
                <w:szCs w:val="20"/>
              </w:rPr>
              <w:t>IH por Industria</w:t>
            </w:r>
          </w:p>
        </w:tc>
      </w:tr>
      <w:tr w:rsidR="005A5E7D" w:rsidRPr="006C2E2C">
        <w:trPr>
          <w:gridAfter w:val="1"/>
          <w:wAfter w:w="107" w:type="dxa"/>
          <w:trHeight w:val="288"/>
          <w:jc w:val="center"/>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 xml:space="preserve">Iniciativa de la Cuenca </w:t>
            </w:r>
          </w:p>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del Caribe (CBERA)</w:t>
            </w:r>
          </w:p>
        </w:tc>
        <w:tc>
          <w:tcPr>
            <w:tcW w:w="1851"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427,653,131</w:t>
            </w:r>
          </w:p>
        </w:tc>
        <w:tc>
          <w:tcPr>
            <w:tcW w:w="115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w:t>
            </w:r>
          </w:p>
        </w:tc>
        <w:tc>
          <w:tcPr>
            <w:tcW w:w="1504" w:type="dxa"/>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3%</w:t>
            </w:r>
          </w:p>
        </w:tc>
        <w:tc>
          <w:tcPr>
            <w:tcW w:w="1733" w:type="dxa"/>
            <w:gridSpan w:val="2"/>
            <w:shd w:val="clear" w:color="auto" w:fill="auto"/>
            <w:noWrap/>
          </w:tcPr>
          <w:p w:rsidR="005A5E7D" w:rsidRPr="006C2E2C" w:rsidRDefault="005A5E7D" w:rsidP="005A5E7D">
            <w:pPr>
              <w:spacing w:line="240" w:lineRule="auto"/>
              <w:ind w:right="134"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3,172 </w:t>
            </w:r>
          </w:p>
        </w:tc>
      </w:tr>
      <w:tr w:rsidR="005A5E7D" w:rsidRPr="006C2E2C">
        <w:trPr>
          <w:gridAfter w:val="1"/>
          <w:wAfter w:w="107" w:type="dxa"/>
          <w:trHeight w:val="288"/>
          <w:jc w:val="center"/>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CAFTA</w:t>
            </w:r>
          </w:p>
        </w:tc>
        <w:tc>
          <w:tcPr>
            <w:tcW w:w="1851"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558,219,276</w:t>
            </w:r>
          </w:p>
        </w:tc>
        <w:tc>
          <w:tcPr>
            <w:tcW w:w="115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w:t>
            </w:r>
          </w:p>
        </w:tc>
        <w:tc>
          <w:tcPr>
            <w:tcW w:w="1504" w:type="dxa"/>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3%</w:t>
            </w:r>
          </w:p>
        </w:tc>
        <w:tc>
          <w:tcPr>
            <w:tcW w:w="1733" w:type="dxa"/>
            <w:gridSpan w:val="2"/>
            <w:shd w:val="clear" w:color="auto" w:fill="auto"/>
            <w:noWrap/>
          </w:tcPr>
          <w:p w:rsidR="005A5E7D" w:rsidRPr="006C2E2C" w:rsidRDefault="005A5E7D" w:rsidP="005A5E7D">
            <w:pPr>
              <w:spacing w:line="240" w:lineRule="auto"/>
              <w:ind w:right="134"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3,172 </w:t>
            </w:r>
          </w:p>
        </w:tc>
      </w:tr>
      <w:tr w:rsidR="005A5E7D" w:rsidRPr="006C2E2C">
        <w:trPr>
          <w:gridAfter w:val="1"/>
          <w:wAfter w:w="107" w:type="dxa"/>
          <w:trHeight w:val="288"/>
          <w:jc w:val="center"/>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NAFTA</w:t>
            </w:r>
          </w:p>
        </w:tc>
        <w:tc>
          <w:tcPr>
            <w:tcW w:w="1851"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1,707,898,832</w:t>
            </w:r>
          </w:p>
        </w:tc>
        <w:tc>
          <w:tcPr>
            <w:tcW w:w="115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3%</w:t>
            </w:r>
          </w:p>
        </w:tc>
        <w:tc>
          <w:tcPr>
            <w:tcW w:w="1504" w:type="dxa"/>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10%</w:t>
            </w:r>
          </w:p>
        </w:tc>
        <w:tc>
          <w:tcPr>
            <w:tcW w:w="1733" w:type="dxa"/>
            <w:gridSpan w:val="2"/>
            <w:shd w:val="clear" w:color="auto" w:fill="auto"/>
            <w:noWrap/>
          </w:tcPr>
          <w:p w:rsidR="005A5E7D" w:rsidRPr="006C2E2C" w:rsidRDefault="005A5E7D" w:rsidP="005A5E7D">
            <w:pPr>
              <w:spacing w:line="240" w:lineRule="auto"/>
              <w:ind w:right="134"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6,937 </w:t>
            </w:r>
          </w:p>
        </w:tc>
      </w:tr>
      <w:tr w:rsidR="005A5E7D" w:rsidRPr="006C2E2C">
        <w:trPr>
          <w:gridAfter w:val="1"/>
          <w:wAfter w:w="107" w:type="dxa"/>
          <w:trHeight w:val="288"/>
          <w:jc w:val="center"/>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Comunidad Andina</w:t>
            </w:r>
          </w:p>
        </w:tc>
        <w:tc>
          <w:tcPr>
            <w:tcW w:w="1851"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64,495,989</w:t>
            </w:r>
          </w:p>
        </w:tc>
        <w:tc>
          <w:tcPr>
            <w:tcW w:w="115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w:t>
            </w:r>
          </w:p>
        </w:tc>
        <w:tc>
          <w:tcPr>
            <w:tcW w:w="1504" w:type="dxa"/>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w:t>
            </w:r>
          </w:p>
        </w:tc>
        <w:tc>
          <w:tcPr>
            <w:tcW w:w="1733" w:type="dxa"/>
            <w:gridSpan w:val="2"/>
            <w:shd w:val="clear" w:color="auto" w:fill="auto"/>
            <w:noWrap/>
          </w:tcPr>
          <w:p w:rsidR="005A5E7D" w:rsidRPr="006C2E2C" w:rsidRDefault="005A5E7D" w:rsidP="005A5E7D">
            <w:pPr>
              <w:spacing w:line="240" w:lineRule="auto"/>
              <w:ind w:right="134"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4,529 </w:t>
            </w:r>
          </w:p>
        </w:tc>
      </w:tr>
      <w:tr w:rsidR="005A5E7D" w:rsidRPr="006C2E2C">
        <w:trPr>
          <w:gridAfter w:val="1"/>
          <w:wAfter w:w="107" w:type="dxa"/>
          <w:trHeight w:val="288"/>
          <w:jc w:val="center"/>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Caricom</w:t>
            </w:r>
          </w:p>
        </w:tc>
        <w:tc>
          <w:tcPr>
            <w:tcW w:w="1851"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152,631,616</w:t>
            </w:r>
          </w:p>
        </w:tc>
        <w:tc>
          <w:tcPr>
            <w:tcW w:w="115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0%</w:t>
            </w:r>
          </w:p>
        </w:tc>
        <w:tc>
          <w:tcPr>
            <w:tcW w:w="1504" w:type="dxa"/>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w:t>
            </w:r>
          </w:p>
        </w:tc>
        <w:tc>
          <w:tcPr>
            <w:tcW w:w="1733" w:type="dxa"/>
            <w:gridSpan w:val="2"/>
            <w:shd w:val="clear" w:color="auto" w:fill="auto"/>
            <w:noWrap/>
          </w:tcPr>
          <w:p w:rsidR="005A5E7D" w:rsidRPr="006C2E2C" w:rsidRDefault="005A5E7D" w:rsidP="005A5E7D">
            <w:pPr>
              <w:spacing w:line="240" w:lineRule="auto"/>
              <w:ind w:right="134"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1,438 </w:t>
            </w:r>
          </w:p>
        </w:tc>
      </w:tr>
      <w:tr w:rsidR="005A5E7D" w:rsidRPr="006C2E2C">
        <w:trPr>
          <w:gridAfter w:val="1"/>
          <w:wAfter w:w="107" w:type="dxa"/>
          <w:trHeight w:val="288"/>
          <w:jc w:val="center"/>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OECD</w:t>
            </w:r>
          </w:p>
        </w:tc>
        <w:tc>
          <w:tcPr>
            <w:tcW w:w="1851"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15,510,584,826</w:t>
            </w:r>
          </w:p>
        </w:tc>
        <w:tc>
          <w:tcPr>
            <w:tcW w:w="115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27%</w:t>
            </w:r>
          </w:p>
        </w:tc>
        <w:tc>
          <w:tcPr>
            <w:tcW w:w="1504" w:type="dxa"/>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94%</w:t>
            </w:r>
          </w:p>
        </w:tc>
        <w:tc>
          <w:tcPr>
            <w:tcW w:w="1733" w:type="dxa"/>
            <w:gridSpan w:val="2"/>
            <w:shd w:val="clear" w:color="auto" w:fill="auto"/>
            <w:noWrap/>
          </w:tcPr>
          <w:p w:rsidR="005A5E7D" w:rsidRPr="006C2E2C" w:rsidRDefault="005A5E7D" w:rsidP="005A5E7D">
            <w:pPr>
              <w:spacing w:line="240" w:lineRule="auto"/>
              <w:ind w:right="134"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7,891 </w:t>
            </w:r>
          </w:p>
        </w:tc>
      </w:tr>
      <w:tr w:rsidR="005A5E7D" w:rsidRPr="006C2E2C">
        <w:trPr>
          <w:gridAfter w:val="1"/>
          <w:wAfter w:w="107" w:type="dxa"/>
          <w:trHeight w:val="288"/>
          <w:jc w:val="center"/>
        </w:trPr>
        <w:tc>
          <w:tcPr>
            <w:tcW w:w="0" w:type="auto"/>
            <w:shd w:val="clear" w:color="auto" w:fill="auto"/>
            <w:noWrap/>
          </w:tcPr>
          <w:p w:rsidR="005A5E7D" w:rsidRPr="006C2E2C" w:rsidRDefault="005A5E7D" w:rsidP="005A5E7D">
            <w:pPr>
              <w:spacing w:line="240" w:lineRule="auto"/>
              <w:ind w:firstLine="0"/>
              <w:jc w:val="left"/>
              <w:rPr>
                <w:rFonts w:ascii="Arial Narrow" w:hAnsi="Arial Narrow"/>
                <w:color w:val="000000"/>
                <w:sz w:val="20"/>
              </w:rPr>
            </w:pPr>
            <w:r w:rsidRPr="006C2E2C">
              <w:rPr>
                <w:rFonts w:ascii="Arial Narrow" w:eastAsia="Times New Roman" w:hAnsi="Arial Narrow"/>
                <w:color w:val="000000"/>
                <w:sz w:val="20"/>
                <w:szCs w:val="20"/>
              </w:rPr>
              <w:t>Mercosur</w:t>
            </w:r>
          </w:p>
        </w:tc>
        <w:tc>
          <w:tcPr>
            <w:tcW w:w="1851"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318,776,824</w:t>
            </w:r>
          </w:p>
        </w:tc>
        <w:tc>
          <w:tcPr>
            <w:tcW w:w="1154" w:type="dxa"/>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1%</w:t>
            </w:r>
          </w:p>
        </w:tc>
        <w:tc>
          <w:tcPr>
            <w:tcW w:w="1504" w:type="dxa"/>
            <w:gridSpan w:val="2"/>
            <w:shd w:val="clear" w:color="auto" w:fill="auto"/>
            <w:noWrap/>
          </w:tcPr>
          <w:p w:rsidR="005A5E7D" w:rsidRPr="006C2E2C" w:rsidRDefault="005A5E7D" w:rsidP="005A5E7D">
            <w:pPr>
              <w:spacing w:line="240" w:lineRule="auto"/>
              <w:ind w:firstLine="0"/>
              <w:jc w:val="right"/>
              <w:rPr>
                <w:rFonts w:ascii="Arial Narrow" w:hAnsi="Arial Narrow"/>
                <w:color w:val="000000"/>
                <w:sz w:val="20"/>
              </w:rPr>
            </w:pPr>
            <w:r w:rsidRPr="006C2E2C">
              <w:rPr>
                <w:rFonts w:ascii="Arial Narrow" w:eastAsia="Times New Roman" w:hAnsi="Arial Narrow"/>
                <w:color w:val="000000"/>
                <w:sz w:val="20"/>
                <w:szCs w:val="20"/>
              </w:rPr>
              <w:t>2%</w:t>
            </w:r>
          </w:p>
        </w:tc>
        <w:tc>
          <w:tcPr>
            <w:tcW w:w="1733" w:type="dxa"/>
            <w:gridSpan w:val="2"/>
            <w:shd w:val="clear" w:color="auto" w:fill="auto"/>
            <w:noWrap/>
          </w:tcPr>
          <w:p w:rsidR="005A5E7D" w:rsidRPr="006C2E2C" w:rsidRDefault="005A5E7D" w:rsidP="005A5E7D">
            <w:pPr>
              <w:spacing w:line="240" w:lineRule="auto"/>
              <w:ind w:right="134" w:firstLine="0"/>
              <w:jc w:val="right"/>
              <w:rPr>
                <w:rFonts w:ascii="Arial Narrow" w:hAnsi="Arial Narrow"/>
                <w:color w:val="000000"/>
                <w:sz w:val="20"/>
              </w:rPr>
            </w:pPr>
            <w:r w:rsidRPr="006C2E2C">
              <w:rPr>
                <w:rFonts w:ascii="Arial Narrow" w:eastAsia="Times New Roman" w:hAnsi="Arial Narrow"/>
                <w:color w:val="000000"/>
                <w:sz w:val="20"/>
                <w:szCs w:val="20"/>
              </w:rPr>
              <w:t xml:space="preserve">       7,008 </w:t>
            </w:r>
          </w:p>
        </w:tc>
      </w:tr>
    </w:tbl>
    <w:p w:rsidR="005A5E7D" w:rsidRDefault="005A5E7D" w:rsidP="005A5E7D">
      <w:pPr>
        <w:rPr>
          <w:color w:val="000000"/>
          <w:shd w:val="clear" w:color="auto" w:fill="FFFFFF"/>
          <w:lang w:val="es-AR"/>
        </w:rPr>
      </w:pPr>
    </w:p>
    <w:p w:rsidR="005A5E7D" w:rsidRDefault="005A5E7D" w:rsidP="005A5E7D">
      <w:pPr>
        <w:pStyle w:val="Heading2"/>
        <w:ind w:left="426" w:hanging="426"/>
      </w:pPr>
      <w:bookmarkStart w:id="75" w:name="_Toc384769766"/>
      <w:r>
        <w:t>Una estrategia para Puerto Rico</w:t>
      </w:r>
      <w:bookmarkEnd w:id="75"/>
      <w:r>
        <w:t xml:space="preserve"> </w:t>
      </w:r>
    </w:p>
    <w:p w:rsidR="005A5E7D" w:rsidRDefault="005A5E7D" w:rsidP="005A5E7D">
      <w:pPr>
        <w:spacing w:line="240" w:lineRule="auto"/>
      </w:pPr>
    </w:p>
    <w:p w:rsidR="00130282" w:rsidRDefault="005A5E7D" w:rsidP="005A5E7D">
      <w:pPr>
        <w:rPr>
          <w:lang w:val="es-ES_tradnl"/>
        </w:rPr>
      </w:pPr>
      <w:r w:rsidRPr="00874BA0">
        <w:t>Dada la situación económica actual en la Isla y acorde con las tendencias hacia una mayor integración de los mercados comerciales regional</w:t>
      </w:r>
      <w:r>
        <w:t>es</w:t>
      </w:r>
      <w:r w:rsidRPr="00874BA0">
        <w:rPr>
          <w:lang w:val="es-ES_tradnl"/>
        </w:rPr>
        <w:t>, resulta vital el evaluar las herramientas y alternativas que puedan fomentar el crecimiento de las exportaciones en Puerto Rico y la inserción de los empresarios puertorriqueños en el mercado internacional.</w:t>
      </w:r>
      <w:r>
        <w:t xml:space="preserve"> </w:t>
      </w:r>
      <w:r w:rsidRPr="00874BA0">
        <w:rPr>
          <w:lang w:val="es-ES_tradnl"/>
        </w:rPr>
        <w:t>Sin embargo, del estudio se concluye que la participación de Puerto Rico dentro del mercado común con Estados Unidos no fomenta el crecimiento de las</w:t>
      </w:r>
      <w:r>
        <w:rPr>
          <w:lang w:val="es-ES_tradnl"/>
        </w:rPr>
        <w:t xml:space="preserve"> </w:t>
      </w:r>
      <w:r w:rsidRPr="00874BA0">
        <w:rPr>
          <w:lang w:val="es-ES_tradnl"/>
        </w:rPr>
        <w:t xml:space="preserve">exportaciones, ni la </w:t>
      </w:r>
      <w:r>
        <w:rPr>
          <w:lang w:val="es-ES_tradnl"/>
        </w:rPr>
        <w:t xml:space="preserve">internacionalización </w:t>
      </w:r>
      <w:r w:rsidRPr="00874BA0">
        <w:rPr>
          <w:lang w:val="es-ES_tradnl"/>
        </w:rPr>
        <w:t xml:space="preserve">de empresas </w:t>
      </w:r>
      <w:r>
        <w:rPr>
          <w:lang w:val="es-ES_tradnl"/>
        </w:rPr>
        <w:t>puertorriqueña</w:t>
      </w:r>
      <w:r w:rsidRPr="00874BA0">
        <w:rPr>
          <w:lang w:val="es-ES_tradnl"/>
        </w:rPr>
        <w:t>s.</w:t>
      </w:r>
      <w:r>
        <w:rPr>
          <w:lang w:val="es-ES_tradnl"/>
        </w:rPr>
        <w:t xml:space="preserve"> </w:t>
      </w:r>
      <w:r w:rsidRPr="00874BA0">
        <w:rPr>
          <w:lang w:val="es-ES_tradnl"/>
        </w:rPr>
        <w:t>A pesar de que Estados Unidos sigue siendo el socio comercial más importante para Puerto Rico, este comercio se centra en las exportaciones e importaciones de productos químicos que</w:t>
      </w:r>
      <w:r>
        <w:rPr>
          <w:lang w:val="es-ES_tradnl"/>
        </w:rPr>
        <w:t>,</w:t>
      </w:r>
      <w:r w:rsidRPr="00874BA0">
        <w:rPr>
          <w:lang w:val="es-ES_tradnl"/>
        </w:rPr>
        <w:t xml:space="preserve"> en gran medida</w:t>
      </w:r>
      <w:r>
        <w:rPr>
          <w:lang w:val="es-ES_tradnl"/>
        </w:rPr>
        <w:t>,</w:t>
      </w:r>
      <w:r w:rsidRPr="00874BA0">
        <w:rPr>
          <w:lang w:val="es-ES_tradnl"/>
        </w:rPr>
        <w:t xml:space="preserve"> res</w:t>
      </w:r>
      <w:r>
        <w:rPr>
          <w:lang w:val="es-ES_tradnl"/>
        </w:rPr>
        <w:t>ponde a las transacciones intra</w:t>
      </w:r>
      <w:r w:rsidRPr="00874BA0">
        <w:rPr>
          <w:lang w:val="es-ES_tradnl"/>
        </w:rPr>
        <w:t xml:space="preserve">empresas o entre las empresas </w:t>
      </w:r>
      <w:r>
        <w:rPr>
          <w:lang w:val="es-ES_tradnl"/>
        </w:rPr>
        <w:t xml:space="preserve">manufactureras  </w:t>
      </w:r>
      <w:r w:rsidRPr="00874BA0">
        <w:rPr>
          <w:lang w:val="es-ES_tradnl"/>
        </w:rPr>
        <w:t xml:space="preserve">de capital extranjero que operan en la Isla bajo diferentes incentivos industriales a nivel </w:t>
      </w:r>
      <w:r>
        <w:rPr>
          <w:lang w:val="es-ES_tradnl"/>
        </w:rPr>
        <w:t xml:space="preserve">insular </w:t>
      </w:r>
      <w:r w:rsidRPr="00874BA0">
        <w:rPr>
          <w:lang w:val="es-ES_tradnl"/>
        </w:rPr>
        <w:t xml:space="preserve">y/o del Código de </w:t>
      </w:r>
      <w:r>
        <w:rPr>
          <w:lang w:val="es-ES_tradnl"/>
        </w:rPr>
        <w:t xml:space="preserve">Rentas Internas federal. </w:t>
      </w:r>
    </w:p>
    <w:p w:rsidR="005A5E7D" w:rsidRPr="00874BA0" w:rsidRDefault="00CC331E" w:rsidP="005A5E7D">
      <w:pPr>
        <w:rPr>
          <w:lang w:val="es-ES_tradnl"/>
        </w:rPr>
      </w:pPr>
      <w:r>
        <w:rPr>
          <w:lang w:val="es-ES_tradnl"/>
        </w:rPr>
        <w:t xml:space="preserve">Resulta preocupante el que en la medida en que las empresas estadounidenses se relocalicen fuera de la Isla, en reacción a los cambios contributivos que se generarían si Puerto Rico </w:t>
      </w:r>
      <w:r w:rsidR="00130282">
        <w:rPr>
          <w:lang w:val="es-ES_tradnl"/>
        </w:rPr>
        <w:t xml:space="preserve">se convirtiese en </w:t>
      </w:r>
      <w:r>
        <w:rPr>
          <w:lang w:val="es-ES_tradnl"/>
        </w:rPr>
        <w:t>un estado federado, se esperaría una disminución significativa en las exportaciones manufactureras de productos químicos</w:t>
      </w:r>
      <w:r w:rsidR="00130282">
        <w:rPr>
          <w:lang w:val="es-ES_tradnl"/>
        </w:rPr>
        <w:t xml:space="preserve">.  Esto a su vez, además de los efectos multiplicadores </w:t>
      </w:r>
      <w:r w:rsidR="00672E96">
        <w:rPr>
          <w:lang w:val="es-ES_tradnl"/>
        </w:rPr>
        <w:t xml:space="preserve">negativos </w:t>
      </w:r>
      <w:r w:rsidR="00130282">
        <w:rPr>
          <w:lang w:val="es-ES_tradnl"/>
        </w:rPr>
        <w:t xml:space="preserve">al ingreso y al empleo, </w:t>
      </w:r>
      <w:r>
        <w:rPr>
          <w:lang w:val="es-ES_tradnl"/>
        </w:rPr>
        <w:t xml:space="preserve">tendría </w:t>
      </w:r>
      <w:r w:rsidR="00672E96">
        <w:rPr>
          <w:lang w:val="es-ES_tradnl"/>
        </w:rPr>
        <w:t xml:space="preserve">un </w:t>
      </w:r>
      <w:r>
        <w:rPr>
          <w:lang w:val="es-ES_tradnl"/>
        </w:rPr>
        <w:t xml:space="preserve">efecto adverso </w:t>
      </w:r>
      <w:r w:rsidR="00672E96">
        <w:rPr>
          <w:lang w:val="es-ES_tradnl"/>
        </w:rPr>
        <w:t xml:space="preserve">sobre </w:t>
      </w:r>
      <w:r>
        <w:rPr>
          <w:lang w:val="es-ES_tradnl"/>
        </w:rPr>
        <w:t xml:space="preserve">la Balanza de Pagos </w:t>
      </w:r>
      <w:r w:rsidR="00130282">
        <w:rPr>
          <w:lang w:val="es-ES_tradnl"/>
        </w:rPr>
        <w:t>de Puerto Rico.</w:t>
      </w:r>
    </w:p>
    <w:p w:rsidR="005A5E7D" w:rsidRDefault="005A5E7D" w:rsidP="005A5E7D">
      <w:pPr>
        <w:rPr>
          <w:lang w:val="es-ES_tradnl"/>
        </w:rPr>
      </w:pPr>
      <w:r w:rsidRPr="00874BA0">
        <w:rPr>
          <w:lang w:val="es-ES_tradnl"/>
        </w:rPr>
        <w:t>Se demost</w:t>
      </w:r>
      <w:r>
        <w:rPr>
          <w:lang w:val="es-ES_tradnl"/>
        </w:rPr>
        <w:t xml:space="preserve">ró que las exportaciones hacia </w:t>
      </w:r>
      <w:r w:rsidRPr="00874BA0">
        <w:rPr>
          <w:lang w:val="es-ES_tradnl"/>
        </w:rPr>
        <w:t xml:space="preserve">Estados Unidos han ido disminuyendo y las exportaciones hacia los países con los cuales </w:t>
      </w:r>
      <w:r>
        <w:rPr>
          <w:lang w:val="es-ES_tradnl"/>
        </w:rPr>
        <w:t>ese país</w:t>
      </w:r>
      <w:r w:rsidRPr="00874BA0">
        <w:rPr>
          <w:lang w:val="es-ES_tradnl"/>
        </w:rPr>
        <w:t xml:space="preserve"> tiene tratados comerciales </w:t>
      </w:r>
      <w:r>
        <w:rPr>
          <w:lang w:val="es-ES_tradnl"/>
        </w:rPr>
        <w:t>han perdido competitividad, por lo que se evidencia</w:t>
      </w:r>
      <w:r w:rsidRPr="00874BA0">
        <w:rPr>
          <w:lang w:val="es-ES_tradnl"/>
        </w:rPr>
        <w:t xml:space="preserve"> un crecimiento mucho menor que las exportaciones a otros países.</w:t>
      </w:r>
      <w:r>
        <w:rPr>
          <w:lang w:val="es-ES_tradnl"/>
        </w:rPr>
        <w:t xml:space="preserve"> </w:t>
      </w:r>
      <w:r w:rsidRPr="00874BA0">
        <w:rPr>
          <w:lang w:val="es-ES_tradnl"/>
        </w:rPr>
        <w:t>A pesar de haberse diversificado los países a los cuales se exporta y los artículos que se exportan, ha aumentado la concentración</w:t>
      </w:r>
      <w:r>
        <w:rPr>
          <w:lang w:val="es-ES_tradnl"/>
        </w:rPr>
        <w:t xml:space="preserve"> </w:t>
      </w:r>
      <w:r w:rsidRPr="00874BA0">
        <w:rPr>
          <w:lang w:val="es-ES_tradnl"/>
        </w:rPr>
        <w:t>de exportacione</w:t>
      </w:r>
      <w:r>
        <w:rPr>
          <w:lang w:val="es-ES_tradnl"/>
        </w:rPr>
        <w:t>s en industrias particulares,</w:t>
      </w:r>
      <w:r w:rsidRPr="00874BA0">
        <w:rPr>
          <w:lang w:val="es-ES_tradnl"/>
        </w:rPr>
        <w:t xml:space="preserve"> especial</w:t>
      </w:r>
      <w:r>
        <w:rPr>
          <w:lang w:val="es-ES_tradnl"/>
        </w:rPr>
        <w:t>mente</w:t>
      </w:r>
      <w:r w:rsidRPr="00874BA0">
        <w:rPr>
          <w:lang w:val="es-ES_tradnl"/>
        </w:rPr>
        <w:t xml:space="preserve"> la ma</w:t>
      </w:r>
      <w:r>
        <w:rPr>
          <w:lang w:val="es-ES_tradnl"/>
        </w:rPr>
        <w:t>nufactura de productos químicos</w:t>
      </w:r>
      <w:r w:rsidRPr="00874BA0">
        <w:rPr>
          <w:lang w:val="es-ES_tradnl"/>
        </w:rPr>
        <w:t>.</w:t>
      </w:r>
      <w:r>
        <w:rPr>
          <w:lang w:val="es-ES_tradnl"/>
        </w:rPr>
        <w:t xml:space="preserve"> </w:t>
      </w:r>
      <w:r w:rsidRPr="00874BA0">
        <w:rPr>
          <w:lang w:val="es-ES_tradnl"/>
        </w:rPr>
        <w:t>Este resultado manifiest</w:t>
      </w:r>
      <w:r>
        <w:rPr>
          <w:lang w:val="es-ES_tradnl"/>
        </w:rPr>
        <w:t>a</w:t>
      </w:r>
      <w:r w:rsidRPr="00874BA0">
        <w:rPr>
          <w:lang w:val="es-ES_tradnl"/>
        </w:rPr>
        <w:t xml:space="preserve"> la poca participación de las empresas </w:t>
      </w:r>
      <w:r>
        <w:rPr>
          <w:lang w:val="es-ES_tradnl"/>
        </w:rPr>
        <w:t>puertorriqueña</w:t>
      </w:r>
      <w:r w:rsidRPr="00874BA0">
        <w:rPr>
          <w:lang w:val="es-ES_tradnl"/>
        </w:rPr>
        <w:t>s en el mercado de exportación.</w:t>
      </w:r>
    </w:p>
    <w:p w:rsidR="005A5E7D" w:rsidRPr="00874BA0" w:rsidRDefault="005A5E7D" w:rsidP="005A5E7D">
      <w:r w:rsidRPr="00874BA0">
        <w:rPr>
          <w:lang w:val="es-ES_tradnl"/>
        </w:rPr>
        <w:t>Por otro l</w:t>
      </w:r>
      <w:r>
        <w:rPr>
          <w:lang w:val="es-ES_tradnl"/>
        </w:rPr>
        <w:t>ado, los tratados comerciales sí</w:t>
      </w:r>
      <w:r w:rsidRPr="00874BA0">
        <w:rPr>
          <w:lang w:val="es-ES_tradnl"/>
        </w:rPr>
        <w:t xml:space="preserve"> han propiciado un aumento en las importaciones.</w:t>
      </w:r>
      <w:r>
        <w:rPr>
          <w:lang w:val="es-ES_tradnl"/>
        </w:rPr>
        <w:t xml:space="preserve"> </w:t>
      </w:r>
      <w:r w:rsidRPr="00874BA0">
        <w:rPr>
          <w:lang w:val="es-ES_tradnl"/>
        </w:rPr>
        <w:t>Resalta del análisis que los sectores industriales de mayor exportación también corresponden a los sectores que predominan en las importaciones, evidenciando</w:t>
      </w:r>
      <w:r w:rsidRPr="00874BA0">
        <w:t xml:space="preserve"> el </w:t>
      </w:r>
      <w:r>
        <w:t>peso de las transacciones intra</w:t>
      </w:r>
      <w:r w:rsidRPr="00874BA0">
        <w:t>empresas en el comercio exterior de Puerto Rico y la falta de eslabonamientos internos con suplidores en la Isla.</w:t>
      </w:r>
    </w:p>
    <w:p w:rsidR="005A5E7D" w:rsidRPr="00874BA0" w:rsidRDefault="005A5E7D" w:rsidP="005A5E7D">
      <w:r w:rsidRPr="00874BA0">
        <w:t>Los resultados indican que la cercanía geográfica y cultural con los países caribeños y latinoamericanos es un elemento que debe explotarse</w:t>
      </w:r>
      <w:r>
        <w:t>,</w:t>
      </w:r>
      <w:r w:rsidRPr="00874BA0">
        <w:t xml:space="preserve"> ya sea fomentando el intercambio </w:t>
      </w:r>
      <w:r>
        <w:t xml:space="preserve">comercial </w:t>
      </w:r>
      <w:r w:rsidRPr="00874BA0">
        <w:t>con países como Perú</w:t>
      </w:r>
      <w:r>
        <w:t>, Costa Rica</w:t>
      </w:r>
      <w:r w:rsidRPr="00874BA0">
        <w:t xml:space="preserve"> </w:t>
      </w:r>
      <w:r>
        <w:t>y Chile</w:t>
      </w:r>
      <w:r w:rsidRPr="00874BA0">
        <w:t>, los cuales</w:t>
      </w:r>
      <w:r>
        <w:t xml:space="preserve"> </w:t>
      </w:r>
      <w:r w:rsidRPr="00874BA0">
        <w:t>ya tienen TLC con E</w:t>
      </w:r>
      <w:r>
        <w:t xml:space="preserve">stados </w:t>
      </w:r>
      <w:r w:rsidRPr="00874BA0">
        <w:t>U</w:t>
      </w:r>
      <w:r>
        <w:t>nidos</w:t>
      </w:r>
      <w:r w:rsidRPr="00874BA0">
        <w:t xml:space="preserve"> </w:t>
      </w:r>
      <w:r>
        <w:t>o</w:t>
      </w:r>
      <w:r w:rsidRPr="00874BA0">
        <w:t xml:space="preserve"> fomentando la participación de Puerto Rico en otros grupos </w:t>
      </w:r>
      <w:r>
        <w:t>r</w:t>
      </w:r>
      <w:r w:rsidRPr="00874BA0">
        <w:t xml:space="preserve">egionales de creación reciente. </w:t>
      </w:r>
      <w:r>
        <w:t xml:space="preserve">También debe evaluarse el potencial de la exportación de servicios </w:t>
      </w:r>
      <w:r w:rsidRPr="006421DD">
        <w:rPr>
          <w:szCs w:val="24"/>
          <w:lang w:val="es-ES_tradnl"/>
        </w:rPr>
        <w:t>a los países</w:t>
      </w:r>
      <w:r>
        <w:rPr>
          <w:szCs w:val="24"/>
          <w:lang w:val="es-ES_tradnl"/>
        </w:rPr>
        <w:t xml:space="preserve"> que tienen TLC con Estados Unidos, así como a otros países del Caribe y América Latina.</w:t>
      </w:r>
    </w:p>
    <w:p w:rsidR="005A5E7D" w:rsidRPr="00874BA0" w:rsidRDefault="005A5E7D" w:rsidP="005A5E7D">
      <w:pPr>
        <w:rPr>
          <w:color w:val="000000"/>
          <w:shd w:val="clear" w:color="auto" w:fill="FFFFFF"/>
          <w:lang w:val="es-AR"/>
        </w:rPr>
      </w:pPr>
      <w:r w:rsidRPr="00874BA0">
        <w:rPr>
          <w:color w:val="000000"/>
          <w:shd w:val="clear" w:color="auto" w:fill="FFFFFF"/>
          <w:lang w:val="es-AR"/>
        </w:rPr>
        <w:t>Aumentar la presencia institucional de Puerto Rico en grupos regionales, así como las misiones comerciales</w:t>
      </w:r>
      <w:r>
        <w:rPr>
          <w:color w:val="000000"/>
          <w:shd w:val="clear" w:color="auto" w:fill="FFFFFF"/>
          <w:lang w:val="es-AR"/>
        </w:rPr>
        <w:t>,</w:t>
      </w:r>
      <w:r w:rsidRPr="00874BA0">
        <w:rPr>
          <w:color w:val="000000"/>
          <w:shd w:val="clear" w:color="auto" w:fill="FFFFFF"/>
          <w:lang w:val="es-AR"/>
        </w:rPr>
        <w:t xml:space="preserve"> son estrategias viables bajo cualquier </w:t>
      </w:r>
      <w:r>
        <w:rPr>
          <w:color w:val="000000"/>
          <w:shd w:val="clear" w:color="auto" w:fill="FFFFFF"/>
          <w:lang w:val="es-AR"/>
        </w:rPr>
        <w:t>fórmula de estatus</w:t>
      </w:r>
      <w:r w:rsidRPr="00874BA0">
        <w:rPr>
          <w:color w:val="000000"/>
          <w:shd w:val="clear" w:color="auto" w:fill="FFFFFF"/>
          <w:lang w:val="es-AR"/>
        </w:rPr>
        <w:t>.</w:t>
      </w:r>
      <w:r>
        <w:rPr>
          <w:color w:val="000000"/>
          <w:shd w:val="clear" w:color="auto" w:fill="FFFFFF"/>
          <w:lang w:val="es-AR"/>
        </w:rPr>
        <w:t xml:space="preserve"> </w:t>
      </w:r>
      <w:r w:rsidRPr="00B26E21">
        <w:rPr>
          <w:color w:val="000000"/>
          <w:shd w:val="clear" w:color="auto" w:fill="FFFFFF"/>
          <w:lang w:val="es-AR"/>
        </w:rPr>
        <w:t>No obstante, el aumento en las importaciones de países con TLC con Estados Unidos refleja la incapacidad para tomar medidas que protejan</w:t>
      </w:r>
      <w:r>
        <w:rPr>
          <w:color w:val="000000"/>
          <w:shd w:val="clear" w:color="auto" w:fill="FFFFFF"/>
          <w:lang w:val="es-AR"/>
        </w:rPr>
        <w:t xml:space="preserve"> </w:t>
      </w:r>
      <w:r w:rsidRPr="00B26E21">
        <w:rPr>
          <w:color w:val="000000"/>
          <w:shd w:val="clear" w:color="auto" w:fill="FFFFFF"/>
          <w:lang w:val="es-AR"/>
        </w:rPr>
        <w:t xml:space="preserve">de dicha competencia las industrias locales y en  particular a las </w:t>
      </w:r>
      <w:r>
        <w:rPr>
          <w:color w:val="000000"/>
          <w:shd w:val="clear" w:color="auto" w:fill="FFFFFF"/>
          <w:lang w:val="es-AR"/>
        </w:rPr>
        <w:t>pymes</w:t>
      </w:r>
      <w:r w:rsidRPr="00B26E21">
        <w:rPr>
          <w:color w:val="000000"/>
          <w:shd w:val="clear" w:color="auto" w:fill="FFFFFF"/>
          <w:lang w:val="es-AR"/>
        </w:rPr>
        <w:t>.</w:t>
      </w:r>
      <w:r>
        <w:rPr>
          <w:color w:val="000000"/>
          <w:shd w:val="clear" w:color="auto" w:fill="FFFFFF"/>
          <w:lang w:val="es-AR"/>
        </w:rPr>
        <w:t xml:space="preserve"> </w:t>
      </w:r>
      <w:r w:rsidRPr="00B26E21">
        <w:rPr>
          <w:color w:val="000000"/>
          <w:shd w:val="clear" w:color="auto" w:fill="FFFFFF"/>
          <w:lang w:val="es-AR"/>
        </w:rPr>
        <w:t>Por tanto, resulta necesario que el Gobierno desarrolle políticas públicas efectivas para promover la sustitución eficiente de importaciones y crear de esta manera mayores eslabonamientos interindustriales que propendan a un mayor crecimiento económico, por vía de los</w:t>
      </w:r>
      <w:r>
        <w:rPr>
          <w:color w:val="000000"/>
          <w:shd w:val="clear" w:color="auto" w:fill="FFFFFF"/>
          <w:lang w:val="es-AR"/>
        </w:rPr>
        <w:t xml:space="preserve"> multiplicadores de empleo e ingresos.</w:t>
      </w:r>
    </w:p>
    <w:p w:rsidR="005A5E7D" w:rsidRPr="00874BA0" w:rsidRDefault="005A5E7D" w:rsidP="005A5E7D">
      <w:pPr>
        <w:rPr>
          <w:color w:val="000000"/>
          <w:shd w:val="clear" w:color="auto" w:fill="FFFFFF"/>
          <w:lang w:val="es-AR"/>
        </w:rPr>
      </w:pPr>
      <w:r w:rsidRPr="00874BA0">
        <w:rPr>
          <w:color w:val="000000"/>
          <w:shd w:val="clear" w:color="auto" w:fill="FFFFFF"/>
          <w:lang w:val="es-AR"/>
        </w:rPr>
        <w:t>Queda clar</w:t>
      </w:r>
      <w:r>
        <w:rPr>
          <w:color w:val="000000"/>
          <w:shd w:val="clear" w:color="auto" w:fill="FFFFFF"/>
          <w:lang w:val="es-AR"/>
        </w:rPr>
        <w:t>a</w:t>
      </w:r>
      <w:r w:rsidRPr="00874BA0">
        <w:rPr>
          <w:color w:val="000000"/>
          <w:shd w:val="clear" w:color="auto" w:fill="FFFFFF"/>
          <w:lang w:val="es-AR"/>
        </w:rPr>
        <w:t xml:space="preserve"> la necesidad de mirar más allá de los mercados de libre comercio con E</w:t>
      </w:r>
      <w:r>
        <w:rPr>
          <w:color w:val="000000"/>
          <w:shd w:val="clear" w:color="auto" w:fill="FFFFFF"/>
          <w:lang w:val="es-AR"/>
        </w:rPr>
        <w:t xml:space="preserve">stados </w:t>
      </w:r>
      <w:r w:rsidRPr="00874BA0">
        <w:rPr>
          <w:color w:val="000000"/>
          <w:shd w:val="clear" w:color="auto" w:fill="FFFFFF"/>
          <w:lang w:val="es-AR"/>
        </w:rPr>
        <w:t>U</w:t>
      </w:r>
      <w:r>
        <w:rPr>
          <w:color w:val="000000"/>
          <w:shd w:val="clear" w:color="auto" w:fill="FFFFFF"/>
          <w:lang w:val="es-AR"/>
        </w:rPr>
        <w:t>nidos</w:t>
      </w:r>
      <w:r w:rsidRPr="00874BA0">
        <w:rPr>
          <w:color w:val="000000"/>
          <w:shd w:val="clear" w:color="auto" w:fill="FFFFFF"/>
          <w:lang w:val="es-AR"/>
        </w:rPr>
        <w:t xml:space="preserve"> para buscar los países a donde puedan exportarse productos </w:t>
      </w:r>
      <w:r>
        <w:rPr>
          <w:color w:val="000000"/>
          <w:shd w:val="clear" w:color="auto" w:fill="FFFFFF"/>
          <w:lang w:val="es-AR"/>
        </w:rPr>
        <w:t>puertorriqueño</w:t>
      </w:r>
      <w:r w:rsidRPr="00874BA0">
        <w:rPr>
          <w:color w:val="000000"/>
          <w:shd w:val="clear" w:color="auto" w:fill="FFFFFF"/>
          <w:lang w:val="es-AR"/>
        </w:rPr>
        <w:t>s.</w:t>
      </w:r>
      <w:r>
        <w:rPr>
          <w:color w:val="000000"/>
          <w:shd w:val="clear" w:color="auto" w:fill="FFFFFF"/>
          <w:lang w:val="es-AR"/>
        </w:rPr>
        <w:t xml:space="preserve"> </w:t>
      </w:r>
      <w:r w:rsidRPr="00874BA0">
        <w:rPr>
          <w:color w:val="000000"/>
          <w:shd w:val="clear" w:color="auto" w:fill="FFFFFF"/>
          <w:lang w:val="es-AR"/>
        </w:rPr>
        <w:t>Entre los sectores industriales que despuntan</w:t>
      </w:r>
      <w:r>
        <w:rPr>
          <w:color w:val="000000"/>
          <w:shd w:val="clear" w:color="auto" w:fill="FFFFFF"/>
          <w:lang w:val="es-AR"/>
        </w:rPr>
        <w:t>,</w:t>
      </w:r>
      <w:r w:rsidRPr="00874BA0">
        <w:rPr>
          <w:color w:val="000000"/>
          <w:shd w:val="clear" w:color="auto" w:fill="FFFFFF"/>
          <w:lang w:val="es-AR"/>
        </w:rPr>
        <w:t xml:space="preserve"> más allá de la manufactura de productos químicos y electrónicos, </w:t>
      </w:r>
      <w:r>
        <w:rPr>
          <w:color w:val="000000"/>
          <w:shd w:val="clear" w:color="auto" w:fill="FFFFFF"/>
          <w:lang w:val="es-AR"/>
        </w:rPr>
        <w:t xml:space="preserve">se </w:t>
      </w:r>
      <w:r w:rsidRPr="00874BA0">
        <w:rPr>
          <w:color w:val="000000"/>
          <w:shd w:val="clear" w:color="auto" w:fill="FFFFFF"/>
          <w:lang w:val="es-AR"/>
        </w:rPr>
        <w:t>incluyen la manufactura de ropa, comida y productos de metal, así como el reciclaje.</w:t>
      </w:r>
      <w:r>
        <w:rPr>
          <w:color w:val="000000"/>
          <w:shd w:val="clear" w:color="auto" w:fill="FFFFFF"/>
          <w:lang w:val="es-AR"/>
        </w:rPr>
        <w:t xml:space="preserve"> </w:t>
      </w:r>
    </w:p>
    <w:p w:rsidR="005A5E7D" w:rsidRDefault="005A5E7D" w:rsidP="005A5E7D">
      <w:pPr>
        <w:rPr>
          <w:color w:val="000000"/>
          <w:shd w:val="clear" w:color="auto" w:fill="FFFFFF"/>
          <w:lang w:val="es-AR"/>
        </w:rPr>
      </w:pPr>
      <w:r w:rsidRPr="009A360D">
        <w:rPr>
          <w:color w:val="000000"/>
          <w:shd w:val="clear" w:color="auto" w:fill="FFFFFF"/>
          <w:lang w:val="es-AR"/>
        </w:rPr>
        <w:t xml:space="preserve">Actualmente, las posibilidades para que el Gobierno de Puerto Rico se inserte en acuerdos en los que no participe Estados Unidos son muy limitadas.  No obstante, se recomienda que el Gobierno de Puerto Rico se proponga entablar </w:t>
      </w:r>
      <w:r w:rsidRPr="009A360D">
        <w:t xml:space="preserve">un diálogo con Estados Unidos </w:t>
      </w:r>
      <w:r>
        <w:rPr>
          <w:color w:val="000000"/>
          <w:shd w:val="clear" w:color="auto" w:fill="FFFFFF"/>
          <w:lang w:val="es-AR"/>
        </w:rPr>
        <w:t xml:space="preserve">de forma asertiva </w:t>
      </w:r>
      <w:r w:rsidRPr="009A360D">
        <w:t>para mejorar la participación de Puerto Rico en los tratados de libre comercio.</w:t>
      </w:r>
      <w:r>
        <w:t xml:space="preserve"> </w:t>
      </w:r>
      <w:r w:rsidRPr="00874BA0">
        <w:rPr>
          <w:color w:val="000000"/>
          <w:shd w:val="clear" w:color="auto" w:fill="FFFFFF"/>
          <w:lang w:val="es-AR"/>
        </w:rPr>
        <w:t>Bajo la estadidad se cerraría la puerta a dicha posibilidad</w:t>
      </w:r>
      <w:r>
        <w:rPr>
          <w:color w:val="000000"/>
          <w:shd w:val="clear" w:color="auto" w:fill="FFFFFF"/>
          <w:lang w:val="es-AR"/>
        </w:rPr>
        <w:t xml:space="preserve"> </w:t>
      </w:r>
      <w:r w:rsidRPr="00874BA0">
        <w:rPr>
          <w:color w:val="000000"/>
          <w:shd w:val="clear" w:color="auto" w:fill="FFFFFF"/>
          <w:lang w:val="es-AR"/>
        </w:rPr>
        <w:t xml:space="preserve">y se reducirían significativamente las posibilidades para aumentar la presencia institucional de la Isla en las </w:t>
      </w:r>
      <w:r>
        <w:rPr>
          <w:color w:val="000000"/>
          <w:shd w:val="clear" w:color="auto" w:fill="FFFFFF"/>
          <w:lang w:val="es-AR"/>
        </w:rPr>
        <w:t>o</w:t>
      </w:r>
      <w:r w:rsidRPr="00874BA0">
        <w:rPr>
          <w:color w:val="000000"/>
          <w:shd w:val="clear" w:color="auto" w:fill="FFFFFF"/>
          <w:lang w:val="es-AR"/>
        </w:rPr>
        <w:t xml:space="preserve">rganizaciones </w:t>
      </w:r>
      <w:r>
        <w:rPr>
          <w:color w:val="000000"/>
          <w:shd w:val="clear" w:color="auto" w:fill="FFFFFF"/>
          <w:lang w:val="es-AR"/>
        </w:rPr>
        <w:t>i</w:t>
      </w:r>
      <w:r w:rsidRPr="00874BA0">
        <w:rPr>
          <w:color w:val="000000"/>
          <w:shd w:val="clear" w:color="auto" w:fill="FFFFFF"/>
          <w:lang w:val="es-AR"/>
        </w:rPr>
        <w:t>nternacionales.</w:t>
      </w:r>
      <w:r>
        <w:rPr>
          <w:color w:val="000000"/>
          <w:shd w:val="clear" w:color="auto" w:fill="FFFFFF"/>
          <w:lang w:val="es-AR"/>
        </w:rPr>
        <w:t xml:space="preserve"> </w:t>
      </w:r>
      <w:r w:rsidRPr="00874BA0">
        <w:rPr>
          <w:color w:val="000000"/>
          <w:shd w:val="clear" w:color="auto" w:fill="FFFFFF"/>
          <w:lang w:val="es-AR"/>
        </w:rPr>
        <w:t>En cambio, bajo un ELA con mayor soberanía</w:t>
      </w:r>
      <w:r>
        <w:rPr>
          <w:color w:val="000000"/>
          <w:shd w:val="clear" w:color="auto" w:fill="FFFFFF"/>
          <w:lang w:val="es-AR"/>
        </w:rPr>
        <w:t xml:space="preserve"> </w:t>
      </w:r>
      <w:r w:rsidRPr="00874BA0">
        <w:rPr>
          <w:color w:val="000000"/>
          <w:shd w:val="clear" w:color="auto" w:fill="FFFFFF"/>
          <w:lang w:val="es-AR"/>
        </w:rPr>
        <w:t xml:space="preserve">o bajo la independencia habría cabida para medidas más agresivas que establezcan lazos económicos con países con alto potencial de demanda para los productos que el </w:t>
      </w:r>
      <w:r>
        <w:rPr>
          <w:color w:val="000000"/>
          <w:shd w:val="clear" w:color="auto" w:fill="FFFFFF"/>
          <w:lang w:val="es-AR"/>
        </w:rPr>
        <w:t>Gobierno</w:t>
      </w:r>
      <w:r w:rsidRPr="00874BA0">
        <w:rPr>
          <w:color w:val="000000"/>
          <w:shd w:val="clear" w:color="auto" w:fill="FFFFFF"/>
          <w:lang w:val="es-AR"/>
        </w:rPr>
        <w:t xml:space="preserve"> considere estratégicos para fomentar las exportaciones</w:t>
      </w:r>
      <w:r>
        <w:rPr>
          <w:color w:val="000000"/>
          <w:shd w:val="clear" w:color="auto" w:fill="FFFFFF"/>
          <w:lang w:val="es-AR"/>
        </w:rPr>
        <w:t xml:space="preserve"> y lograr una mayor internacionalización de su clase empresarial</w:t>
      </w:r>
      <w:r w:rsidRPr="00874BA0">
        <w:rPr>
          <w:color w:val="000000"/>
          <w:shd w:val="clear" w:color="auto" w:fill="FFFFFF"/>
          <w:lang w:val="es-AR"/>
        </w:rPr>
        <w:t>.</w:t>
      </w:r>
    </w:p>
    <w:p w:rsidR="005A5E7D" w:rsidRDefault="005A5E7D" w:rsidP="005A5E7D">
      <w:pPr>
        <w:rPr>
          <w:szCs w:val="24"/>
          <w:lang w:val="es-ES_tradnl"/>
        </w:rPr>
      </w:pPr>
      <w:r w:rsidRPr="009A360D">
        <w:rPr>
          <w:color w:val="000000"/>
          <w:shd w:val="clear" w:color="auto" w:fill="FFFFFF"/>
          <w:lang w:val="es-AR"/>
        </w:rPr>
        <w:t xml:space="preserve">Otra estrategia a seguir para </w:t>
      </w:r>
      <w:r w:rsidRPr="009A360D">
        <w:rPr>
          <w:szCs w:val="24"/>
          <w:lang w:val="es-ES_tradnl"/>
        </w:rPr>
        <w:t>incentivar a las empresas locales a una mayor internacionalización y exportación de sus productos</w:t>
      </w:r>
      <w:r>
        <w:t>,</w:t>
      </w:r>
      <w:r w:rsidRPr="009A360D">
        <w:rPr>
          <w:szCs w:val="24"/>
          <w:lang w:val="es-ES_tradnl"/>
        </w:rPr>
        <w:t xml:space="preserve"> así como </w:t>
      </w:r>
      <w:r w:rsidRPr="009A360D">
        <w:rPr>
          <w:color w:val="000000"/>
          <w:shd w:val="clear" w:color="auto" w:fill="FFFFFF"/>
          <w:lang w:val="es-AR"/>
        </w:rPr>
        <w:t xml:space="preserve">lograr una mayor competitividad y </w:t>
      </w:r>
      <w:r w:rsidRPr="009A360D">
        <w:rPr>
          <w:szCs w:val="24"/>
          <w:lang w:val="es-ES_tradnl"/>
        </w:rPr>
        <w:t>rentabilidad financiera, es viabilizar la disminución de los costos de</w:t>
      </w:r>
      <w:r>
        <w:rPr>
          <w:szCs w:val="24"/>
          <w:lang w:val="es-ES_tradnl"/>
        </w:rPr>
        <w:t xml:space="preserve"> mercadear </w:t>
      </w:r>
      <w:r>
        <w:t>sus productos en el exterior,</w:t>
      </w:r>
      <w:r w:rsidRPr="009A360D">
        <w:rPr>
          <w:szCs w:val="24"/>
          <w:lang w:val="es-ES_tradnl"/>
        </w:rPr>
        <w:t xml:space="preserve"> incluyendo los costos de transportación.  Con miras a reducir dichos costos de transportación hacia y desde la Isla y alca</w:t>
      </w:r>
      <w:r>
        <w:t xml:space="preserve">nzar una mayor competitividad, </w:t>
      </w:r>
      <w:r w:rsidRPr="009A360D">
        <w:rPr>
          <w:szCs w:val="24"/>
          <w:lang w:val="es-ES_tradnl"/>
        </w:rPr>
        <w:t xml:space="preserve">se recomienda que el </w:t>
      </w:r>
      <w:r>
        <w:t>G</w:t>
      </w:r>
      <w:r w:rsidRPr="009A360D">
        <w:rPr>
          <w:szCs w:val="24"/>
          <w:lang w:val="es-ES_tradnl"/>
        </w:rPr>
        <w:t xml:space="preserve">obierno de Puerto Rico negocie de forma más agresiva y contundente con el Congreso de Estados Unidos la eliminación de </w:t>
      </w:r>
      <w:r w:rsidRPr="008B456C">
        <w:t>—</w:t>
      </w:r>
      <w:r w:rsidRPr="009A360D">
        <w:rPr>
          <w:szCs w:val="24"/>
          <w:lang w:val="es-ES_tradnl"/>
        </w:rPr>
        <w:t>o poner en moratoria</w:t>
      </w:r>
      <w:r w:rsidRPr="008B456C">
        <w:t>—</w:t>
      </w:r>
      <w:r w:rsidRPr="009A360D">
        <w:rPr>
          <w:szCs w:val="24"/>
          <w:lang w:val="es-ES_tradnl"/>
        </w:rPr>
        <w:t xml:space="preserve"> las leyes de cabotaje que aplican a Puerto Rico.</w:t>
      </w:r>
      <w:r>
        <w:rPr>
          <w:szCs w:val="24"/>
          <w:lang w:val="es-ES_tradnl"/>
        </w:rPr>
        <w:t xml:space="preserve"> A su vez, l</w:t>
      </w:r>
      <w:r w:rsidRPr="009A360D">
        <w:rPr>
          <w:szCs w:val="24"/>
          <w:lang w:val="es-ES_tradnl"/>
        </w:rPr>
        <w:t xml:space="preserve">a falta de acceso a los mercados de capital se ha identificado como una de las limitaciones mayores al crecimiento de las </w:t>
      </w:r>
      <w:r>
        <w:t>pymes</w:t>
      </w:r>
      <w:r w:rsidRPr="009A360D">
        <w:rPr>
          <w:szCs w:val="24"/>
          <w:lang w:val="es-ES_tradnl"/>
        </w:rPr>
        <w:t xml:space="preserve"> y a sus posibilidades de inserción en los mercados globales.  Por t</w:t>
      </w:r>
      <w:r>
        <w:t xml:space="preserve">anto, es de suma importancia </w:t>
      </w:r>
      <w:r w:rsidRPr="009A360D">
        <w:rPr>
          <w:szCs w:val="24"/>
          <w:lang w:val="es-ES_tradnl"/>
        </w:rPr>
        <w:t>que se fortalezcan las fuentes de</w:t>
      </w:r>
      <w:r>
        <w:t xml:space="preserve"> capital local, </w:t>
      </w:r>
      <w:r w:rsidRPr="009A360D">
        <w:rPr>
          <w:szCs w:val="24"/>
          <w:lang w:val="es-ES_tradnl"/>
        </w:rPr>
        <w:t xml:space="preserve">y se dirijan dichos fondos para fomentar el desarrollo de nichos de negocios y viabilizar la participación efectiva de las empresas </w:t>
      </w:r>
      <w:r>
        <w:t>puertorriqueña</w:t>
      </w:r>
      <w:r w:rsidRPr="009A360D">
        <w:rPr>
          <w:szCs w:val="24"/>
          <w:lang w:val="es-ES_tradnl"/>
        </w:rPr>
        <w:t xml:space="preserve">s, incluyendo a las </w:t>
      </w:r>
      <w:r>
        <w:t>pymes</w:t>
      </w:r>
      <w:r w:rsidRPr="009A360D">
        <w:rPr>
          <w:szCs w:val="24"/>
          <w:lang w:val="es-ES_tradnl"/>
        </w:rPr>
        <w:t xml:space="preserve">, en los </w:t>
      </w:r>
      <w:r>
        <w:t>mercados externos</w:t>
      </w:r>
    </w:p>
    <w:p w:rsidR="005A5E7D" w:rsidRDefault="005A5E7D" w:rsidP="005A5E7D">
      <w:pPr>
        <w:rPr>
          <w:color w:val="000000"/>
          <w:shd w:val="clear" w:color="auto" w:fill="FFFFFF"/>
          <w:lang w:val="es-AR"/>
        </w:rPr>
      </w:pPr>
      <w:r>
        <w:rPr>
          <w:color w:val="000000"/>
          <w:shd w:val="clear" w:color="auto" w:fill="FFFFFF"/>
          <w:lang w:val="es-AR"/>
        </w:rPr>
        <w:t>Un análisis más exhaustivo</w:t>
      </w:r>
      <w:r w:rsidRPr="00874BA0">
        <w:rPr>
          <w:color w:val="000000"/>
          <w:shd w:val="clear" w:color="auto" w:fill="FFFFFF"/>
          <w:lang w:val="es-AR"/>
        </w:rPr>
        <w:t xml:space="preserve"> </w:t>
      </w:r>
      <w:r>
        <w:rPr>
          <w:color w:val="000000"/>
          <w:shd w:val="clear" w:color="auto" w:fill="FFFFFF"/>
          <w:lang w:val="es-AR"/>
        </w:rPr>
        <w:t>d</w:t>
      </w:r>
      <w:r w:rsidRPr="00874BA0">
        <w:rPr>
          <w:color w:val="000000"/>
          <w:shd w:val="clear" w:color="auto" w:fill="FFFFFF"/>
          <w:lang w:val="es-AR"/>
        </w:rPr>
        <w:t xml:space="preserve">el efecto de la estadidad sobre la posibilidad de fomentar la exportación </w:t>
      </w:r>
      <w:r>
        <w:rPr>
          <w:color w:val="000000"/>
          <w:shd w:val="clear" w:color="auto" w:fill="FFFFFF"/>
          <w:lang w:val="es-AR"/>
        </w:rPr>
        <w:t xml:space="preserve">requeriría </w:t>
      </w:r>
      <w:r w:rsidRPr="00874BA0">
        <w:rPr>
          <w:color w:val="000000"/>
          <w:shd w:val="clear" w:color="auto" w:fill="FFFFFF"/>
          <w:lang w:val="es-AR"/>
        </w:rPr>
        <w:t xml:space="preserve">identificar cuáles serían los productos </w:t>
      </w:r>
      <w:r>
        <w:rPr>
          <w:color w:val="000000"/>
          <w:shd w:val="clear" w:color="auto" w:fill="FFFFFF"/>
          <w:lang w:val="es-AR"/>
        </w:rPr>
        <w:t xml:space="preserve">de mayor potencial de exportación para </w:t>
      </w:r>
      <w:r w:rsidRPr="00874BA0">
        <w:rPr>
          <w:color w:val="000000"/>
          <w:shd w:val="clear" w:color="auto" w:fill="FFFFFF"/>
          <w:lang w:val="es-AR"/>
        </w:rPr>
        <w:t xml:space="preserve">las empresas </w:t>
      </w:r>
      <w:r>
        <w:rPr>
          <w:color w:val="000000"/>
          <w:shd w:val="clear" w:color="auto" w:fill="FFFFFF"/>
          <w:lang w:val="es-AR"/>
        </w:rPr>
        <w:t>puertorriqueña</w:t>
      </w:r>
      <w:r w:rsidRPr="00874BA0">
        <w:rPr>
          <w:color w:val="000000"/>
          <w:shd w:val="clear" w:color="auto" w:fill="FFFFFF"/>
          <w:lang w:val="es-AR"/>
        </w:rPr>
        <w:t>s y los mercados de</w:t>
      </w:r>
      <w:r>
        <w:rPr>
          <w:color w:val="000000"/>
          <w:shd w:val="clear" w:color="auto" w:fill="FFFFFF"/>
          <w:lang w:val="es-AR"/>
        </w:rPr>
        <w:t xml:space="preserve"> mayor</w:t>
      </w:r>
      <w:r w:rsidRPr="00874BA0">
        <w:rPr>
          <w:color w:val="000000"/>
          <w:shd w:val="clear" w:color="auto" w:fill="FFFFFF"/>
          <w:lang w:val="es-AR"/>
        </w:rPr>
        <w:t xml:space="preserve"> demanda para </w:t>
      </w:r>
      <w:r>
        <w:rPr>
          <w:color w:val="000000"/>
          <w:shd w:val="clear" w:color="auto" w:fill="FFFFFF"/>
          <w:lang w:val="es-AR"/>
        </w:rPr>
        <w:t>ellos</w:t>
      </w:r>
      <w:r w:rsidRPr="00874BA0">
        <w:rPr>
          <w:color w:val="000000"/>
          <w:shd w:val="clear" w:color="auto" w:fill="FFFFFF"/>
          <w:lang w:val="es-AR"/>
        </w:rPr>
        <w:t>.</w:t>
      </w:r>
      <w:r>
        <w:rPr>
          <w:color w:val="000000"/>
          <w:shd w:val="clear" w:color="auto" w:fill="FFFFFF"/>
          <w:lang w:val="es-AR"/>
        </w:rPr>
        <w:t xml:space="preserve"> </w:t>
      </w:r>
      <w:r w:rsidRPr="00874BA0">
        <w:rPr>
          <w:color w:val="000000"/>
          <w:shd w:val="clear" w:color="auto" w:fill="FFFFFF"/>
          <w:lang w:val="es-AR"/>
        </w:rPr>
        <w:t>La identificación precisa de estos productos va más allá del alcance de este trabajo</w:t>
      </w:r>
      <w:r>
        <w:rPr>
          <w:color w:val="000000"/>
          <w:shd w:val="clear" w:color="auto" w:fill="FFFFFF"/>
          <w:lang w:val="es-AR"/>
        </w:rPr>
        <w:t>,</w:t>
      </w:r>
      <w:r w:rsidRPr="00874BA0">
        <w:rPr>
          <w:color w:val="000000"/>
          <w:shd w:val="clear" w:color="auto" w:fill="FFFFFF"/>
          <w:lang w:val="es-AR"/>
        </w:rPr>
        <w:t xml:space="preserve"> ya que es necesario generar datos que permitan establecer un vínculo directo entre la producción de empresas </w:t>
      </w:r>
      <w:r>
        <w:rPr>
          <w:color w:val="000000"/>
          <w:shd w:val="clear" w:color="auto" w:fill="FFFFFF"/>
          <w:lang w:val="es-AR"/>
        </w:rPr>
        <w:t>puertorriqueña</w:t>
      </w:r>
      <w:r w:rsidRPr="00874BA0">
        <w:rPr>
          <w:color w:val="000000"/>
          <w:shd w:val="clear" w:color="auto" w:fill="FFFFFF"/>
          <w:lang w:val="es-AR"/>
        </w:rPr>
        <w:t>s y su capacidad de exportación.</w:t>
      </w:r>
    </w:p>
    <w:p w:rsidR="005A5E7D" w:rsidRDefault="005A5E7D" w:rsidP="005A5E7D">
      <w:pPr>
        <w:rPr>
          <w:color w:val="000000"/>
          <w:shd w:val="clear" w:color="auto" w:fill="FFFFFF"/>
          <w:lang w:val="es-AR"/>
        </w:rPr>
      </w:pPr>
      <w:r>
        <w:rPr>
          <w:color w:val="000000"/>
          <w:shd w:val="clear" w:color="auto" w:fill="FFFFFF"/>
          <w:lang w:val="es-AR"/>
        </w:rPr>
        <w:t>Los</w:t>
      </w:r>
      <w:r w:rsidRPr="00874BA0">
        <w:rPr>
          <w:color w:val="000000"/>
          <w:shd w:val="clear" w:color="auto" w:fill="FFFFFF"/>
          <w:lang w:val="es-AR"/>
        </w:rPr>
        <w:t xml:space="preserve"> datos de comercio exterior para Puerto Rico no hacen distinción entre las ex</w:t>
      </w:r>
      <w:r>
        <w:rPr>
          <w:color w:val="000000"/>
          <w:shd w:val="clear" w:color="auto" w:fill="FFFFFF"/>
          <w:lang w:val="es-AR"/>
        </w:rPr>
        <w:t>portaciones de empresas puertorriqueña</w:t>
      </w:r>
      <w:r w:rsidRPr="00874BA0">
        <w:rPr>
          <w:color w:val="000000"/>
          <w:shd w:val="clear" w:color="auto" w:fill="FFFFFF"/>
          <w:lang w:val="es-AR"/>
        </w:rPr>
        <w:t>s versus las exportacione</w:t>
      </w:r>
      <w:r>
        <w:rPr>
          <w:color w:val="000000"/>
          <w:shd w:val="clear" w:color="auto" w:fill="FFFFFF"/>
          <w:lang w:val="es-AR"/>
        </w:rPr>
        <w:t>s de empresas de capital foráneo. Por tanto,</w:t>
      </w:r>
      <w:r w:rsidRPr="00874BA0">
        <w:rPr>
          <w:color w:val="000000"/>
          <w:shd w:val="clear" w:color="auto" w:fill="FFFFFF"/>
          <w:lang w:val="es-AR"/>
        </w:rPr>
        <w:t xml:space="preserve"> </w:t>
      </w:r>
      <w:r>
        <w:rPr>
          <w:color w:val="000000"/>
          <w:shd w:val="clear" w:color="auto" w:fill="FFFFFF"/>
          <w:lang w:val="es-AR"/>
        </w:rPr>
        <w:t>recomendamos el diseño de</w:t>
      </w:r>
      <w:r w:rsidRPr="00874BA0">
        <w:rPr>
          <w:color w:val="000000"/>
          <w:shd w:val="clear" w:color="auto" w:fill="FFFFFF"/>
          <w:lang w:val="es-AR"/>
        </w:rPr>
        <w:t xml:space="preserve"> mejores instrumentos para recopilar la información que permita disponer de datos precisos sobre las exportaciones de empresas </w:t>
      </w:r>
      <w:r>
        <w:rPr>
          <w:color w:val="000000"/>
          <w:shd w:val="clear" w:color="auto" w:fill="FFFFFF"/>
          <w:lang w:val="es-AR"/>
        </w:rPr>
        <w:t>puertorriqueña</w:t>
      </w:r>
      <w:r w:rsidRPr="00874BA0">
        <w:rPr>
          <w:color w:val="000000"/>
          <w:shd w:val="clear" w:color="auto" w:fill="FFFFFF"/>
          <w:lang w:val="es-AR"/>
        </w:rPr>
        <w:t>s.</w:t>
      </w:r>
      <w:r>
        <w:rPr>
          <w:color w:val="000000"/>
          <w:shd w:val="clear" w:color="auto" w:fill="FFFFFF"/>
          <w:lang w:val="es-AR"/>
        </w:rPr>
        <w:t xml:space="preserve"> </w:t>
      </w:r>
      <w:r w:rsidRPr="00874BA0">
        <w:rPr>
          <w:color w:val="000000"/>
          <w:shd w:val="clear" w:color="auto" w:fill="FFFFFF"/>
          <w:lang w:val="es-AR"/>
        </w:rPr>
        <w:t>Esto no sólo permitirá evaluar más detalladamente los posibles efectos de la e</w:t>
      </w:r>
      <w:r>
        <w:rPr>
          <w:color w:val="000000"/>
          <w:shd w:val="clear" w:color="auto" w:fill="FFFFFF"/>
          <w:lang w:val="es-AR"/>
        </w:rPr>
        <w:t>stadidad, sino también servirá</w:t>
      </w:r>
      <w:r w:rsidRPr="00874BA0">
        <w:rPr>
          <w:color w:val="000000"/>
          <w:shd w:val="clear" w:color="auto" w:fill="FFFFFF"/>
          <w:lang w:val="es-AR"/>
        </w:rPr>
        <w:t xml:space="preserve"> de base para diseñar un plan de acción específico y coherente para promover </w:t>
      </w:r>
      <w:r>
        <w:rPr>
          <w:color w:val="000000"/>
          <w:shd w:val="clear" w:color="auto" w:fill="FFFFFF"/>
          <w:lang w:val="es-AR"/>
        </w:rPr>
        <w:t xml:space="preserve">la participación de empresas puertorriqueñas en </w:t>
      </w:r>
      <w:r w:rsidRPr="00874BA0">
        <w:rPr>
          <w:color w:val="000000"/>
          <w:shd w:val="clear" w:color="auto" w:fill="FFFFFF"/>
          <w:lang w:val="es-AR"/>
        </w:rPr>
        <w:t>dichas exportaciones.</w:t>
      </w:r>
    </w:p>
    <w:p w:rsidR="005A5E7D" w:rsidRDefault="005A5E7D" w:rsidP="005A5E7D">
      <w:pPr>
        <w:pStyle w:val="Heading2"/>
        <w:numPr>
          <w:ilvl w:val="0"/>
          <w:numId w:val="0"/>
        </w:numPr>
      </w:pPr>
    </w:p>
    <w:p w:rsidR="005A5E7D" w:rsidRDefault="005A5E7D" w:rsidP="005A5E7D">
      <w:pPr>
        <w:pStyle w:val="Heading2"/>
        <w:numPr>
          <w:ilvl w:val="0"/>
          <w:numId w:val="0"/>
        </w:numPr>
      </w:pPr>
      <w:bookmarkStart w:id="76" w:name="_Toc384769767"/>
      <w:r w:rsidRPr="00F47889">
        <w:t>Referencias:</w:t>
      </w:r>
      <w:bookmarkEnd w:id="76"/>
    </w:p>
    <w:p w:rsidR="005A5E7D" w:rsidRPr="00331E52" w:rsidRDefault="005A5E7D" w:rsidP="005A5E7D">
      <w:pPr>
        <w:spacing w:line="240" w:lineRule="auto"/>
      </w:pPr>
    </w:p>
    <w:p w:rsidR="005A5E7D" w:rsidRPr="005B5FEE" w:rsidRDefault="005A5E7D" w:rsidP="005A5E7D">
      <w:pPr>
        <w:spacing w:line="240" w:lineRule="auto"/>
        <w:ind w:left="720" w:hanging="630"/>
        <w:jc w:val="left"/>
        <w:rPr>
          <w:lang w:val="en-US"/>
        </w:rPr>
      </w:pPr>
      <w:r w:rsidRPr="005D5251">
        <w:rPr>
          <w:color w:val="000000"/>
          <w:shd w:val="clear" w:color="auto" w:fill="FFFFFF"/>
          <w:lang w:val="es-AR"/>
        </w:rPr>
        <w:t xml:space="preserve">Alianza Bolivariana para América. </w:t>
      </w:r>
      <w:r w:rsidRPr="005B5FEE">
        <w:rPr>
          <w:color w:val="000000"/>
          <w:shd w:val="clear" w:color="auto" w:fill="FFFFFF"/>
          <w:lang w:val="en-US"/>
        </w:rPr>
        <w:t>2010. Web. &lt;http://www.alba-tcp.org/en&gt;.</w:t>
      </w:r>
    </w:p>
    <w:p w:rsidR="005A5E7D" w:rsidRPr="005B5FEE" w:rsidRDefault="005A5E7D" w:rsidP="005A5E7D">
      <w:pPr>
        <w:spacing w:line="240" w:lineRule="auto"/>
        <w:ind w:left="720" w:hanging="630"/>
        <w:jc w:val="left"/>
        <w:rPr>
          <w:color w:val="000000"/>
          <w:shd w:val="clear" w:color="auto" w:fill="FFFFFF"/>
          <w:lang w:val="en-US"/>
        </w:rPr>
      </w:pPr>
    </w:p>
    <w:p w:rsidR="005A5E7D" w:rsidRPr="005B5FEE" w:rsidRDefault="005A5E7D" w:rsidP="005A5E7D">
      <w:pPr>
        <w:spacing w:after="240" w:line="240" w:lineRule="auto"/>
        <w:ind w:left="720" w:hanging="630"/>
        <w:jc w:val="left"/>
        <w:rPr>
          <w:color w:val="000000"/>
          <w:shd w:val="clear" w:color="auto" w:fill="FFFFFF"/>
          <w:lang w:val="en-US"/>
        </w:rPr>
      </w:pPr>
      <w:r w:rsidRPr="005D5251">
        <w:rPr>
          <w:color w:val="000000"/>
          <w:shd w:val="clear" w:color="auto" w:fill="FFFFFF"/>
          <w:lang w:val="es-AR"/>
        </w:rPr>
        <w:t>Alicia Barcena, ed.</w:t>
      </w:r>
      <w:r w:rsidRPr="005D5251">
        <w:rPr>
          <w:rStyle w:val="apple-converted-space"/>
          <w:color w:val="000000"/>
          <w:shd w:val="clear" w:color="auto" w:fill="FFFFFF"/>
          <w:lang w:val="es-AR"/>
        </w:rPr>
        <w:t> </w:t>
      </w:r>
      <w:r w:rsidRPr="005D5251">
        <w:rPr>
          <w:i/>
          <w:iCs/>
          <w:color w:val="000000"/>
          <w:shd w:val="clear" w:color="auto" w:fill="FFFFFF"/>
          <w:lang w:val="es-AR"/>
        </w:rPr>
        <w:t>Comisión Económica para América Latina y el Caribe</w:t>
      </w:r>
      <w:r w:rsidRPr="005D5251">
        <w:rPr>
          <w:color w:val="000000"/>
          <w:shd w:val="clear" w:color="auto" w:fill="FFFFFF"/>
          <w:lang w:val="es-AR"/>
        </w:rPr>
        <w:t xml:space="preserve">2012. </w:t>
      </w:r>
      <w:r w:rsidRPr="00A226D8">
        <w:rPr>
          <w:color w:val="000000"/>
          <w:shd w:val="clear" w:color="auto" w:fill="FFFFFF"/>
          <w:lang w:val="en-US"/>
        </w:rPr>
        <w:t xml:space="preserve">Web. 26 Jan. 2014. </w:t>
      </w:r>
      <w:r w:rsidRPr="005B5FEE">
        <w:rPr>
          <w:color w:val="000000"/>
          <w:shd w:val="clear" w:color="auto" w:fill="FFFFFF"/>
          <w:lang w:val="en-US"/>
        </w:rPr>
        <w:t>&lt;http://www.eclac.cl/noticias/paginas/8/33638/2012.03.16-ALADI.pdf&gt;.</w:t>
      </w:r>
    </w:p>
    <w:p w:rsidR="005A5E7D" w:rsidRPr="005D5251" w:rsidRDefault="005A5E7D" w:rsidP="005A5E7D">
      <w:pPr>
        <w:spacing w:after="240" w:line="240" w:lineRule="auto"/>
        <w:ind w:left="720" w:hanging="630"/>
        <w:jc w:val="left"/>
        <w:rPr>
          <w:color w:val="000000"/>
          <w:shd w:val="clear" w:color="auto" w:fill="FFFFFF"/>
          <w:lang w:val="es-AR"/>
        </w:rPr>
      </w:pPr>
      <w:r w:rsidRPr="005D5251">
        <w:rPr>
          <w:color w:val="000000"/>
          <w:shd w:val="clear" w:color="auto" w:fill="FFFFFF"/>
          <w:lang w:val="es-AR"/>
        </w:rPr>
        <w:t>Altmann, Josette. "El alba, Petrocaribe y Centroamérica: ¿intereses comunes?."</w:t>
      </w:r>
      <w:r w:rsidRPr="005D5251">
        <w:rPr>
          <w:rStyle w:val="apple-converted-space"/>
          <w:color w:val="000000"/>
          <w:shd w:val="clear" w:color="auto" w:fill="FFFFFF"/>
          <w:lang w:val="es-AR"/>
        </w:rPr>
        <w:t> </w:t>
      </w:r>
      <w:r w:rsidRPr="005D5251">
        <w:rPr>
          <w:i/>
          <w:iCs/>
          <w:color w:val="000000"/>
          <w:shd w:val="clear" w:color="auto" w:fill="FFFFFF"/>
          <w:lang w:val="es-AR"/>
        </w:rPr>
        <w:t>Nueva Sociedad</w:t>
      </w:r>
      <w:r w:rsidRPr="005D5251">
        <w:rPr>
          <w:color w:val="000000"/>
          <w:shd w:val="clear" w:color="auto" w:fill="FFFFFF"/>
          <w:lang w:val="es-AR"/>
        </w:rPr>
        <w:t>. 219 (2009): 127-144. Web. 26 Jan. 2014. &lt;http://www.nuso.org/upload/articulos/3587_1.pdf&gt;.</w:t>
      </w:r>
    </w:p>
    <w:p w:rsidR="005A5E7D" w:rsidRPr="005D5251" w:rsidRDefault="005A5E7D" w:rsidP="005A5E7D">
      <w:pPr>
        <w:spacing w:after="240" w:line="240" w:lineRule="auto"/>
        <w:ind w:left="720" w:hanging="630"/>
        <w:jc w:val="left"/>
        <w:rPr>
          <w:color w:val="000000"/>
          <w:shd w:val="clear" w:color="auto" w:fill="FFFFFF"/>
          <w:lang w:val="es-AR"/>
        </w:rPr>
      </w:pPr>
      <w:r w:rsidRPr="005D5251">
        <w:rPr>
          <w:color w:val="000000"/>
          <w:shd w:val="clear" w:color="auto" w:fill="FFFFFF"/>
          <w:lang w:val="es-AR"/>
        </w:rPr>
        <w:t>Asociacion Latinoamericana de Integracion. Secretaria General de ALADI.</w:t>
      </w:r>
      <w:r w:rsidRPr="005D5251">
        <w:rPr>
          <w:rStyle w:val="apple-converted-space"/>
          <w:color w:val="000000"/>
          <w:shd w:val="clear" w:color="auto" w:fill="FFFFFF"/>
          <w:lang w:val="es-AR"/>
        </w:rPr>
        <w:t> </w:t>
      </w:r>
      <w:r w:rsidRPr="005D5251">
        <w:rPr>
          <w:i/>
          <w:iCs/>
          <w:color w:val="000000"/>
          <w:shd w:val="clear" w:color="auto" w:fill="FFFFFF"/>
          <w:lang w:val="es-AR"/>
        </w:rPr>
        <w:t>Estadisticas</w:t>
      </w:r>
      <w:r w:rsidRPr="005D5251">
        <w:rPr>
          <w:color w:val="000000"/>
          <w:shd w:val="clear" w:color="auto" w:fill="FFFFFF"/>
          <w:lang w:val="es-AR"/>
        </w:rPr>
        <w:t>. Asociacion Latinoamericana de Integracion, 2012. Web. &lt;http://www.aladi.org/&gt;.</w:t>
      </w:r>
    </w:p>
    <w:p w:rsidR="005A5E7D" w:rsidRPr="005D5251" w:rsidRDefault="005A5E7D" w:rsidP="005A5E7D">
      <w:pPr>
        <w:spacing w:after="240" w:line="240" w:lineRule="auto"/>
        <w:ind w:left="720" w:hanging="630"/>
        <w:jc w:val="left"/>
        <w:rPr>
          <w:color w:val="000000"/>
          <w:shd w:val="clear" w:color="auto" w:fill="FFFFFF"/>
          <w:lang w:val="es-AR"/>
        </w:rPr>
      </w:pPr>
      <w:r w:rsidRPr="005D5251">
        <w:rPr>
          <w:color w:val="000000"/>
          <w:shd w:val="clear" w:color="auto" w:fill="FFFFFF"/>
          <w:lang w:val="es-AR"/>
        </w:rPr>
        <w:t>Barcena, Alicia, Antonio Prado, and Hugo Beteta. CEPAL. Unidad de Comercio Internacional e Industria.</w:t>
      </w:r>
      <w:r w:rsidRPr="005D5251">
        <w:rPr>
          <w:i/>
          <w:iCs/>
          <w:color w:val="000000"/>
          <w:shd w:val="clear" w:color="auto" w:fill="FFFFFF"/>
          <w:lang w:val="es-AR"/>
        </w:rPr>
        <w:t>Relaciones CARICOM – Centroamérica y la República Dominicana: una ventana de oportunidades de comercio e inversión</w:t>
      </w:r>
      <w:r>
        <w:rPr>
          <w:rStyle w:val="apple-converted-space"/>
          <w:color w:val="000000"/>
          <w:shd w:val="clear" w:color="auto" w:fill="FFFFFF"/>
          <w:lang w:val="es-AR"/>
        </w:rPr>
        <w:t>.</w:t>
      </w:r>
      <w:r w:rsidRPr="005D5251">
        <w:rPr>
          <w:color w:val="000000"/>
          <w:shd w:val="clear" w:color="auto" w:fill="FFFFFF"/>
          <w:lang w:val="es-AR"/>
        </w:rPr>
        <w:t xml:space="preserve"> Mexico D.F.: Naciones Unidas, 2012. Web. &lt;http://www.eclac.cl/publicaciones/xml/2/46722/2012-010_CARICOM-L.1057-Rev.2_esp-web.pdf&gt;.</w:t>
      </w:r>
    </w:p>
    <w:p w:rsidR="005A5E7D" w:rsidRPr="008D00FA" w:rsidRDefault="005A5E7D" w:rsidP="005A5E7D">
      <w:pPr>
        <w:pStyle w:val="Bibliography1"/>
        <w:spacing w:after="240" w:line="240" w:lineRule="auto"/>
        <w:ind w:left="720" w:hanging="630"/>
        <w:jc w:val="left"/>
        <w:rPr>
          <w:rFonts w:cs="Times New Roman"/>
          <w:noProof/>
          <w:szCs w:val="24"/>
        </w:rPr>
      </w:pPr>
      <w:r w:rsidRPr="005D5251">
        <w:rPr>
          <w:rFonts w:cs="Times New Roman"/>
          <w:noProof/>
          <w:szCs w:val="24"/>
        </w:rPr>
        <w:t xml:space="preserve">Bernier, D. (8 de enero de 2014). Internalización con Resultados. </w:t>
      </w:r>
      <w:r w:rsidRPr="005D5251">
        <w:rPr>
          <w:rFonts w:cs="Times New Roman"/>
          <w:i/>
          <w:iCs/>
          <w:noProof/>
          <w:szCs w:val="24"/>
        </w:rPr>
        <w:t>El Nuevo Día</w:t>
      </w:r>
      <w:r w:rsidRPr="005D5251">
        <w:rPr>
          <w:rFonts w:cs="Times New Roman"/>
          <w:noProof/>
          <w:szCs w:val="24"/>
        </w:rPr>
        <w:t>. Recuperado el enero de 2014, de http://www.elnuevodia.com/columna-internacionalizacionconresultados-1683752.html</w:t>
      </w:r>
    </w:p>
    <w:p w:rsidR="005A5E7D" w:rsidRPr="005B5FEE" w:rsidRDefault="005A5E7D" w:rsidP="005A5E7D">
      <w:pPr>
        <w:spacing w:after="240" w:line="240" w:lineRule="auto"/>
        <w:ind w:left="720" w:hanging="630"/>
        <w:jc w:val="left"/>
        <w:rPr>
          <w:color w:val="000000"/>
          <w:shd w:val="clear" w:color="auto" w:fill="FFFFFF"/>
          <w:lang w:val="en-US"/>
        </w:rPr>
      </w:pPr>
      <w:r w:rsidRPr="005B5FEE">
        <w:rPr>
          <w:i/>
          <w:iCs/>
          <w:color w:val="000000"/>
          <w:shd w:val="clear" w:color="auto" w:fill="FFFFFF"/>
          <w:lang w:val="en-US"/>
        </w:rPr>
        <w:t>Com</w:t>
      </w:r>
      <w:r>
        <w:rPr>
          <w:i/>
          <w:iCs/>
          <w:color w:val="000000"/>
          <w:shd w:val="clear" w:color="auto" w:fill="FFFFFF"/>
          <w:lang w:val="en-US"/>
        </w:rPr>
        <w:t>m</w:t>
      </w:r>
      <w:r w:rsidRPr="005B5FEE">
        <w:rPr>
          <w:i/>
          <w:iCs/>
          <w:color w:val="000000"/>
          <w:shd w:val="clear" w:color="auto" w:fill="FFFFFF"/>
          <w:lang w:val="en-US"/>
        </w:rPr>
        <w:t>it</w:t>
      </w:r>
      <w:r>
        <w:rPr>
          <w:i/>
          <w:iCs/>
          <w:color w:val="000000"/>
          <w:shd w:val="clear" w:color="auto" w:fill="FFFFFF"/>
          <w:lang w:val="en-US"/>
        </w:rPr>
        <w:t>t</w:t>
      </w:r>
      <w:r w:rsidRPr="005B5FEE">
        <w:rPr>
          <w:i/>
          <w:iCs/>
          <w:color w:val="000000"/>
          <w:shd w:val="clear" w:color="auto" w:fill="FFFFFF"/>
          <w:lang w:val="en-US"/>
        </w:rPr>
        <w:t>ee on World Food Security</w:t>
      </w:r>
      <w:r w:rsidRPr="005B5FEE">
        <w:rPr>
          <w:color w:val="000000"/>
          <w:shd w:val="clear" w:color="auto" w:fill="FFFFFF"/>
          <w:lang w:val="en-US"/>
        </w:rPr>
        <w:t>FAO, 2012. Web. 26 Jan. 2014. &lt;http://www.fao.org/fileadmin/templates/cfs/Docs1112/CFS39Docs/SpecialSession/CFS_39_Special_Session_Alba_Food_Sp.pdf&gt;.</w:t>
      </w:r>
    </w:p>
    <w:p w:rsidR="005A5E7D" w:rsidRPr="008D00FA" w:rsidRDefault="005A5E7D" w:rsidP="005A5E7D">
      <w:pPr>
        <w:spacing w:after="240" w:line="240" w:lineRule="auto"/>
        <w:ind w:left="720" w:hanging="630"/>
        <w:jc w:val="left"/>
        <w:rPr>
          <w:lang w:val="es-AR"/>
        </w:rPr>
      </w:pPr>
      <w:r w:rsidRPr="005D5251">
        <w:rPr>
          <w:color w:val="000000"/>
          <w:shd w:val="clear" w:color="auto" w:fill="FFFFFF"/>
          <w:lang w:val="es-AR"/>
        </w:rPr>
        <w:t>Cordero, Martha. CEPAL.</w:t>
      </w:r>
      <w:r w:rsidRPr="005D5251">
        <w:rPr>
          <w:rStyle w:val="apple-converted-space"/>
          <w:color w:val="000000"/>
          <w:shd w:val="clear" w:color="auto" w:fill="FFFFFF"/>
          <w:lang w:val="es-AR"/>
        </w:rPr>
        <w:t> </w:t>
      </w:r>
      <w:r w:rsidRPr="005D5251">
        <w:rPr>
          <w:i/>
          <w:iCs/>
          <w:color w:val="000000"/>
          <w:shd w:val="clear" w:color="auto" w:fill="FFFFFF"/>
          <w:lang w:val="es-AR"/>
        </w:rPr>
        <w:t>El Comercio de los Bienes y Servicios en Centroamerica:Una Nueva Mirada en 2013</w:t>
      </w:r>
      <w:r w:rsidRPr="005D5251">
        <w:rPr>
          <w:color w:val="000000"/>
          <w:shd w:val="clear" w:color="auto" w:fill="FFFFFF"/>
          <w:lang w:val="es-AR"/>
        </w:rPr>
        <w:t>. Mexico D.F.: Naciones Unidas 20XX, 2013. Web. &lt;http://www.eclac.org/cgi-bin/getProd.asp?xml=/publicaciones/xml/8/51718/P51718.xml&amp;xsl=/tpl/p9f.xsl&amp;base=&gt;.</w:t>
      </w:r>
    </w:p>
    <w:p w:rsidR="005A5E7D" w:rsidRPr="005D5251" w:rsidRDefault="005A5E7D" w:rsidP="005A5E7D">
      <w:pPr>
        <w:spacing w:after="240" w:line="240" w:lineRule="auto"/>
        <w:ind w:left="720" w:hanging="630"/>
        <w:jc w:val="left"/>
        <w:rPr>
          <w:color w:val="000000"/>
          <w:shd w:val="clear" w:color="auto" w:fill="FFFFFF"/>
          <w:lang w:val="es-AR"/>
        </w:rPr>
      </w:pPr>
      <w:r w:rsidRPr="005D5251">
        <w:rPr>
          <w:color w:val="000000"/>
          <w:shd w:val="clear" w:color="auto" w:fill="FFFFFF"/>
          <w:lang w:val="es-AR"/>
        </w:rPr>
        <w:t>García, Dean, Margarita Cruz, et al. Nicaragua. Ministerio de Fomento, Industria y Comercio.</w:t>
      </w:r>
      <w:r w:rsidRPr="005D5251">
        <w:rPr>
          <w:rStyle w:val="apple-converted-space"/>
          <w:color w:val="000000"/>
          <w:shd w:val="clear" w:color="auto" w:fill="FFFFFF"/>
          <w:lang w:val="es-AR"/>
        </w:rPr>
        <w:t> </w:t>
      </w:r>
      <w:r w:rsidRPr="005D5251">
        <w:rPr>
          <w:i/>
          <w:iCs/>
          <w:color w:val="000000"/>
          <w:shd w:val="clear" w:color="auto" w:fill="FFFFFF"/>
          <w:lang w:val="es-AR"/>
        </w:rPr>
        <w:t>CAFTA-RD: Documento Explicativo</w:t>
      </w:r>
      <w:r w:rsidRPr="005D5251">
        <w:rPr>
          <w:color w:val="000000"/>
          <w:shd w:val="clear" w:color="auto" w:fill="FFFFFF"/>
          <w:lang w:val="es-AR"/>
        </w:rPr>
        <w:t>. Web. &lt;http://www.mific.gob.ni/LinkClick.aspx?fileticket=3bENtRze4UY=&amp;tabid=352&amp;language=en-US&gt;.</w:t>
      </w:r>
    </w:p>
    <w:p w:rsidR="005A5E7D" w:rsidRPr="006C2A22" w:rsidRDefault="005A5E7D" w:rsidP="005A5E7D">
      <w:pPr>
        <w:pStyle w:val="Bibliography1"/>
        <w:spacing w:after="240" w:line="240" w:lineRule="auto"/>
        <w:ind w:left="720" w:hanging="630"/>
        <w:jc w:val="left"/>
        <w:rPr>
          <w:rFonts w:cs="Times New Roman"/>
          <w:noProof/>
          <w:szCs w:val="24"/>
          <w:lang w:val="en-US"/>
        </w:rPr>
      </w:pPr>
      <w:r w:rsidRPr="006C2A22">
        <w:rPr>
          <w:rFonts w:cs="Times New Roman"/>
          <w:noProof/>
          <w:szCs w:val="24"/>
          <w:lang w:val="en-US"/>
        </w:rPr>
        <w:t xml:space="preserve">International Trade Administration. (s.f.). </w:t>
      </w:r>
      <w:r w:rsidRPr="006C2A22">
        <w:rPr>
          <w:rFonts w:cs="Times New Roman"/>
          <w:i/>
          <w:iCs/>
          <w:noProof/>
          <w:szCs w:val="24"/>
          <w:lang w:val="en-US"/>
        </w:rPr>
        <w:t>U.S. Exporting Companies 2011.</w:t>
      </w:r>
      <w:r w:rsidRPr="006C2A22">
        <w:rPr>
          <w:rFonts w:cs="Times New Roman"/>
          <w:noProof/>
          <w:szCs w:val="24"/>
          <w:lang w:val="en-US"/>
        </w:rPr>
        <w:t xml:space="preserve"> Washington, D. C.</w:t>
      </w:r>
    </w:p>
    <w:p w:rsidR="005A5E7D" w:rsidRPr="006C2A22" w:rsidRDefault="005A5E7D" w:rsidP="005A5E7D">
      <w:pPr>
        <w:pStyle w:val="Bibliography1"/>
        <w:spacing w:after="240" w:line="240" w:lineRule="auto"/>
        <w:ind w:left="720" w:hanging="630"/>
        <w:jc w:val="left"/>
        <w:rPr>
          <w:rFonts w:cs="Times New Roman"/>
          <w:noProof/>
          <w:szCs w:val="24"/>
          <w:lang w:val="en-US"/>
        </w:rPr>
      </w:pPr>
      <w:r w:rsidRPr="006C2A22">
        <w:rPr>
          <w:rFonts w:cs="Times New Roman"/>
          <w:noProof/>
          <w:szCs w:val="24"/>
          <w:lang w:val="en-US"/>
        </w:rPr>
        <w:t xml:space="preserve">International Trade Administration. (s.f.). </w:t>
      </w:r>
      <w:r w:rsidRPr="006C2A22">
        <w:rPr>
          <w:rFonts w:cs="Times New Roman"/>
          <w:i/>
          <w:iCs/>
          <w:noProof/>
          <w:szCs w:val="24"/>
          <w:lang w:val="en-US"/>
        </w:rPr>
        <w:t>Small &amp; Medium-Sized Companies: Exporters Data Base</w:t>
      </w:r>
      <w:r w:rsidRPr="006C2A22">
        <w:rPr>
          <w:rFonts w:cs="Times New Roman"/>
          <w:noProof/>
          <w:szCs w:val="24"/>
          <w:lang w:val="en-US"/>
        </w:rPr>
        <w:t>. Obtenido de International Trade Administration: http://tse.export.gov/EDB/SelectReports.aspx?DATA=ExporterDB</w:t>
      </w:r>
    </w:p>
    <w:p w:rsidR="005A5E7D" w:rsidRPr="006C2A22" w:rsidRDefault="005A5E7D" w:rsidP="005A5E7D">
      <w:pPr>
        <w:pStyle w:val="Bibliography1"/>
        <w:spacing w:after="240" w:line="240" w:lineRule="auto"/>
        <w:ind w:left="720" w:hanging="630"/>
        <w:jc w:val="left"/>
        <w:rPr>
          <w:rFonts w:cs="Times New Roman"/>
          <w:noProof/>
          <w:szCs w:val="24"/>
          <w:lang w:val="en-US"/>
        </w:rPr>
      </w:pPr>
      <w:r w:rsidRPr="006C2A22">
        <w:rPr>
          <w:rFonts w:cs="Times New Roman"/>
          <w:noProof/>
          <w:szCs w:val="24"/>
          <w:lang w:val="en-US"/>
        </w:rPr>
        <w:t xml:space="preserve">International Trade Administration, US Departement of Commerce. (s.f.). </w:t>
      </w:r>
      <w:r w:rsidRPr="006C2A22">
        <w:rPr>
          <w:rFonts w:cs="Times New Roman"/>
          <w:i/>
          <w:iCs/>
          <w:noProof/>
          <w:szCs w:val="24"/>
          <w:lang w:val="en-US"/>
        </w:rPr>
        <w:t>State Imports</w:t>
      </w:r>
      <w:r w:rsidRPr="006C2A22">
        <w:rPr>
          <w:rFonts w:cs="Times New Roman"/>
          <w:noProof/>
          <w:szCs w:val="24"/>
          <w:lang w:val="en-US"/>
        </w:rPr>
        <w:t>. Obtenido de Trade Statitics: http://tse.export.gov/stateimports/TSIREports.aspx?DATA=</w:t>
      </w:r>
    </w:p>
    <w:p w:rsidR="005A5E7D" w:rsidRPr="005D5251" w:rsidRDefault="005A5E7D" w:rsidP="005A5E7D">
      <w:pPr>
        <w:pStyle w:val="Bibliography1"/>
        <w:spacing w:after="240" w:line="240" w:lineRule="auto"/>
        <w:ind w:left="720" w:hanging="630"/>
        <w:jc w:val="left"/>
        <w:rPr>
          <w:rFonts w:cs="Times New Roman"/>
          <w:noProof/>
          <w:szCs w:val="24"/>
        </w:rPr>
      </w:pPr>
      <w:r w:rsidRPr="006C2A22">
        <w:rPr>
          <w:rFonts w:cs="Times New Roman"/>
          <w:noProof/>
          <w:szCs w:val="24"/>
          <w:lang w:val="en-US"/>
        </w:rPr>
        <w:t xml:space="preserve">International Trade Administration, US Department of Comerce. (s.f.). </w:t>
      </w:r>
      <w:r w:rsidRPr="006C2A22">
        <w:rPr>
          <w:rFonts w:cs="Times New Roman"/>
          <w:i/>
          <w:iCs/>
          <w:noProof/>
          <w:szCs w:val="24"/>
          <w:lang w:val="en-US"/>
        </w:rPr>
        <w:t>State Export Data</w:t>
      </w:r>
      <w:r w:rsidRPr="006C2A22">
        <w:rPr>
          <w:rFonts w:cs="Times New Roman"/>
          <w:noProof/>
          <w:szCs w:val="24"/>
          <w:lang w:val="en-US"/>
        </w:rPr>
        <w:t xml:space="preserve">. </w:t>
      </w:r>
      <w:r w:rsidRPr="005D5251">
        <w:rPr>
          <w:rFonts w:cs="Times New Roman"/>
          <w:noProof/>
          <w:szCs w:val="24"/>
        </w:rPr>
        <w:t>Obtenido de Tradestats Express: http://tse.export.gov/TSE/TSEReports.aspx?DATA=SED</w:t>
      </w:r>
    </w:p>
    <w:p w:rsidR="005A5E7D" w:rsidRPr="00331E52" w:rsidRDefault="005A5E7D" w:rsidP="005A5E7D">
      <w:pPr>
        <w:spacing w:after="240" w:line="240" w:lineRule="auto"/>
        <w:ind w:left="720" w:hanging="630"/>
        <w:jc w:val="left"/>
        <w:rPr>
          <w:color w:val="000000"/>
          <w:shd w:val="clear" w:color="auto" w:fill="FFFFFF"/>
          <w:lang w:val="es-AR"/>
        </w:rPr>
      </w:pPr>
      <w:r w:rsidRPr="005D5251">
        <w:rPr>
          <w:color w:val="000000"/>
          <w:shd w:val="clear" w:color="auto" w:fill="FFFFFF"/>
          <w:lang w:val="es-AR"/>
        </w:rPr>
        <w:t xml:space="preserve">Moreno-Brid, Juan, Juan Rivas, and Jesus Santamaria. </w:t>
      </w:r>
      <w:r w:rsidRPr="005B5FEE">
        <w:rPr>
          <w:color w:val="000000"/>
          <w:shd w:val="clear" w:color="auto" w:fill="FFFFFF"/>
          <w:lang w:val="en-US"/>
        </w:rPr>
        <w:t>CEPAL.</w:t>
      </w:r>
      <w:r w:rsidRPr="005B5FEE">
        <w:rPr>
          <w:rStyle w:val="apple-converted-space"/>
          <w:color w:val="000000"/>
          <w:shd w:val="clear" w:color="auto" w:fill="FFFFFF"/>
          <w:lang w:val="en-US"/>
        </w:rPr>
        <w:t> </w:t>
      </w:r>
      <w:r w:rsidRPr="005B5FEE">
        <w:rPr>
          <w:i/>
          <w:iCs/>
          <w:color w:val="000000"/>
          <w:shd w:val="clear" w:color="auto" w:fill="FFFFFF"/>
          <w:lang w:val="en-US"/>
        </w:rPr>
        <w:t>Mexico: Economic growth exports and industrial performance after NAFTA</w:t>
      </w:r>
      <w:r>
        <w:rPr>
          <w:rStyle w:val="apple-converted-space"/>
          <w:color w:val="000000"/>
          <w:shd w:val="clear" w:color="auto" w:fill="FFFFFF"/>
          <w:lang w:val="en-US"/>
        </w:rPr>
        <w:t>.</w:t>
      </w:r>
      <w:r w:rsidRPr="005B5FEE">
        <w:rPr>
          <w:color w:val="000000"/>
          <w:shd w:val="clear" w:color="auto" w:fill="FFFFFF"/>
          <w:lang w:val="en-US"/>
        </w:rPr>
        <w:t xml:space="preserve"> </w:t>
      </w:r>
      <w:r w:rsidRPr="005D5251">
        <w:rPr>
          <w:color w:val="000000"/>
          <w:shd w:val="clear" w:color="auto" w:fill="FFFFFF"/>
          <w:lang w:val="es-AR"/>
        </w:rPr>
        <w:t>Mexico D.F.: Naciones Unidas, 2005. Web. &lt;http://www.eclac.cl/publicaciones/xml/5/23725/L700.pdf&gt;.</w:t>
      </w:r>
    </w:p>
    <w:p w:rsidR="005A5E7D" w:rsidRPr="005B5FEE" w:rsidRDefault="005A5E7D" w:rsidP="005A5E7D">
      <w:pPr>
        <w:spacing w:after="240" w:line="240" w:lineRule="auto"/>
        <w:ind w:left="720" w:hanging="630"/>
        <w:jc w:val="left"/>
        <w:rPr>
          <w:color w:val="000000"/>
          <w:shd w:val="clear" w:color="auto" w:fill="FFFFFF"/>
          <w:lang w:val="en-US"/>
        </w:rPr>
      </w:pPr>
      <w:r w:rsidRPr="005B5FEE">
        <w:rPr>
          <w:color w:val="000000"/>
          <w:shd w:val="clear" w:color="auto" w:fill="FFFFFF"/>
          <w:lang w:val="en-US"/>
        </w:rPr>
        <w:t>"Naftanow.org."</w:t>
      </w:r>
      <w:r w:rsidRPr="005B5FEE">
        <w:rPr>
          <w:rStyle w:val="apple-converted-space"/>
          <w:color w:val="000000"/>
          <w:shd w:val="clear" w:color="auto" w:fill="FFFFFF"/>
          <w:lang w:val="en-US"/>
        </w:rPr>
        <w:t> </w:t>
      </w:r>
      <w:r w:rsidRPr="005B5FEE">
        <w:rPr>
          <w:i/>
          <w:iCs/>
          <w:color w:val="000000"/>
          <w:shd w:val="clear" w:color="auto" w:fill="FFFFFF"/>
          <w:lang w:val="en-US"/>
        </w:rPr>
        <w:t>North American Free Trade Agreement</w:t>
      </w:r>
      <w:r w:rsidRPr="005B5FEE">
        <w:rPr>
          <w:color w:val="000000"/>
          <w:shd w:val="clear" w:color="auto" w:fill="FFFFFF"/>
          <w:lang w:val="en-US"/>
        </w:rPr>
        <w:t>. NAFTA. Web. 26 Jan 2014. &lt;http://www.naftanow.org/about/default_en.asp&gt;.</w:t>
      </w:r>
    </w:p>
    <w:p w:rsidR="005A5E7D" w:rsidRPr="006C2A22" w:rsidRDefault="005A5E7D" w:rsidP="005A5E7D">
      <w:pPr>
        <w:pStyle w:val="Bibliography1"/>
        <w:spacing w:after="240" w:line="240" w:lineRule="auto"/>
        <w:ind w:left="720" w:hanging="630"/>
        <w:jc w:val="left"/>
        <w:rPr>
          <w:rFonts w:cs="Times New Roman"/>
          <w:noProof/>
          <w:szCs w:val="24"/>
          <w:lang w:val="en-US"/>
        </w:rPr>
      </w:pPr>
      <w:r w:rsidRPr="006C2A22">
        <w:rPr>
          <w:rFonts w:cs="Times New Roman"/>
          <w:noProof/>
          <w:szCs w:val="24"/>
          <w:lang w:val="en-US"/>
        </w:rPr>
        <w:t xml:space="preserve">Office of the United States Trade Representative. (s.f.). </w:t>
      </w:r>
      <w:r w:rsidRPr="006C2A22">
        <w:rPr>
          <w:rFonts w:cs="Times New Roman"/>
          <w:i/>
          <w:iCs/>
          <w:noProof/>
          <w:szCs w:val="24"/>
          <w:lang w:val="en-US"/>
        </w:rPr>
        <w:t>Trade Agreements</w:t>
      </w:r>
      <w:r w:rsidRPr="006C2A22">
        <w:rPr>
          <w:rFonts w:cs="Times New Roman"/>
          <w:noProof/>
          <w:szCs w:val="24"/>
          <w:lang w:val="en-US"/>
        </w:rPr>
        <w:t>. Obtenido de Office of the United States Trade Representative: http://www.ustr.gov/trade-agreements/free-trade-agreements</w:t>
      </w:r>
    </w:p>
    <w:p w:rsidR="005A5E7D" w:rsidRPr="005D5251" w:rsidRDefault="005A5E7D" w:rsidP="005A5E7D">
      <w:pPr>
        <w:spacing w:after="240" w:line="240" w:lineRule="auto"/>
        <w:ind w:left="720" w:hanging="630"/>
        <w:jc w:val="left"/>
        <w:rPr>
          <w:color w:val="000000"/>
          <w:shd w:val="clear" w:color="auto" w:fill="FFFFFF"/>
          <w:lang w:val="es-AR"/>
        </w:rPr>
      </w:pPr>
      <w:r w:rsidRPr="005D5251">
        <w:rPr>
          <w:color w:val="000000"/>
          <w:shd w:val="clear" w:color="auto" w:fill="FFFFFF"/>
          <w:lang w:val="es-AR"/>
        </w:rPr>
        <w:t>Pablo Rabczuk, ed.</w:t>
      </w:r>
      <w:r w:rsidRPr="005D5251">
        <w:rPr>
          <w:rStyle w:val="apple-converted-space"/>
          <w:color w:val="000000"/>
          <w:shd w:val="clear" w:color="auto" w:fill="FFFFFF"/>
          <w:lang w:val="es-AR"/>
        </w:rPr>
        <w:t> </w:t>
      </w:r>
      <w:r w:rsidRPr="005D5251">
        <w:rPr>
          <w:i/>
          <w:iCs/>
          <w:color w:val="000000"/>
          <w:shd w:val="clear" w:color="auto" w:fill="FFFFFF"/>
          <w:lang w:val="es-AR"/>
        </w:rPr>
        <w:t>Departamento de Promoción del Comercio y Desarrollo de la Competitividad</w:t>
      </w:r>
      <w:r w:rsidRPr="005D5251">
        <w:rPr>
          <w:color w:val="000000"/>
          <w:shd w:val="clear" w:color="auto" w:fill="FFFFFF"/>
          <w:lang w:val="es-AR"/>
        </w:rPr>
        <w:t>. Santiago: CEPAL, 2010. Web. 26 Jan. 2014. &lt;http://www.eclac.org/comercio/tpl/contenidos/ALADI Desafios nueva agenda P Rabczuk.pdf&gt;.</w:t>
      </w:r>
    </w:p>
    <w:p w:rsidR="005A5E7D" w:rsidRPr="005B5FEE" w:rsidRDefault="005A5E7D" w:rsidP="005A5E7D">
      <w:pPr>
        <w:spacing w:after="240" w:line="240" w:lineRule="auto"/>
        <w:ind w:left="720" w:hanging="630"/>
        <w:jc w:val="left"/>
        <w:rPr>
          <w:color w:val="000000"/>
          <w:shd w:val="clear" w:color="auto" w:fill="FFFFFF"/>
          <w:lang w:val="en-US"/>
        </w:rPr>
      </w:pPr>
      <w:r w:rsidRPr="005D5251">
        <w:rPr>
          <w:color w:val="000000"/>
          <w:shd w:val="clear" w:color="auto" w:fill="FFFFFF"/>
          <w:lang w:val="es-AR"/>
        </w:rPr>
        <w:t>Primera, Maye. "Venezuela ofrece a Petrocaribe petróleo barato a intereses más altos."</w:t>
      </w:r>
      <w:r w:rsidRPr="005D5251">
        <w:rPr>
          <w:rStyle w:val="apple-converted-space"/>
          <w:color w:val="000000"/>
          <w:shd w:val="clear" w:color="auto" w:fill="FFFFFF"/>
          <w:lang w:val="es-AR"/>
        </w:rPr>
        <w:t> </w:t>
      </w:r>
      <w:r w:rsidRPr="005B5FEE">
        <w:rPr>
          <w:i/>
          <w:iCs/>
          <w:color w:val="000000"/>
          <w:shd w:val="clear" w:color="auto" w:fill="FFFFFF"/>
          <w:lang w:val="en-US"/>
        </w:rPr>
        <w:t>El Pais</w:t>
      </w:r>
      <w:r w:rsidRPr="005B5FEE">
        <w:rPr>
          <w:rStyle w:val="apple-converted-space"/>
          <w:color w:val="000000"/>
          <w:shd w:val="clear" w:color="auto" w:fill="FFFFFF"/>
          <w:lang w:val="en-US"/>
        </w:rPr>
        <w:t> </w:t>
      </w:r>
      <w:r w:rsidRPr="005B5FEE">
        <w:rPr>
          <w:color w:val="000000"/>
          <w:shd w:val="clear" w:color="auto" w:fill="FFFFFF"/>
          <w:lang w:val="en-US"/>
        </w:rPr>
        <w:t>[Miami] 3 Jul 2013, n. pag. Web. 26 Jan. 2014. &lt;http://internacional.elpais.com/internacional/2013/07/03/actualidad/1372815347_787936.html&gt;.</w:t>
      </w:r>
    </w:p>
    <w:p w:rsidR="005A5E7D" w:rsidRPr="00702244" w:rsidRDefault="005A5E7D" w:rsidP="005A5E7D">
      <w:pPr>
        <w:pStyle w:val="Bibliography1"/>
        <w:spacing w:after="240" w:line="240" w:lineRule="auto"/>
        <w:ind w:left="720" w:hanging="630"/>
        <w:jc w:val="left"/>
        <w:rPr>
          <w:rFonts w:cs="Times New Roman"/>
          <w:noProof/>
          <w:szCs w:val="24"/>
        </w:rPr>
      </w:pPr>
      <w:r w:rsidRPr="006C2A22">
        <w:rPr>
          <w:rFonts w:cs="Times New Roman"/>
          <w:noProof/>
          <w:szCs w:val="24"/>
          <w:lang w:val="en-US"/>
        </w:rPr>
        <w:t xml:space="preserve">Samen, S. (2010). EXPORT DEVELOPMENT, DIVERSIFICATION, AND COMPETITIVENESS:. </w:t>
      </w:r>
      <w:r w:rsidRPr="005D5251">
        <w:rPr>
          <w:rFonts w:cs="Times New Roman"/>
          <w:noProof/>
          <w:szCs w:val="24"/>
        </w:rPr>
        <w:t>Recuperado el enero de 2014, de http://blogs.worldbank.org/files/growth/ExportDevDiv&amp;CompetitivenessHowDidSomeDevelopingCountriesGotitRightMarch2010(1).pdf</w:t>
      </w:r>
    </w:p>
    <w:p w:rsidR="005A5E7D" w:rsidRPr="005300BC" w:rsidRDefault="005A5E7D" w:rsidP="005A5E7D">
      <w:pPr>
        <w:spacing w:after="240" w:line="240" w:lineRule="auto"/>
        <w:ind w:left="720" w:hanging="630"/>
        <w:jc w:val="left"/>
        <w:rPr>
          <w:lang w:val="en-US"/>
        </w:rPr>
      </w:pPr>
      <w:r w:rsidRPr="005D5251">
        <w:rPr>
          <w:color w:val="000000"/>
          <w:shd w:val="clear" w:color="auto" w:fill="FFFFFF"/>
          <w:lang w:val="es-AR"/>
        </w:rPr>
        <w:t>Schmidt</w:t>
      </w:r>
      <w:r>
        <w:rPr>
          <w:color w:val="000000"/>
          <w:shd w:val="clear" w:color="auto" w:fill="FFFFFF"/>
          <w:lang w:val="es-AR"/>
        </w:rPr>
        <w:t>,</w:t>
      </w:r>
      <w:r w:rsidRPr="005D5251">
        <w:rPr>
          <w:color w:val="000000"/>
          <w:shd w:val="clear" w:color="auto" w:fill="FFFFFF"/>
          <w:lang w:val="es-AR"/>
        </w:rPr>
        <w:t xml:space="preserve"> Jorge. "Puerto Rico y los tratados de libre comercio."</w:t>
      </w:r>
      <w:r w:rsidRPr="005D5251">
        <w:rPr>
          <w:rStyle w:val="apple-converted-space"/>
          <w:color w:val="000000"/>
          <w:shd w:val="clear" w:color="auto" w:fill="FFFFFF"/>
          <w:lang w:val="es-AR"/>
        </w:rPr>
        <w:t> </w:t>
      </w:r>
      <w:r w:rsidRPr="005D5251">
        <w:rPr>
          <w:i/>
          <w:iCs/>
          <w:color w:val="000000"/>
          <w:shd w:val="clear" w:color="auto" w:fill="FFFFFF"/>
          <w:lang w:val="es-AR"/>
        </w:rPr>
        <w:t>80 grados</w:t>
      </w:r>
      <w:r w:rsidRPr="005D5251">
        <w:rPr>
          <w:rStyle w:val="apple-converted-space"/>
          <w:color w:val="000000"/>
          <w:shd w:val="clear" w:color="auto" w:fill="FFFFFF"/>
          <w:lang w:val="es-AR"/>
        </w:rPr>
        <w:t> </w:t>
      </w:r>
      <w:r w:rsidRPr="005D5251">
        <w:rPr>
          <w:color w:val="000000"/>
          <w:shd w:val="clear" w:color="auto" w:fill="FFFFFF"/>
          <w:lang w:val="es-AR"/>
        </w:rPr>
        <w:t xml:space="preserve">12 Jul 2013, Columnas n. pag. </w:t>
      </w:r>
      <w:r w:rsidRPr="005300BC">
        <w:rPr>
          <w:color w:val="000000"/>
          <w:shd w:val="clear" w:color="auto" w:fill="FFFFFF"/>
          <w:lang w:val="en-US"/>
        </w:rPr>
        <w:t>Web. 26 Jan. 2014. &lt;http://www.80grados.net/puerto-rico-y-los-tratados-de-libre-comercio/&gt;.</w:t>
      </w:r>
    </w:p>
    <w:p w:rsidR="001F32F7" w:rsidRPr="001F32F7" w:rsidRDefault="005A5E7D" w:rsidP="001F32F7">
      <w:pPr>
        <w:spacing w:line="240" w:lineRule="auto"/>
        <w:ind w:left="720" w:hanging="630"/>
        <w:jc w:val="left"/>
        <w:rPr>
          <w:color w:val="000000"/>
          <w:shd w:val="clear" w:color="auto" w:fill="FFFFFF"/>
        </w:rPr>
      </w:pPr>
      <w:r w:rsidRPr="005D5251">
        <w:rPr>
          <w:color w:val="000000"/>
          <w:shd w:val="clear" w:color="auto" w:fill="FFFFFF"/>
          <w:lang w:val="es-AR"/>
        </w:rPr>
        <w:t>Silva, Antonio. Gobierno de Puerto Rico. Camara de Representantes.</w:t>
      </w:r>
      <w:r w:rsidRPr="005D5251">
        <w:rPr>
          <w:rStyle w:val="apple-converted-space"/>
          <w:color w:val="000000"/>
          <w:shd w:val="clear" w:color="auto" w:fill="FFFFFF"/>
          <w:lang w:val="es-AR"/>
        </w:rPr>
        <w:t> </w:t>
      </w:r>
      <w:r w:rsidRPr="005D5251">
        <w:rPr>
          <w:i/>
          <w:iCs/>
          <w:color w:val="000000"/>
          <w:shd w:val="clear" w:color="auto" w:fill="FFFFFF"/>
          <w:lang w:val="es-AR"/>
        </w:rPr>
        <w:t>Informe Negativo sobre el P. de la C. 860</w:t>
      </w:r>
      <w:r w:rsidRPr="005D5251">
        <w:rPr>
          <w:color w:val="000000"/>
          <w:shd w:val="clear" w:color="auto" w:fill="FFFFFF"/>
          <w:lang w:val="es-AR"/>
        </w:rPr>
        <w:t xml:space="preserve">. </w:t>
      </w:r>
      <w:r w:rsidRPr="005D5251">
        <w:rPr>
          <w:color w:val="000000"/>
          <w:shd w:val="clear" w:color="auto" w:fill="FFFFFF"/>
        </w:rPr>
        <w:t>San Juan:</w:t>
      </w:r>
      <w:r>
        <w:rPr>
          <w:color w:val="000000"/>
          <w:shd w:val="clear" w:color="auto" w:fill="FFFFFF"/>
        </w:rPr>
        <w:t>,</w:t>
      </w:r>
      <w:r w:rsidRPr="005D5251">
        <w:rPr>
          <w:color w:val="000000"/>
          <w:shd w:val="clear" w:color="auto" w:fill="FFFFFF"/>
        </w:rPr>
        <w:t xml:space="preserve"> 2005. Web. &lt;http://www.oslpr.org/files/docs/{99E299B1-9D78-4487-808E-CAF32B436E8B}.doc&gt;.</w:t>
      </w:r>
      <w:r w:rsidR="001F32F7" w:rsidRPr="001F32F7">
        <w:rPr>
          <w:color w:val="000000"/>
          <w:shd w:val="clear" w:color="auto" w:fill="FFFFFF"/>
          <w:lang w:val="es-AR"/>
        </w:rPr>
        <w:t xml:space="preserve"> </w:t>
      </w:r>
      <w:r w:rsidR="001F32F7" w:rsidRPr="002C74FC">
        <w:rPr>
          <w:color w:val="000000"/>
          <w:shd w:val="clear" w:color="auto" w:fill="FFFFFF"/>
          <w:lang w:val="es-AR"/>
        </w:rPr>
        <w:t xml:space="preserve">Alianza Bolivariana para América. </w:t>
      </w:r>
      <w:r w:rsidR="001F32F7" w:rsidRPr="001F32F7">
        <w:rPr>
          <w:color w:val="000000"/>
          <w:shd w:val="clear" w:color="auto" w:fill="FFFFFF"/>
        </w:rPr>
        <w:t>2010. Web. &lt;http://www.alba-tcp.org/en&gt;.</w:t>
      </w:r>
    </w:p>
    <w:p w:rsidR="005A5E7D" w:rsidRPr="001F32F7" w:rsidRDefault="005A5E7D" w:rsidP="005A5E7D">
      <w:pPr>
        <w:spacing w:after="240" w:line="240" w:lineRule="auto"/>
        <w:ind w:left="720" w:hanging="630"/>
        <w:jc w:val="left"/>
        <w:rPr>
          <w:color w:val="000000"/>
          <w:shd w:val="clear" w:color="auto" w:fill="FFFFFF"/>
          <w:lang w:val="es-AR"/>
        </w:rPr>
        <w:sectPr w:rsidR="005A5E7D" w:rsidRPr="001F32F7">
          <w:pgSz w:w="12240" w:h="15840"/>
          <w:pgMar w:top="1440" w:right="1440" w:bottom="1440" w:left="1440" w:gutter="0"/>
          <w:docGrid w:linePitch="326"/>
        </w:sectPr>
      </w:pPr>
    </w:p>
    <w:tbl>
      <w:tblPr>
        <w:tblW w:w="12520" w:type="dxa"/>
        <w:jc w:val="center"/>
        <w:tblBorders>
          <w:top w:val="single" w:sz="12" w:space="0" w:color="008000"/>
          <w:bottom w:val="single" w:sz="12" w:space="0" w:color="008000"/>
        </w:tblBorders>
        <w:tblLook w:val="04A0"/>
      </w:tblPr>
      <w:tblGrid>
        <w:gridCol w:w="1635"/>
        <w:gridCol w:w="625"/>
        <w:gridCol w:w="544"/>
        <w:gridCol w:w="545"/>
        <w:gridCol w:w="1121"/>
        <w:gridCol w:w="1470"/>
        <w:gridCol w:w="360"/>
        <w:gridCol w:w="1090"/>
        <w:gridCol w:w="350"/>
        <w:gridCol w:w="1250"/>
        <w:gridCol w:w="450"/>
        <w:gridCol w:w="1130"/>
        <w:gridCol w:w="450"/>
        <w:gridCol w:w="1050"/>
        <w:gridCol w:w="450"/>
      </w:tblGrid>
      <w:tr w:rsidR="005A5E7D" w:rsidRPr="006C2E2C">
        <w:trPr>
          <w:trHeight w:val="255"/>
          <w:jc w:val="center"/>
        </w:trPr>
        <w:tc>
          <w:tcPr>
            <w:tcW w:w="12520" w:type="dxa"/>
            <w:gridSpan w:val="15"/>
            <w:tcBorders>
              <w:bottom w:val="single" w:sz="6" w:space="0" w:color="008000"/>
            </w:tcBorders>
            <w:shd w:val="clear" w:color="auto" w:fill="auto"/>
            <w:noWrap/>
          </w:tcPr>
          <w:p w:rsidR="005A5E7D" w:rsidRPr="006C2E2C" w:rsidRDefault="005A5E7D" w:rsidP="005A5E7D">
            <w:pPr>
              <w:pStyle w:val="Subtitle"/>
            </w:pPr>
            <w:bookmarkStart w:id="77" w:name="RANGE!D2:Q24"/>
            <w:r w:rsidRPr="006C2E2C">
              <w:t>Anejo</w:t>
            </w:r>
            <w:r>
              <w:t xml:space="preserve"> </w:t>
            </w:r>
            <w:r w:rsidRPr="006C2E2C">
              <w:t>4.A</w:t>
            </w:r>
            <w:bookmarkEnd w:id="77"/>
            <w:r>
              <w:t xml:space="preserve"> </w:t>
            </w:r>
            <w:r w:rsidRPr="006C2E2C">
              <w:t>Estadísticas de Comercios Exportadores</w:t>
            </w:r>
          </w:p>
        </w:tc>
      </w:tr>
      <w:tr w:rsidR="005A5E7D" w:rsidRPr="006C2E2C">
        <w:trPr>
          <w:trHeight w:val="270"/>
          <w:jc w:val="center"/>
        </w:trPr>
        <w:tc>
          <w:tcPr>
            <w:tcW w:w="12520" w:type="dxa"/>
            <w:gridSpan w:val="15"/>
            <w:shd w:val="clear" w:color="auto" w:fill="auto"/>
            <w:noWrap/>
          </w:tcPr>
          <w:p w:rsidR="005A5E7D" w:rsidRPr="006C2E2C" w:rsidRDefault="005A5E7D" w:rsidP="005A5E7D">
            <w:pPr>
              <w:spacing w:line="240" w:lineRule="auto"/>
              <w:ind w:firstLine="0"/>
              <w:jc w:val="center"/>
              <w:rPr>
                <w:rFonts w:ascii="Arial Narrow" w:hAnsi="Arial Narrow" w:cs="Calibri"/>
                <w:b/>
                <w:bCs/>
                <w:color w:val="000000"/>
                <w:sz w:val="20"/>
              </w:rPr>
            </w:pPr>
          </w:p>
        </w:tc>
      </w:tr>
      <w:tr w:rsidR="005A5E7D" w:rsidRPr="006C2E2C">
        <w:trPr>
          <w:trHeight w:val="693"/>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sz w:val="16"/>
                <w:szCs w:val="16"/>
              </w:rPr>
            </w:pPr>
            <w:r w:rsidRPr="006C2E2C">
              <w:rPr>
                <w:rFonts w:ascii="Arial Narrow" w:eastAsia="Times New Roman" w:hAnsi="Arial Narrow" w:cs="Calibri"/>
                <w:sz w:val="16"/>
                <w:szCs w:val="16"/>
              </w:rPr>
              <w:t>Sector</w:t>
            </w:r>
          </w:p>
        </w:tc>
        <w:tc>
          <w:tcPr>
            <w:tcW w:w="625" w:type="dxa"/>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r w:rsidRPr="006C2E2C">
              <w:rPr>
                <w:rFonts w:ascii="Arial Narrow" w:eastAsia="Times New Roman" w:hAnsi="Arial Narrow" w:cs="Calibri"/>
                <w:b/>
                <w:bCs/>
                <w:color w:val="000000"/>
                <w:sz w:val="16"/>
                <w:szCs w:val="16"/>
              </w:rPr>
              <w:t>naics2</w:t>
            </w:r>
          </w:p>
        </w:tc>
        <w:tc>
          <w:tcPr>
            <w:tcW w:w="544" w:type="dxa"/>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r w:rsidRPr="006C2E2C">
              <w:rPr>
                <w:rFonts w:ascii="Arial Narrow" w:eastAsia="Times New Roman" w:hAnsi="Arial Narrow" w:cs="Calibri"/>
                <w:b/>
                <w:bCs/>
                <w:color w:val="000000"/>
                <w:sz w:val="16"/>
                <w:szCs w:val="16"/>
              </w:rPr>
              <w:t>Núm.</w:t>
            </w:r>
          </w:p>
        </w:tc>
        <w:tc>
          <w:tcPr>
            <w:tcW w:w="545" w:type="dxa"/>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r w:rsidRPr="006C2E2C">
              <w:rPr>
                <w:rFonts w:ascii="Arial Narrow" w:eastAsia="Times New Roman" w:hAnsi="Arial Narrow" w:cs="Calibri"/>
                <w:b/>
                <w:bCs/>
                <w:color w:val="000000"/>
                <w:sz w:val="16"/>
                <w:szCs w:val="16"/>
              </w:rPr>
              <w:t>%</w:t>
            </w:r>
          </w:p>
        </w:tc>
        <w:tc>
          <w:tcPr>
            <w:tcW w:w="1121" w:type="dxa"/>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r w:rsidRPr="006C2E2C">
              <w:rPr>
                <w:rFonts w:ascii="Arial Narrow" w:eastAsia="Times New Roman" w:hAnsi="Arial Narrow" w:cs="Calibri"/>
                <w:b/>
                <w:bCs/>
                <w:color w:val="000000"/>
                <w:sz w:val="16"/>
                <w:szCs w:val="16"/>
              </w:rPr>
              <w:t>Exportaciones (en miles $)</w:t>
            </w:r>
          </w:p>
        </w:tc>
        <w:tc>
          <w:tcPr>
            <w:tcW w:w="1830" w:type="dxa"/>
            <w:gridSpan w:val="2"/>
            <w:shd w:val="clear" w:color="auto" w:fill="auto"/>
          </w:tcPr>
          <w:p w:rsidR="005A5E7D" w:rsidRPr="006C2E2C" w:rsidRDefault="005A5E7D" w:rsidP="005A5E7D">
            <w:pPr>
              <w:spacing w:line="240" w:lineRule="auto"/>
              <w:ind w:firstLine="0"/>
              <w:jc w:val="left"/>
              <w:rPr>
                <w:rFonts w:ascii="Arial Narrow" w:hAnsi="Arial Narrow" w:cs="Calibri"/>
                <w:b/>
                <w:bCs/>
                <w:color w:val="000000"/>
                <w:sz w:val="16"/>
                <w:szCs w:val="16"/>
              </w:rPr>
            </w:pPr>
            <w:r>
              <w:rPr>
                <w:rFonts w:ascii="Arial Narrow" w:eastAsia="Times New Roman" w:hAnsi="Arial Narrow" w:cs="Calibri"/>
                <w:b/>
                <w:bCs/>
                <w:color w:val="000000"/>
                <w:sz w:val="16"/>
                <w:szCs w:val="16"/>
              </w:rPr>
              <w:t xml:space="preserve">Ventas Totales </w:t>
            </w:r>
            <w:r w:rsidRPr="006C2E2C">
              <w:rPr>
                <w:rFonts w:ascii="Arial Narrow" w:eastAsia="Times New Roman" w:hAnsi="Arial Narrow" w:cs="Calibri"/>
                <w:b/>
                <w:bCs/>
                <w:color w:val="000000"/>
                <w:sz w:val="16"/>
                <w:szCs w:val="16"/>
              </w:rPr>
              <w:t>Informadas por Comercios Exportadores (en miles $)</w:t>
            </w:r>
          </w:p>
        </w:tc>
        <w:tc>
          <w:tcPr>
            <w:tcW w:w="1440" w:type="dxa"/>
            <w:gridSpan w:val="2"/>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r w:rsidRPr="006C2E2C">
              <w:rPr>
                <w:rFonts w:ascii="Arial Narrow" w:eastAsia="Times New Roman" w:hAnsi="Arial Narrow" w:cs="Calibri"/>
                <w:b/>
                <w:bCs/>
                <w:color w:val="000000"/>
                <w:sz w:val="16"/>
                <w:szCs w:val="16"/>
              </w:rPr>
              <w:t>Ventas Totales Informadas en el Sector (en miles $)</w:t>
            </w:r>
          </w:p>
        </w:tc>
        <w:tc>
          <w:tcPr>
            <w:tcW w:w="1700" w:type="dxa"/>
            <w:gridSpan w:val="2"/>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r w:rsidRPr="006C2E2C">
              <w:rPr>
                <w:rFonts w:ascii="Arial Narrow" w:eastAsia="Times New Roman" w:hAnsi="Arial Narrow" w:cs="Calibri"/>
                <w:b/>
                <w:bCs/>
                <w:color w:val="000000"/>
                <w:sz w:val="16"/>
                <w:szCs w:val="16"/>
              </w:rPr>
              <w:t>Exportaciones como % de Ventas Totales (De Empresas que Exportan)</w:t>
            </w:r>
          </w:p>
        </w:tc>
        <w:tc>
          <w:tcPr>
            <w:tcW w:w="1580" w:type="dxa"/>
            <w:gridSpan w:val="2"/>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r w:rsidRPr="006C2E2C">
              <w:rPr>
                <w:rFonts w:ascii="Arial Narrow" w:eastAsia="Times New Roman" w:hAnsi="Arial Narrow" w:cs="Calibri"/>
                <w:b/>
                <w:bCs/>
                <w:color w:val="000000"/>
                <w:sz w:val="16"/>
                <w:szCs w:val="16"/>
              </w:rPr>
              <w:t>Exportaciones como % de Ventas Totales en el Sector</w:t>
            </w:r>
          </w:p>
        </w:tc>
        <w:tc>
          <w:tcPr>
            <w:tcW w:w="1500" w:type="dxa"/>
            <w:gridSpan w:val="2"/>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r w:rsidRPr="006C2E2C">
              <w:rPr>
                <w:rFonts w:ascii="Arial Narrow" w:eastAsia="Times New Roman" w:hAnsi="Arial Narrow" w:cs="Calibri"/>
                <w:b/>
                <w:bCs/>
                <w:color w:val="000000"/>
                <w:sz w:val="16"/>
                <w:szCs w:val="16"/>
              </w:rPr>
              <w:t xml:space="preserve">Participación del Sector en el Total de Exportaciones </w:t>
            </w:r>
          </w:p>
        </w:tc>
      </w:tr>
      <w:tr w:rsidR="005A5E7D" w:rsidRPr="006C2E2C">
        <w:trPr>
          <w:trHeight w:val="66"/>
          <w:jc w:val="center"/>
        </w:trPr>
        <w:tc>
          <w:tcPr>
            <w:tcW w:w="1635" w:type="dxa"/>
            <w:shd w:val="clear" w:color="auto" w:fill="auto"/>
          </w:tcPr>
          <w:p w:rsidR="005A5E7D" w:rsidRPr="006C2E2C" w:rsidRDefault="005A5E7D" w:rsidP="005A5E7D">
            <w:pPr>
              <w:spacing w:line="240" w:lineRule="auto"/>
              <w:ind w:firstLine="0"/>
              <w:jc w:val="center"/>
              <w:rPr>
                <w:rFonts w:ascii="Arial Narrow" w:hAnsi="Arial Narrow" w:cs="Calibri"/>
                <w:b/>
                <w:bCs/>
                <w:color w:val="000000"/>
                <w:sz w:val="16"/>
                <w:szCs w:val="16"/>
              </w:rPr>
            </w:pPr>
          </w:p>
        </w:tc>
        <w:tc>
          <w:tcPr>
            <w:tcW w:w="625" w:type="dxa"/>
            <w:shd w:val="clear" w:color="auto" w:fill="auto"/>
          </w:tcPr>
          <w:p w:rsidR="005A5E7D" w:rsidRPr="006C2E2C" w:rsidRDefault="005A5E7D" w:rsidP="005A5E7D">
            <w:pPr>
              <w:spacing w:line="240" w:lineRule="auto"/>
              <w:ind w:firstLine="0"/>
              <w:jc w:val="left"/>
              <w:rPr>
                <w:sz w:val="20"/>
              </w:rPr>
            </w:pPr>
          </w:p>
        </w:tc>
        <w:tc>
          <w:tcPr>
            <w:tcW w:w="544" w:type="dxa"/>
            <w:shd w:val="clear" w:color="auto" w:fill="auto"/>
          </w:tcPr>
          <w:p w:rsidR="005A5E7D" w:rsidRPr="006C2E2C" w:rsidRDefault="005A5E7D" w:rsidP="005A5E7D">
            <w:pPr>
              <w:spacing w:line="240" w:lineRule="auto"/>
              <w:ind w:firstLine="0"/>
              <w:jc w:val="left"/>
              <w:rPr>
                <w:sz w:val="20"/>
              </w:rPr>
            </w:pPr>
          </w:p>
        </w:tc>
        <w:tc>
          <w:tcPr>
            <w:tcW w:w="545" w:type="dxa"/>
            <w:shd w:val="clear" w:color="auto" w:fill="auto"/>
          </w:tcPr>
          <w:p w:rsidR="005A5E7D" w:rsidRPr="006C2E2C" w:rsidRDefault="005A5E7D" w:rsidP="005A5E7D">
            <w:pPr>
              <w:spacing w:line="240" w:lineRule="auto"/>
              <w:ind w:firstLine="0"/>
              <w:jc w:val="left"/>
              <w:rPr>
                <w:sz w:val="20"/>
              </w:rPr>
            </w:pPr>
          </w:p>
        </w:tc>
        <w:tc>
          <w:tcPr>
            <w:tcW w:w="1121" w:type="dxa"/>
            <w:shd w:val="clear" w:color="auto" w:fill="auto"/>
          </w:tcPr>
          <w:p w:rsidR="005A5E7D" w:rsidRPr="006C2E2C" w:rsidRDefault="005A5E7D" w:rsidP="005A5E7D">
            <w:pPr>
              <w:spacing w:line="240" w:lineRule="auto"/>
              <w:ind w:firstLine="0"/>
              <w:jc w:val="left"/>
              <w:rPr>
                <w:sz w:val="20"/>
              </w:rPr>
            </w:pPr>
          </w:p>
        </w:tc>
        <w:tc>
          <w:tcPr>
            <w:tcW w:w="1830" w:type="dxa"/>
            <w:gridSpan w:val="2"/>
            <w:shd w:val="clear" w:color="auto" w:fill="auto"/>
          </w:tcPr>
          <w:p w:rsidR="005A5E7D" w:rsidRPr="006C2E2C" w:rsidRDefault="005A5E7D" w:rsidP="005A5E7D">
            <w:pPr>
              <w:spacing w:line="240" w:lineRule="auto"/>
              <w:ind w:firstLine="0"/>
              <w:jc w:val="left"/>
              <w:rPr>
                <w:sz w:val="20"/>
              </w:rPr>
            </w:pPr>
          </w:p>
        </w:tc>
        <w:tc>
          <w:tcPr>
            <w:tcW w:w="1440" w:type="dxa"/>
            <w:gridSpan w:val="2"/>
            <w:shd w:val="clear" w:color="auto" w:fill="auto"/>
          </w:tcPr>
          <w:p w:rsidR="005A5E7D" w:rsidRPr="006C2E2C" w:rsidRDefault="005A5E7D" w:rsidP="005A5E7D">
            <w:pPr>
              <w:spacing w:line="240" w:lineRule="auto"/>
              <w:ind w:firstLine="0"/>
              <w:jc w:val="left"/>
              <w:rPr>
                <w:sz w:val="20"/>
              </w:rPr>
            </w:pPr>
          </w:p>
        </w:tc>
        <w:tc>
          <w:tcPr>
            <w:tcW w:w="1700" w:type="dxa"/>
            <w:gridSpan w:val="2"/>
            <w:shd w:val="clear" w:color="auto" w:fill="auto"/>
          </w:tcPr>
          <w:p w:rsidR="005A5E7D" w:rsidRPr="006C2E2C" w:rsidRDefault="005A5E7D" w:rsidP="005A5E7D">
            <w:pPr>
              <w:spacing w:line="240" w:lineRule="auto"/>
              <w:ind w:firstLine="0"/>
              <w:jc w:val="left"/>
              <w:rPr>
                <w:sz w:val="20"/>
              </w:rPr>
            </w:pPr>
          </w:p>
        </w:tc>
        <w:tc>
          <w:tcPr>
            <w:tcW w:w="1580" w:type="dxa"/>
            <w:gridSpan w:val="2"/>
            <w:shd w:val="clear" w:color="auto" w:fill="auto"/>
          </w:tcPr>
          <w:p w:rsidR="005A5E7D" w:rsidRPr="006C2E2C" w:rsidRDefault="005A5E7D" w:rsidP="005A5E7D">
            <w:pPr>
              <w:spacing w:line="240" w:lineRule="auto"/>
              <w:ind w:firstLine="0"/>
              <w:jc w:val="left"/>
              <w:rPr>
                <w:sz w:val="20"/>
              </w:rPr>
            </w:pPr>
          </w:p>
        </w:tc>
        <w:tc>
          <w:tcPr>
            <w:tcW w:w="1500" w:type="dxa"/>
            <w:gridSpan w:val="2"/>
            <w:shd w:val="clear" w:color="auto" w:fill="auto"/>
          </w:tcPr>
          <w:p w:rsidR="005A5E7D" w:rsidRPr="006C2E2C" w:rsidRDefault="005A5E7D" w:rsidP="005A5E7D">
            <w:pPr>
              <w:spacing w:line="240" w:lineRule="auto"/>
              <w:ind w:firstLine="0"/>
              <w:jc w:val="left"/>
              <w:rPr>
                <w:sz w:val="20"/>
              </w:rPr>
            </w:pP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Construcción</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23</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1.4</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316</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363</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1,820,000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87%</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0.02%</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Manufactura</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31</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16</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5.61</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4,000,000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4,340,000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4,960,000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92%</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80.65%</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5.76%</w:t>
            </w: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Manufactura</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32</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19</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6.67</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25,800,000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26,200,000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29,000,000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98%</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88.97%</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37.15%</w:t>
            </w: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Manufactura</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33</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24</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8.42</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1,650,000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1,710,000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1,810,000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96%</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91.16%</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2.38%</w:t>
            </w: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Comercio al Por Mayor</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42</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70</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24.56</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558,000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3,650,000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7,870,000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15%</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7.09%</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0.80%</w:t>
            </w: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Comercio al Detalle</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44</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14</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4.91</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11,100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64,700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4,790,000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17%</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0.23%</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0.02%</w:t>
            </w: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Comercio al Detalle</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45</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2.81</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1,561</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2,855</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1,120,000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55%</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0.14%</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r>
      <w:tr w:rsidR="005A5E7D" w:rsidRPr="006C2E2C">
        <w:trPr>
          <w:gridAfter w:val="1"/>
          <w:wAfter w:w="450" w:type="dxa"/>
          <w:trHeight w:val="510"/>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Transportación y Almacenaje</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48</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1.4</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8,178</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81,400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267,000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10%</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3.06%</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0.01%</w:t>
            </w: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Información</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51</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0.7</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231</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786</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1,410,000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29%</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0.02%</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r>
      <w:tr w:rsidR="005A5E7D" w:rsidRPr="006C2E2C">
        <w:trPr>
          <w:gridAfter w:val="1"/>
          <w:wAfter w:w="450" w:type="dxa"/>
          <w:trHeight w:val="25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Finanzas y Seguros</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52</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1.75</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1,700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3,678</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4,720,000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46%</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0.04%</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r>
      <w:tr w:rsidR="005A5E7D" w:rsidRPr="006C2E2C">
        <w:trPr>
          <w:gridAfter w:val="1"/>
          <w:wAfter w:w="450" w:type="dxa"/>
          <w:trHeight w:val="510"/>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Bienes Raíces, Alquiler y Arrendamiento</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53</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1.4</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5,448</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35,700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836,000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15%</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0.65%</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0.01%</w:t>
            </w:r>
          </w:p>
        </w:tc>
      </w:tr>
      <w:tr w:rsidR="005A5E7D" w:rsidRPr="006C2E2C">
        <w:trPr>
          <w:gridAfter w:val="1"/>
          <w:wAfter w:w="450" w:type="dxa"/>
          <w:trHeight w:val="510"/>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Servicios Profesionales, Científicos y Técnicos</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54</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14</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4.91</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11,500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37,300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928,000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31%</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1.24%</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0.02%</w:t>
            </w:r>
          </w:p>
        </w:tc>
      </w:tr>
      <w:tr w:rsidR="005A5E7D" w:rsidRPr="006C2E2C">
        <w:trPr>
          <w:gridAfter w:val="1"/>
          <w:wAfter w:w="450" w:type="dxa"/>
          <w:trHeight w:val="510"/>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Apoyo Administrativo y Desperdicios Sólidos</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56</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0.35</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644</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4,841</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351,000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13%</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0.18%</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r>
      <w:tr w:rsidR="005A5E7D" w:rsidRPr="006C2E2C">
        <w:trPr>
          <w:gridAfter w:val="1"/>
          <w:wAfter w:w="450" w:type="dxa"/>
          <w:trHeight w:val="765"/>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Servicios Gerenciales y Remediativos y Servicios Educativos</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61</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0.7</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6,597</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6,597</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444,000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100%</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1.49%</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0.01%</w:t>
            </w:r>
          </w:p>
        </w:tc>
      </w:tr>
      <w:tr w:rsidR="005A5E7D" w:rsidRPr="006C2E2C">
        <w:trPr>
          <w:gridAfter w:val="1"/>
          <w:wAfter w:w="450" w:type="dxa"/>
          <w:trHeight w:val="510"/>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Cuidados de Salud y Asistencia Social</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62</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1.4</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1,509</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1,750,000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r>
      <w:tr w:rsidR="005A5E7D" w:rsidRPr="006C2E2C">
        <w:trPr>
          <w:gridAfter w:val="1"/>
          <w:wAfter w:w="450" w:type="dxa"/>
          <w:trHeight w:val="510"/>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 xml:space="preserve">Arte, Entretenimiento y Recreación </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71</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0.35</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663</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1,829</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67,200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36%</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0.99%</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r>
      <w:tr w:rsidR="005A5E7D" w:rsidRPr="006C2E2C">
        <w:trPr>
          <w:gridAfter w:val="1"/>
          <w:wAfter w:w="450" w:type="dxa"/>
          <w:trHeight w:val="480"/>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Otros Servicios (excepto Administración Pública)</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81</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1.75</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1,130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1,736</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248,000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65%</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0.46%</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0.00%</w:t>
            </w:r>
          </w:p>
        </w:tc>
      </w:tr>
      <w:tr w:rsidR="005A5E7D" w:rsidRPr="006C2E2C">
        <w:trPr>
          <w:gridAfter w:val="1"/>
          <w:wAfter w:w="450" w:type="dxa"/>
          <w:trHeight w:val="330"/>
          <w:jc w:val="center"/>
        </w:trPr>
        <w:tc>
          <w:tcPr>
            <w:tcW w:w="1635" w:type="dxa"/>
            <w:shd w:val="clear" w:color="auto" w:fill="auto"/>
          </w:tcPr>
          <w:p w:rsidR="005A5E7D" w:rsidRPr="006C2E2C" w:rsidRDefault="005A5E7D" w:rsidP="005A5E7D">
            <w:pPr>
              <w:spacing w:line="240" w:lineRule="auto"/>
              <w:ind w:firstLine="0"/>
              <w:jc w:val="left"/>
              <w:rPr>
                <w:rFonts w:ascii="Arial Narrow" w:hAnsi="Arial Narrow" w:cs="Calibri"/>
                <w:color w:val="000000"/>
                <w:sz w:val="16"/>
                <w:szCs w:val="16"/>
              </w:rPr>
            </w:pPr>
            <w:r w:rsidRPr="006C2E2C">
              <w:rPr>
                <w:rFonts w:ascii="Arial Narrow" w:eastAsia="Times New Roman" w:hAnsi="Arial Narrow" w:cs="Calibri"/>
                <w:color w:val="000000"/>
                <w:sz w:val="16"/>
                <w:szCs w:val="16"/>
              </w:rPr>
              <w:t>No identificados</w:t>
            </w:r>
          </w:p>
        </w:tc>
        <w:tc>
          <w:tcPr>
            <w:tcW w:w="62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99</w:t>
            </w:r>
          </w:p>
        </w:tc>
        <w:tc>
          <w:tcPr>
            <w:tcW w:w="544"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88</w:t>
            </w:r>
          </w:p>
        </w:tc>
        <w:tc>
          <w:tcPr>
            <w:tcW w:w="545"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30.88</w:t>
            </w:r>
          </w:p>
        </w:tc>
        <w:tc>
          <w:tcPr>
            <w:tcW w:w="1121"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37,400,000</w:t>
            </w:r>
          </w:p>
        </w:tc>
        <w:tc>
          <w:tcPr>
            <w:tcW w:w="1470" w:type="dxa"/>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39,600,000</w:t>
            </w:r>
          </w:p>
        </w:tc>
        <w:tc>
          <w:tcPr>
            <w:tcW w:w="145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48,500,000</w:t>
            </w:r>
          </w:p>
        </w:tc>
        <w:tc>
          <w:tcPr>
            <w:tcW w:w="16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94%</w:t>
            </w:r>
          </w:p>
        </w:tc>
        <w:tc>
          <w:tcPr>
            <w:tcW w:w="158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77.11%</w:t>
            </w:r>
          </w:p>
        </w:tc>
        <w:tc>
          <w:tcPr>
            <w:tcW w:w="1500" w:type="dxa"/>
            <w:gridSpan w:val="2"/>
            <w:shd w:val="clear" w:color="auto" w:fill="auto"/>
          </w:tcPr>
          <w:p w:rsidR="005A5E7D" w:rsidRPr="006C2E2C" w:rsidRDefault="005A5E7D" w:rsidP="005A5E7D">
            <w:pPr>
              <w:spacing w:line="240" w:lineRule="auto"/>
              <w:ind w:firstLine="0"/>
              <w:jc w:val="right"/>
              <w:rPr>
                <w:rFonts w:ascii="Arial Narrow" w:hAnsi="Arial Narrow" w:cs="Calibri"/>
                <w:color w:val="000000"/>
                <w:sz w:val="16"/>
                <w:szCs w:val="16"/>
              </w:rPr>
            </w:pPr>
            <w:r w:rsidRPr="006C2E2C">
              <w:rPr>
                <w:rFonts w:ascii="Arial Narrow" w:eastAsia="Times New Roman" w:hAnsi="Arial Narrow" w:cs="Calibri"/>
                <w:color w:val="000000"/>
                <w:sz w:val="16"/>
                <w:szCs w:val="16"/>
              </w:rPr>
              <w:t>53.85%</w:t>
            </w:r>
          </w:p>
        </w:tc>
      </w:tr>
    </w:tbl>
    <w:p w:rsidR="005A5E7D" w:rsidRPr="00815B1D" w:rsidRDefault="005A5E7D" w:rsidP="00815B1D">
      <w:pPr>
        <w:jc w:val="left"/>
        <w:rPr>
          <w:rFonts w:ascii="Arial Narrow" w:eastAsia="Times New Roman" w:hAnsi="Arial Narrow" w:cs="Calibri"/>
          <w:color w:val="000000"/>
          <w:sz w:val="16"/>
          <w:szCs w:val="16"/>
        </w:rPr>
        <w:sectPr w:rsidR="005A5E7D" w:rsidRPr="00815B1D">
          <w:footerReference w:type="default" r:id="rId146"/>
          <w:pgSz w:w="15840" w:h="12240" w:orient="landscape"/>
          <w:pgMar w:top="1440" w:right="1440" w:bottom="1440" w:left="1440" w:gutter="0"/>
          <w:docGrid w:linePitch="360"/>
        </w:sectPr>
      </w:pPr>
      <w:r w:rsidRPr="004D1208">
        <w:rPr>
          <w:rFonts w:ascii="Arial Narrow" w:eastAsia="Times New Roman" w:hAnsi="Arial Narrow" w:cs="Calibri"/>
          <w:b/>
          <w:color w:val="000000"/>
          <w:sz w:val="16"/>
          <w:szCs w:val="16"/>
        </w:rPr>
        <w:t>Fuente:</w:t>
      </w:r>
      <w:r w:rsidRPr="003E6812">
        <w:rPr>
          <w:rFonts w:ascii="Arial Narrow" w:eastAsia="Times New Roman" w:hAnsi="Arial Narrow" w:cs="Calibri"/>
          <w:color w:val="000000"/>
          <w:sz w:val="16"/>
          <w:szCs w:val="16"/>
        </w:rPr>
        <w:t xml:space="preserve"> Registro Comercial, de la </w:t>
      </w:r>
      <w:r>
        <w:rPr>
          <w:rFonts w:ascii="Arial Narrow" w:eastAsia="Times New Roman" w:hAnsi="Arial Narrow" w:cs="Calibri"/>
          <w:color w:val="000000"/>
          <w:sz w:val="16"/>
          <w:szCs w:val="16"/>
        </w:rPr>
        <w:t>Administración de Fomento</w:t>
      </w:r>
      <w:r w:rsidRPr="003E6812">
        <w:rPr>
          <w:rFonts w:ascii="Arial Narrow" w:eastAsia="Times New Roman" w:hAnsi="Arial Narrow" w:cs="Calibri"/>
          <w:color w:val="000000"/>
          <w:sz w:val="16"/>
          <w:szCs w:val="16"/>
        </w:rPr>
        <w:t xml:space="preserve"> Comercial, 2001</w:t>
      </w:r>
      <w:r w:rsidR="00815B1D">
        <w:rPr>
          <w:rFonts w:ascii="Arial Narrow" w:eastAsia="Times New Roman" w:hAnsi="Arial Narrow" w:cs="Calibri"/>
          <w:color w:val="000000"/>
          <w:sz w:val="16"/>
          <w:szCs w:val="16"/>
        </w:rPr>
        <w:t xml:space="preserve"> </w:t>
      </w:r>
      <w:r>
        <w:rPr>
          <w:lang w:val="es-ES_tradnl"/>
        </w:rPr>
        <w:br w:type="page"/>
      </w:r>
    </w:p>
    <w:p w:rsidR="005A5E7D" w:rsidRDefault="005A5E7D" w:rsidP="005A5E7D">
      <w:pPr>
        <w:spacing w:line="240" w:lineRule="auto"/>
        <w:ind w:firstLine="0"/>
        <w:jc w:val="left"/>
        <w:rPr>
          <w:lang w:val="es-ES_tradnl"/>
        </w:rPr>
      </w:pPr>
    </w:p>
    <w:p w:rsidR="005A5E7D" w:rsidRDefault="005A5E7D" w:rsidP="005A5E7D">
      <w:pPr>
        <w:spacing w:line="240" w:lineRule="auto"/>
        <w:ind w:firstLine="0"/>
        <w:jc w:val="left"/>
        <w:rPr>
          <w:lang w:val="es-ES_tradnl"/>
        </w:rPr>
      </w:pPr>
    </w:p>
    <w:p w:rsidR="005A5E7D" w:rsidRDefault="005A5E7D" w:rsidP="005A5E7D">
      <w:pPr>
        <w:jc w:val="center"/>
        <w:rPr>
          <w:lang w:val="es-ES_tradnl"/>
        </w:rPr>
      </w:pPr>
      <w:r>
        <w:rPr>
          <w:lang w:val="es-ES_tradnl"/>
        </w:rPr>
        <w:t xml:space="preserve"> </w:t>
      </w:r>
    </w:p>
    <w:p w:rsidR="005A5E7D" w:rsidRDefault="005A5E7D" w:rsidP="005A5E7D">
      <w:pPr>
        <w:jc w:val="center"/>
        <w:rPr>
          <w:lang w:val="es-ES_tradnl"/>
        </w:rPr>
      </w:pPr>
    </w:p>
    <w:p w:rsidR="005A5E7D" w:rsidRDefault="005A5E7D" w:rsidP="005A5E7D">
      <w:pPr>
        <w:jc w:val="center"/>
        <w:rPr>
          <w:lang w:val="es-ES_tradnl"/>
        </w:rPr>
      </w:pPr>
    </w:p>
    <w:p w:rsidR="005A5E7D" w:rsidRDefault="005A5E7D" w:rsidP="005A5E7D">
      <w:pPr>
        <w:pStyle w:val="Subtitle"/>
      </w:pPr>
      <w:r w:rsidRPr="00F4132D">
        <w:t>Anejo 4.B</w:t>
      </w:r>
      <w:r>
        <w:t xml:space="preserve">: Comparación entre Puerto Rico y República Dominicana de participación en organizaciones internacionales </w:t>
      </w:r>
    </w:p>
    <w:p w:rsidR="005A5E7D" w:rsidRPr="00F4132D" w:rsidRDefault="005A5E7D" w:rsidP="005A5E7D">
      <w:pPr>
        <w:rPr>
          <w:lang w:eastAsia="ar-SA"/>
        </w:rPr>
      </w:pPr>
    </w:p>
    <w:p w:rsidR="005A5E7D" w:rsidRDefault="008964A4" w:rsidP="005A5E7D">
      <w:pPr>
        <w:jc w:val="center"/>
        <w:rPr>
          <w:lang w:val="es-ES_tradnl"/>
        </w:rPr>
      </w:pPr>
      <w:r>
        <w:rPr>
          <w:noProof/>
          <w:lang w:val="en-US"/>
        </w:rPr>
      </w:r>
      <w:r w:rsidRPr="008964A4">
        <w:rPr>
          <w:noProof/>
          <w:lang w:val="en-US"/>
        </w:rPr>
        <w:pict>
          <v:roundrect id="Rounded Rectangle 5" o:spid="_x0000_s1037" style="width:470.4pt;height:22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" filled="f" fillcolor="#9bbb59" strokecolor="#243f60" strokeweight="2pt">
            <v:textbox>
              <w:txbxContent>
                <w:p w:rsidR="00246118" w:rsidRPr="00993374" w:rsidRDefault="00246118" w:rsidP="005A5E7D">
                  <w:pPr>
                    <w:pStyle w:val="NormalWeb"/>
                    <w:spacing w:before="2" w:after="2"/>
                  </w:pPr>
                  <w:r w:rsidRPr="006C2E2C">
                    <w:rPr>
                      <w:rFonts w:ascii="Arial Narrow" w:hAnsi="Arial Narrow"/>
                      <w:b/>
                      <w:bCs/>
                      <w:kern w:val="24"/>
                      <w:u w:val="single"/>
                    </w:rPr>
                    <w:t xml:space="preserve">República Dominicana </w:t>
                  </w:r>
                  <w:r w:rsidRPr="006C2E2C">
                    <w:rPr>
                      <w:rFonts w:ascii="Arial Narrow" w:hAnsi="Arial Narrow"/>
                      <w:kern w:val="24"/>
                    </w:rPr>
                    <w:t>ACP, AOSIS, BCIE</w:t>
                  </w:r>
                  <w:r w:rsidRPr="006C2E2C">
                    <w:rPr>
                      <w:rFonts w:ascii="Arial Narrow" w:hAnsi="Arial Narrow"/>
                      <w:kern w:val="24"/>
                      <w:highlight w:val="lightGray"/>
                    </w:rPr>
                    <w:t>,</w:t>
                  </w:r>
                  <w:r w:rsidRPr="006C2E2C">
                    <w:rPr>
                      <w:rFonts w:ascii="Arial Narrow" w:hAnsi="Arial Narrow"/>
                      <w:kern w:val="24"/>
                    </w:rPr>
                    <w:t xml:space="preserve"> Caricom (observador), CD, CELAC, FAO, G-77, IADB, IAEA, IBRD, ICAO, ICC (comité nacional), ICRM, IDA, IFAD, IFC, IFRCS, IHO, ILO, IMF, IMO, Interpol, IOC, IOM, IPU, ISO (correspondiente), ITSO, ITU, ITUC (NGOs), LAES, LAIA (observador), MIGA, NAM, OAS, OIF (observador), OPANAL, OPCW, PCA, Petrocaribe, SICA (miembro asociado), UN, UNCTAD, UNESCO, UNIDO, Unión Latina, UNWTO, UPU, WCO, WFTU (NGOs), WHO, WIPO, WMO, WTO</w:t>
                  </w:r>
                </w:p>
                <w:p w:rsidR="00246118" w:rsidRPr="00993374" w:rsidRDefault="00246118" w:rsidP="005A5E7D">
                  <w:pPr>
                    <w:pStyle w:val="NormalWeb"/>
                    <w:spacing w:before="2" w:after="2"/>
                  </w:pPr>
                  <w:r w:rsidRPr="006C2E2C">
                    <w:rPr>
                      <w:rFonts w:ascii="Arial Narrow" w:hAnsi="Arial Narrow"/>
                      <w:b/>
                      <w:bCs/>
                      <w:kern w:val="24"/>
                      <w:u w:val="single"/>
                    </w:rPr>
                    <w:t xml:space="preserve">Puerto Rico </w:t>
                  </w:r>
                  <w:r w:rsidRPr="006C2E2C">
                    <w:rPr>
                      <w:rFonts w:ascii="Arial Narrow" w:hAnsi="Arial Narrow"/>
                      <w:kern w:val="24"/>
                    </w:rPr>
                    <w:t>Caricom (observador), Interpol (sub buró), IOC, UNWTO (asociado), UPU</w:t>
                  </w:r>
                </w:p>
              </w:txbxContent>
            </v:textbox>
            <w10:anchorlock/>
          </v:roundrect>
        </w:pict>
      </w:r>
    </w:p>
    <w:p w:rsidR="005A5E7D" w:rsidRDefault="005A5E7D" w:rsidP="005A5E7D">
      <w:pPr>
        <w:jc w:val="center"/>
        <w:rPr>
          <w:lang w:val="es-ES_tradnl"/>
        </w:rPr>
      </w:pPr>
    </w:p>
    <w:p w:rsidR="005A5E7D" w:rsidRDefault="005A5E7D" w:rsidP="005A5E7D">
      <w:pPr>
        <w:rPr>
          <w:lang w:val="es-ES_tradnl"/>
        </w:rPr>
      </w:pPr>
    </w:p>
    <w:p w:rsidR="005A5E7D" w:rsidRDefault="005A5E7D" w:rsidP="005A5E7D">
      <w:pPr>
        <w:rPr>
          <w:lang w:val="es-ES_tradnl"/>
        </w:rPr>
      </w:pPr>
    </w:p>
    <w:p w:rsidR="005A5E7D" w:rsidRDefault="005A5E7D" w:rsidP="005A5E7D">
      <w:pPr>
        <w:rPr>
          <w:lang w:val="es-ES_tradnl"/>
        </w:rPr>
      </w:pPr>
    </w:p>
    <w:p w:rsidR="005A5E7D" w:rsidRDefault="005A5E7D" w:rsidP="005A5E7D">
      <w:pPr>
        <w:rPr>
          <w:lang w:val="es-ES_tradnl"/>
        </w:rPr>
      </w:pPr>
    </w:p>
    <w:p w:rsidR="005A5E7D" w:rsidRDefault="005A5E7D" w:rsidP="005A5E7D">
      <w:pPr>
        <w:rPr>
          <w:lang w:val="es-ES_tradnl"/>
        </w:rPr>
      </w:pPr>
    </w:p>
    <w:p w:rsidR="005A5E7D" w:rsidRDefault="005A5E7D" w:rsidP="005A5E7D">
      <w:pPr>
        <w:spacing w:after="120"/>
        <w:ind w:firstLine="0"/>
        <w:contextualSpacing/>
        <w:jc w:val="left"/>
        <w:rPr>
          <w:rFonts w:eastAsia="Calibri"/>
          <w:b/>
          <w:szCs w:val="24"/>
        </w:rPr>
      </w:pPr>
    </w:p>
    <w:p w:rsidR="001F32F7" w:rsidRDefault="001F32F7" w:rsidP="001F32F7">
      <w:pPr>
        <w:pStyle w:val="Heading1"/>
        <w:sectPr w:rsidR="001F32F7">
          <w:footerReference w:type="default" r:id="rId147"/>
          <w:pgSz w:w="12240" w:h="15840"/>
          <w:pgMar w:top="1440" w:right="1440" w:bottom="1440" w:left="1440" w:gutter="0"/>
          <w:docGrid w:linePitch="360"/>
        </w:sectPr>
      </w:pPr>
    </w:p>
    <w:p w:rsidR="005A5E7D" w:rsidRPr="00BD4C56" w:rsidRDefault="005A5E7D" w:rsidP="001F32F7">
      <w:pPr>
        <w:pStyle w:val="Heading1"/>
      </w:pPr>
      <w:bookmarkStart w:id="78" w:name="_Toc384769768"/>
      <w:r w:rsidRPr="00BD4C56">
        <w:t>Capítulo 5: La perspectiva de la competitividad en el tema de la estadidad</w:t>
      </w:r>
      <w:bookmarkEnd w:id="78"/>
    </w:p>
    <w:p w:rsidR="005A5E7D" w:rsidRPr="00627234" w:rsidRDefault="005A5E7D" w:rsidP="005A5E7D">
      <w:pPr>
        <w:spacing w:line="240" w:lineRule="auto"/>
        <w:jc w:val="right"/>
        <w:rPr>
          <w:b/>
          <w:i/>
          <w:lang w:eastAsia="ar-SA"/>
        </w:rPr>
      </w:pPr>
      <w:r w:rsidRPr="00627234">
        <w:rPr>
          <w:b/>
          <w:i/>
          <w:lang w:eastAsia="ar-SA"/>
        </w:rPr>
        <w:t>Juan Lara Fontánez</w:t>
      </w:r>
    </w:p>
    <w:p w:rsidR="005A5E7D" w:rsidRDefault="005A5E7D" w:rsidP="005A5E7D">
      <w:pPr>
        <w:spacing w:line="240" w:lineRule="auto"/>
        <w:jc w:val="right"/>
        <w:rPr>
          <w:i/>
          <w:lang w:eastAsia="ar-SA"/>
        </w:rPr>
      </w:pPr>
      <w:r>
        <w:rPr>
          <w:i/>
          <w:lang w:eastAsia="ar-SA"/>
        </w:rPr>
        <w:t>Departamento de Economía</w:t>
      </w:r>
    </w:p>
    <w:p w:rsidR="005A5E7D" w:rsidRDefault="005A5E7D" w:rsidP="005A5E7D">
      <w:pPr>
        <w:spacing w:line="240" w:lineRule="auto"/>
        <w:jc w:val="right"/>
        <w:rPr>
          <w:i/>
          <w:lang w:eastAsia="ar-SA"/>
        </w:rPr>
      </w:pPr>
      <w:r>
        <w:rPr>
          <w:i/>
          <w:lang w:eastAsia="ar-SA"/>
        </w:rPr>
        <w:t xml:space="preserve">Universidad de Puerto Rico </w:t>
      </w:r>
    </w:p>
    <w:p w:rsidR="005A5E7D" w:rsidRPr="002A236E" w:rsidRDefault="005A5E7D" w:rsidP="005A5E7D">
      <w:pPr>
        <w:spacing w:after="240" w:line="240" w:lineRule="auto"/>
        <w:jc w:val="right"/>
        <w:rPr>
          <w:i/>
          <w:lang w:eastAsia="ar-SA"/>
        </w:rPr>
      </w:pPr>
      <w:r>
        <w:rPr>
          <w:i/>
          <w:lang w:eastAsia="ar-SA"/>
        </w:rPr>
        <w:t>Recinto de Río Piedras</w:t>
      </w:r>
    </w:p>
    <w:p w:rsidR="005A5E7D" w:rsidRPr="00475EDB" w:rsidRDefault="005A5E7D" w:rsidP="00CB3560">
      <w:pPr>
        <w:pStyle w:val="Heading2"/>
        <w:numPr>
          <w:ilvl w:val="0"/>
          <w:numId w:val="14"/>
        </w:numPr>
        <w:ind w:left="426" w:hanging="426"/>
        <w:rPr>
          <w:rFonts w:eastAsia="Calibri"/>
        </w:rPr>
      </w:pPr>
      <w:bookmarkStart w:id="79" w:name="_Toc384769769"/>
      <w:r w:rsidRPr="00475EDB">
        <w:rPr>
          <w:rFonts w:eastAsia="Calibri"/>
        </w:rPr>
        <w:t>Introducción</w:t>
      </w:r>
      <w:bookmarkEnd w:id="79"/>
    </w:p>
    <w:p w:rsidR="005A5E7D" w:rsidRDefault="005A5E7D" w:rsidP="005A5E7D">
      <w:pPr>
        <w:spacing w:line="240" w:lineRule="auto"/>
      </w:pPr>
    </w:p>
    <w:p w:rsidR="005A5E7D" w:rsidRPr="00F67DA3" w:rsidRDefault="005A5E7D" w:rsidP="005A5E7D">
      <w:r w:rsidRPr="00F67DA3">
        <w:t>Uno de los temas de interés para el presente estudio es cómo se afectaría la competitividad de Puerto Rico en el escenario de la estadidad.</w:t>
      </w:r>
      <w:r>
        <w:t xml:space="preserve"> </w:t>
      </w:r>
      <w:r w:rsidRPr="00F67DA3">
        <w:t>Como se verá en este capítulo, la competitividad está relacionada con el tema de la convergencia, del cual se trató en el capítulo anterior, y, en particular, con el concepto de la “trampa del ingreso mediano” (</w:t>
      </w:r>
      <w:r w:rsidRPr="00D277FB">
        <w:rPr>
          <w:i/>
        </w:rPr>
        <w:t>middle income trap</w:t>
      </w:r>
      <w:r w:rsidRPr="00F67DA3">
        <w:t>).</w:t>
      </w:r>
      <w:r>
        <w:t xml:space="preserve"> </w:t>
      </w:r>
      <w:r w:rsidRPr="00F67DA3">
        <w:t>El análisis de la</w:t>
      </w:r>
      <w:r>
        <w:t xml:space="preserve"> </w:t>
      </w:r>
      <w:r w:rsidRPr="00F67DA3">
        <w:t>interacción entre convergencia, competitividad y la trampa del ingreso mediano provee un marco teórico fructífero para entender los problemas estructurales de la economía puertorriqueña.</w:t>
      </w:r>
      <w:r>
        <w:t xml:space="preserve"> </w:t>
      </w:r>
      <w:r w:rsidRPr="00F67DA3">
        <w:t>En este mismo marco teórico se puede también evaluar cómo las opciones de estatus político pueden condicionar, limitar o propiciar las futuras estrategias de desarrollo económico de la Isla.</w:t>
      </w:r>
    </w:p>
    <w:p w:rsidR="005A5E7D" w:rsidRPr="00F67DA3" w:rsidRDefault="005A5E7D" w:rsidP="005A5E7D">
      <w:r w:rsidRPr="00F67DA3">
        <w:t>El capítulo comienza con una discusión del concepto de competitividad.</w:t>
      </w:r>
      <w:r>
        <w:t xml:space="preserve"> </w:t>
      </w:r>
      <w:r w:rsidRPr="00F67DA3">
        <w:t>Luego se hace un repaso de la experiencia de la competitividad en Puerto Rico.</w:t>
      </w:r>
      <w:r>
        <w:t xml:space="preserve"> </w:t>
      </w:r>
      <w:r w:rsidRPr="00F67DA3">
        <w:t>Más adelante se discute la relación entre convergencia y competitividad, y en seguida se pasa a discutir la conexión de ambos conceptos con la trampa del ingreso mediano.</w:t>
      </w:r>
    </w:p>
    <w:p w:rsidR="005A5E7D" w:rsidRDefault="005A5E7D" w:rsidP="005A5E7D">
      <w:r w:rsidRPr="00F67DA3">
        <w:t>Se dedica una sección considerable del capítulo a repasar cuatro índices que se utilizan para medir la competitividad, incluyendo el más conocido, el del Foro Económico Mundial (</w:t>
      </w:r>
      <w:r w:rsidRPr="00F67DA3">
        <w:rPr>
          <w:i/>
        </w:rPr>
        <w:t>World Economic Forum</w:t>
      </w:r>
      <w:r w:rsidRPr="00D277FB">
        <w:t>, WEF</w:t>
      </w:r>
      <w:r w:rsidRPr="00F67DA3">
        <w:t>).</w:t>
      </w:r>
      <w:r>
        <w:t xml:space="preserve"> </w:t>
      </w:r>
      <w:r w:rsidRPr="00F67DA3">
        <w:t xml:space="preserve">Estos índices se utilizarán más adelante </w:t>
      </w:r>
      <w:r>
        <w:t>para un análisis cualitativo de la competitividad</w:t>
      </w:r>
      <w:r w:rsidRPr="00F67DA3">
        <w:t xml:space="preserve"> que se usará para evaluar los posibles efectos de la estadidad en esta importante dimensión de la estr</w:t>
      </w:r>
      <w:r>
        <w:t>uctura económica de Puerto Rico.</w:t>
      </w:r>
    </w:p>
    <w:p w:rsidR="002D3FEB" w:rsidRPr="00F67DA3" w:rsidRDefault="002D3FEB" w:rsidP="005A5E7D"/>
    <w:p w:rsidR="005A5E7D" w:rsidRPr="00331E52" w:rsidRDefault="005A5E7D" w:rsidP="00CB3560">
      <w:pPr>
        <w:pStyle w:val="Heading2"/>
        <w:numPr>
          <w:ilvl w:val="0"/>
          <w:numId w:val="26"/>
        </w:numPr>
        <w:ind w:left="426" w:hanging="426"/>
      </w:pPr>
      <w:bookmarkStart w:id="80" w:name="_Toc384769770"/>
      <w:r w:rsidRPr="00331E52">
        <w:t>¿Qué es la competitividad?</w:t>
      </w:r>
      <w:bookmarkEnd w:id="80"/>
    </w:p>
    <w:p w:rsidR="005A5E7D" w:rsidRDefault="005A5E7D" w:rsidP="005A5E7D">
      <w:pPr>
        <w:spacing w:line="240" w:lineRule="auto"/>
      </w:pPr>
    </w:p>
    <w:p w:rsidR="005A5E7D" w:rsidRPr="00F67DA3" w:rsidRDefault="005A5E7D" w:rsidP="005A5E7D">
      <w:r w:rsidRPr="00F67DA3">
        <w:t>Según la definición más básica, la competitividad es la capacidad de competir (DRAE, 2001).</w:t>
      </w:r>
      <w:r>
        <w:t xml:space="preserve"> </w:t>
      </w:r>
      <w:r w:rsidRPr="00F67DA3">
        <w:t>Para una empresa, la capacidad de competir consiste en poder colocar sus productos en el mercado y obtener una rentabilidad aceptable, enfrentándose a otras empresas que persiguen los mismos objetivos de penetración de mercado y realización de utilidades.</w:t>
      </w:r>
      <w:r>
        <w:t xml:space="preserve"> </w:t>
      </w:r>
    </w:p>
    <w:p w:rsidR="005A5E7D" w:rsidRPr="00F67DA3" w:rsidRDefault="005A5E7D" w:rsidP="005A5E7D">
      <w:r w:rsidRPr="00F67DA3">
        <w:t>En un plano más amplio, se puede hablar de competitividad de una industria, o de un país, estado o territorio.</w:t>
      </w:r>
      <w:r>
        <w:t xml:space="preserve"> </w:t>
      </w:r>
      <w:r w:rsidRPr="00F67DA3">
        <w:t>En este sentido más amplio, la competitividad adquiere un significado también más amplio.</w:t>
      </w:r>
      <w:r>
        <w:t xml:space="preserve"> </w:t>
      </w:r>
      <w:r w:rsidRPr="00F67DA3">
        <w:t>Por ejemplo, refiriéndose a la competitividad al nivel nacional, el WEF la define como “el conjunto de instituciones, políticas y factores que determinan el nivel de productividad de un país” (WEF, 2010).</w:t>
      </w:r>
      <w:r>
        <w:t xml:space="preserve"> </w:t>
      </w:r>
      <w:r w:rsidRPr="00F67DA3">
        <w:t>La productividad, a su vez, es el principal determinante del nivel de vida material de los pueblos.</w:t>
      </w:r>
    </w:p>
    <w:p w:rsidR="005A5E7D" w:rsidRPr="00F67DA3" w:rsidRDefault="005A5E7D" w:rsidP="005A5E7D">
      <w:r w:rsidRPr="00F67DA3">
        <w:t>Para las economías avanzadas, la competitividad alude principalmente a su capacidad de adquirir y mantener posiciones de liderato global en el comercio, las finanzas y la tecnología.</w:t>
      </w:r>
      <w:r>
        <w:t xml:space="preserve"> </w:t>
      </w:r>
      <w:r w:rsidRPr="00F67DA3">
        <w:t>En cambio, en el caso de los países en vías de desarrollo, se trata no s</w:t>
      </w:r>
      <w:r>
        <w:t>o</w:t>
      </w:r>
      <w:r w:rsidRPr="00F67DA3">
        <w:t>lo de su posicionamiento en los mercados internacionales, sino que se incluye también la capacidad de mantener altas tasas de crecimiento económico y un ritmo sostenido de transformación estructural para avanzar en el proceso de desarrollo económico y social.</w:t>
      </w:r>
      <w:r>
        <w:t xml:space="preserve"> </w:t>
      </w:r>
      <w:r w:rsidRPr="00F67DA3">
        <w:t>Un elemento importante de la competitividad en los países en vías de desarrollo es poder atraer inversión externa, especialmente en las áreas de alta tecnología</w:t>
      </w:r>
      <w:r>
        <w:t>,</w:t>
      </w:r>
      <w:r w:rsidRPr="00F67DA3">
        <w:t xml:space="preserve"> que promueven el aprendizaje y la innovación.</w:t>
      </w:r>
    </w:p>
    <w:p w:rsidR="005A5E7D" w:rsidRPr="00F67DA3" w:rsidRDefault="005A5E7D" w:rsidP="005A5E7D">
      <w:r w:rsidRPr="00F67DA3">
        <w:t>En las últimas décadas, el tema de la competitividad se ha convertido en una preocupación de política pública</w:t>
      </w:r>
      <w:r>
        <w:t>,</w:t>
      </w:r>
      <w:r w:rsidRPr="00F67DA3">
        <w:t xml:space="preserve"> tanto en los países avanzados como en los que aún están en vías de desarrollo.</w:t>
      </w:r>
      <w:r>
        <w:t xml:space="preserve"> </w:t>
      </w:r>
      <w:r w:rsidRPr="00F67DA3">
        <w:t>Muchos países</w:t>
      </w:r>
      <w:r>
        <w:t xml:space="preserve"> </w:t>
      </w:r>
      <w:r w:rsidRPr="00F67DA3">
        <w:t>—como México y República Dominicana, para citar solo dos ejemplos cercanos—</w:t>
      </w:r>
      <w:r>
        <w:t xml:space="preserve"> </w:t>
      </w:r>
      <w:r w:rsidRPr="00F67DA3">
        <w:t>han creado entidades a nivel nacional para definir e implantar políticas de competitividad.</w:t>
      </w:r>
    </w:p>
    <w:p w:rsidR="005A5E7D" w:rsidRPr="00E8438B" w:rsidRDefault="005A5E7D" w:rsidP="00CB3560">
      <w:pPr>
        <w:pStyle w:val="Heading2"/>
        <w:numPr>
          <w:ilvl w:val="0"/>
          <w:numId w:val="32"/>
        </w:numPr>
        <w:ind w:left="426" w:hanging="426"/>
        <w:rPr>
          <w:rFonts w:eastAsia="Calibri"/>
        </w:rPr>
      </w:pPr>
      <w:bookmarkStart w:id="81" w:name="_Toc384769771"/>
      <w:r w:rsidRPr="00E8438B">
        <w:rPr>
          <w:rFonts w:eastAsia="Calibri"/>
        </w:rPr>
        <w:t>La competitividad de Puerto Rico</w:t>
      </w:r>
      <w:bookmarkEnd w:id="81"/>
    </w:p>
    <w:p w:rsidR="005A5E7D" w:rsidRDefault="005A5E7D" w:rsidP="005A5E7D">
      <w:pPr>
        <w:spacing w:line="240" w:lineRule="auto"/>
      </w:pPr>
    </w:p>
    <w:p w:rsidR="005A5E7D" w:rsidRPr="00F67DA3" w:rsidRDefault="005A5E7D" w:rsidP="005A5E7D">
      <w:r w:rsidRPr="00F67DA3">
        <w:t>Al igual que en otros países, en Puerto Rico hay mucho interés y preocupación por el tema de la competitividad.</w:t>
      </w:r>
      <w:r>
        <w:t xml:space="preserve"> </w:t>
      </w:r>
      <w:r w:rsidRPr="00F67DA3">
        <w:t xml:space="preserve">Tanto el </w:t>
      </w:r>
      <w:r>
        <w:t>Gobierno</w:t>
      </w:r>
      <w:r w:rsidRPr="00F67DA3">
        <w:t xml:space="preserve"> como la casi totalidad de las entidades del sector privado han desarrollado proyectos para superar los factores que limitan la competitividad de la economía puertorriqueña.</w:t>
      </w:r>
      <w:r>
        <w:t xml:space="preserve"> </w:t>
      </w:r>
      <w:r w:rsidRPr="00F67DA3">
        <w:t>El tema ha sido estudiado, además, por varios investigadores académicos y profesionales.</w:t>
      </w:r>
    </w:p>
    <w:p w:rsidR="005A5E7D" w:rsidRPr="00F67DA3" w:rsidRDefault="005A5E7D" w:rsidP="005A5E7D">
      <w:r w:rsidRPr="00F67DA3">
        <w:t>Según la Comisión Económica para la América Latina y el Caribe (CEPAL), “se puede decir que existe consenso en Puerto Rico en cuanto a que la economía ha sufrido la erosión sostenida de su competitividad en las últimas dos décadas y quizás desde antes”</w:t>
      </w:r>
      <w:r>
        <w:t xml:space="preserve"> </w:t>
      </w:r>
      <w:r w:rsidRPr="00F67DA3">
        <w:t>(CEPAL, 2005, 116).</w:t>
      </w:r>
      <w:r>
        <w:t xml:space="preserve"> </w:t>
      </w:r>
      <w:r w:rsidRPr="00F67DA3">
        <w:t>De manera similar, el Banco de la Reserva Federal de Nueva York ha indicado que la Isla “ha estado operando por debajo de su potencial por algún tiempo y la competitividad de la economía continúa deteriorándose” (FRBNY, 2012, 7).</w:t>
      </w:r>
      <w:r>
        <w:t xml:space="preserve"> </w:t>
      </w:r>
      <w:r w:rsidRPr="00F67DA3">
        <w:t>Señalamientos del mismo tenor se pueden encontrar en otros documentos sobre el tema.</w:t>
      </w:r>
    </w:p>
    <w:p w:rsidR="005A5E7D" w:rsidRPr="00F67DA3" w:rsidRDefault="005A5E7D" w:rsidP="005A5E7D">
      <w:r w:rsidRPr="00F67DA3">
        <w:t>Por otro lado, parece haber también un consenso de que Puerto Rico cuenta con ventajas competitivas realizadas y potenciales, y que puede revertir la pérdida de competitividad que ha sufrido en el pasado.</w:t>
      </w:r>
      <w:r>
        <w:t xml:space="preserve"> A</w:t>
      </w:r>
      <w:r w:rsidRPr="00F67DA3">
        <w:t xml:space="preserve">sí lo indican </w:t>
      </w:r>
      <w:r>
        <w:t>t</w:t>
      </w:r>
      <w:r w:rsidRPr="00F67DA3">
        <w:t>anto la CEPAL como el FRBNY.</w:t>
      </w:r>
      <w:r>
        <w:t xml:space="preserve"> </w:t>
      </w:r>
      <w:r w:rsidRPr="00F67DA3">
        <w:t>Por ejemplo, la CEPAL cita evidencia de ciertas ventajas competitivas en la manufactura y el turismo, mientras que el FRBNY indica que Puerto Rico tiene algunas características que la hacen una economía fuerte y con el potencial de ser altamente competitiva.</w:t>
      </w:r>
    </w:p>
    <w:p w:rsidR="005A5E7D" w:rsidRPr="00F67DA3" w:rsidRDefault="005A5E7D" w:rsidP="005A5E7D">
      <w:r w:rsidRPr="00F67DA3">
        <w:t>Entre los factores positivos para la competitividad de la Isla se citan el acervo de capital humano, una infraestructura física relativamente bien desarrollada</w:t>
      </w:r>
      <w:r>
        <w:t>,</w:t>
      </w:r>
      <w:r w:rsidRPr="00F67DA3">
        <w:t xml:space="preserve"> y la afinidad de los empresarios y profesionales puertorriqueños con la cultura estadounidense de negocios.</w:t>
      </w:r>
    </w:p>
    <w:p w:rsidR="005A5E7D" w:rsidRPr="00F67DA3" w:rsidRDefault="005A5E7D" w:rsidP="005A5E7D">
      <w:r w:rsidRPr="00F67DA3">
        <w:t>En el lado negativo figuran los costos de hacer negocios</w:t>
      </w:r>
      <w:r>
        <w:t xml:space="preserve"> </w:t>
      </w:r>
      <w:r w:rsidRPr="00F67DA3">
        <w:t>—entre los que se destaca el costo energético—</w:t>
      </w:r>
      <w:r>
        <w:t xml:space="preserve"> </w:t>
      </w:r>
      <w:r w:rsidRPr="00F67DA3">
        <w:t>la burocracia de permisos y reglamentación, y la alta incidencia de crímenes violentos.</w:t>
      </w:r>
    </w:p>
    <w:p w:rsidR="005A5E7D" w:rsidRPr="00F67DA3" w:rsidRDefault="005A5E7D" w:rsidP="005A5E7D">
      <w:r w:rsidRPr="00F67DA3">
        <w:t>El FRBNY, por ejemplo, identifica los cinco retos siguientes a la competitividad de Puerto Rico:</w:t>
      </w:r>
    </w:p>
    <w:p w:rsidR="005A5E7D" w:rsidRPr="00F67DA3" w:rsidRDefault="005A5E7D" w:rsidP="00CB3560">
      <w:pPr>
        <w:numPr>
          <w:ilvl w:val="0"/>
          <w:numId w:val="13"/>
        </w:numPr>
        <w:spacing w:after="120" w:line="259" w:lineRule="auto"/>
        <w:contextualSpacing/>
        <w:jc w:val="left"/>
        <w:rPr>
          <w:rFonts w:eastAsia="Calibri"/>
          <w:szCs w:val="24"/>
        </w:rPr>
      </w:pPr>
      <w:r w:rsidRPr="00F67DA3">
        <w:rPr>
          <w:rFonts w:eastAsia="Calibri"/>
          <w:szCs w:val="24"/>
        </w:rPr>
        <w:t>Mejorar las oportunidades en el mercado de trabajo</w:t>
      </w:r>
      <w:r>
        <w:rPr>
          <w:rFonts w:eastAsia="Calibri"/>
          <w:szCs w:val="24"/>
        </w:rPr>
        <w:t>,</w:t>
      </w:r>
    </w:p>
    <w:p w:rsidR="005A5E7D" w:rsidRPr="00F67DA3" w:rsidRDefault="005A5E7D" w:rsidP="00CB3560">
      <w:pPr>
        <w:numPr>
          <w:ilvl w:val="0"/>
          <w:numId w:val="13"/>
        </w:numPr>
        <w:spacing w:after="120" w:line="259" w:lineRule="auto"/>
        <w:contextualSpacing/>
        <w:jc w:val="left"/>
        <w:rPr>
          <w:rFonts w:eastAsia="Calibri"/>
          <w:szCs w:val="24"/>
        </w:rPr>
      </w:pPr>
      <w:r w:rsidRPr="00F67DA3">
        <w:rPr>
          <w:rFonts w:eastAsia="Calibri"/>
          <w:szCs w:val="24"/>
        </w:rPr>
        <w:t>Desarrollar el capital humano</w:t>
      </w:r>
      <w:r>
        <w:rPr>
          <w:rFonts w:eastAsia="Calibri"/>
          <w:szCs w:val="24"/>
        </w:rPr>
        <w:t>,</w:t>
      </w:r>
    </w:p>
    <w:p w:rsidR="005A5E7D" w:rsidRPr="00F67DA3" w:rsidRDefault="005A5E7D" w:rsidP="00CB3560">
      <w:pPr>
        <w:numPr>
          <w:ilvl w:val="0"/>
          <w:numId w:val="13"/>
        </w:numPr>
        <w:spacing w:after="120" w:line="259" w:lineRule="auto"/>
        <w:contextualSpacing/>
        <w:jc w:val="left"/>
        <w:rPr>
          <w:rFonts w:eastAsia="Calibri"/>
          <w:szCs w:val="24"/>
        </w:rPr>
      </w:pPr>
      <w:r w:rsidRPr="00F67DA3">
        <w:rPr>
          <w:rFonts w:eastAsia="Calibri"/>
          <w:szCs w:val="24"/>
        </w:rPr>
        <w:t>Reducir los costos de hacer negocios</w:t>
      </w:r>
      <w:r>
        <w:rPr>
          <w:rFonts w:eastAsia="Calibri"/>
          <w:szCs w:val="24"/>
        </w:rPr>
        <w:t>,</w:t>
      </w:r>
    </w:p>
    <w:p w:rsidR="005A5E7D" w:rsidRPr="00F67DA3" w:rsidRDefault="005A5E7D" w:rsidP="00CB3560">
      <w:pPr>
        <w:numPr>
          <w:ilvl w:val="0"/>
          <w:numId w:val="13"/>
        </w:numPr>
        <w:spacing w:after="120" w:line="259" w:lineRule="auto"/>
        <w:contextualSpacing/>
        <w:jc w:val="left"/>
        <w:rPr>
          <w:rFonts w:eastAsia="Calibri"/>
          <w:szCs w:val="24"/>
        </w:rPr>
      </w:pPr>
      <w:r w:rsidRPr="00F67DA3">
        <w:rPr>
          <w:rFonts w:eastAsia="Calibri"/>
          <w:szCs w:val="24"/>
        </w:rPr>
        <w:t>Movilizar las finanzas para apoyar los negocios y el crecimiento económico</w:t>
      </w:r>
      <w:r>
        <w:rPr>
          <w:rFonts w:eastAsia="Calibri"/>
          <w:szCs w:val="24"/>
        </w:rPr>
        <w:t>, y</w:t>
      </w:r>
    </w:p>
    <w:p w:rsidR="005A5E7D" w:rsidRDefault="005A5E7D" w:rsidP="00CB3560">
      <w:pPr>
        <w:numPr>
          <w:ilvl w:val="0"/>
          <w:numId w:val="13"/>
        </w:numPr>
        <w:spacing w:after="120" w:line="259" w:lineRule="auto"/>
        <w:contextualSpacing/>
        <w:jc w:val="left"/>
        <w:rPr>
          <w:rFonts w:eastAsia="Calibri"/>
          <w:szCs w:val="24"/>
        </w:rPr>
      </w:pPr>
      <w:r w:rsidRPr="00F67DA3">
        <w:rPr>
          <w:rFonts w:eastAsia="Calibri"/>
          <w:szCs w:val="24"/>
        </w:rPr>
        <w:t>Reducir la dependencia de una industria declinante</w:t>
      </w:r>
      <w:r>
        <w:rPr>
          <w:rFonts w:eastAsia="Calibri"/>
          <w:szCs w:val="24"/>
        </w:rPr>
        <w:t>.</w:t>
      </w:r>
    </w:p>
    <w:p w:rsidR="005A5E7D" w:rsidRPr="00F67DA3" w:rsidRDefault="005A5E7D" w:rsidP="005A5E7D">
      <w:pPr>
        <w:spacing w:after="120" w:line="259" w:lineRule="auto"/>
        <w:ind w:left="1440" w:firstLine="0"/>
        <w:contextualSpacing/>
        <w:jc w:val="left"/>
        <w:rPr>
          <w:rFonts w:eastAsia="Calibri"/>
          <w:szCs w:val="24"/>
        </w:rPr>
      </w:pPr>
    </w:p>
    <w:p w:rsidR="005A5E7D" w:rsidRDefault="005A5E7D" w:rsidP="005A5E7D">
      <w:r w:rsidRPr="00F67DA3">
        <w:t xml:space="preserve">Excepto por el último de estos cinco retos, los demás han sido comentados por muchos otros analistas, incluyendo a la CEPAL y entidades del sector privado </w:t>
      </w:r>
      <w:r>
        <w:t>de Puerto Rico</w:t>
      </w:r>
      <w:r w:rsidRPr="00F67DA3">
        <w:t>.</w:t>
      </w:r>
      <w:r>
        <w:t xml:space="preserve"> </w:t>
      </w:r>
      <w:r w:rsidRPr="00F67DA3">
        <w:t>Es de interés que muchos de estos problemas estructurales representan, simultáneamente, áreas de oportunidad para el desarrollo futuro de la economía puertorriqueña.</w:t>
      </w:r>
      <w:r>
        <w:t xml:space="preserve"> </w:t>
      </w:r>
      <w:r w:rsidRPr="00F67DA3">
        <w:t>También es de interés que estas facetas de la competitividad identificadas por el FRBNY coinciden con algunos de las categorías que se incluyen en los diversos índices de competitividad.</w:t>
      </w:r>
    </w:p>
    <w:p w:rsidR="005A5E7D" w:rsidRPr="00F67DA3" w:rsidRDefault="005A5E7D" w:rsidP="005A5E7D">
      <w:pPr>
        <w:spacing w:line="240" w:lineRule="auto"/>
      </w:pPr>
    </w:p>
    <w:p w:rsidR="005A5E7D" w:rsidRPr="00F67DA3" w:rsidRDefault="005A5E7D" w:rsidP="005A5E7D">
      <w:pPr>
        <w:pStyle w:val="Heading2"/>
        <w:ind w:left="426" w:hanging="426"/>
        <w:rPr>
          <w:rFonts w:eastAsia="Calibri"/>
        </w:rPr>
      </w:pPr>
      <w:bookmarkStart w:id="82" w:name="_Toc384769772"/>
      <w:r w:rsidRPr="00F67DA3">
        <w:rPr>
          <w:rFonts w:eastAsia="Calibri"/>
        </w:rPr>
        <w:t>Retos a la competitividad de Puerto Rico</w:t>
      </w:r>
      <w:bookmarkEnd w:id="82"/>
    </w:p>
    <w:p w:rsidR="005A5E7D" w:rsidRDefault="005A5E7D" w:rsidP="005A5E7D">
      <w:pPr>
        <w:spacing w:line="360" w:lineRule="auto"/>
      </w:pPr>
    </w:p>
    <w:p w:rsidR="005A5E7D" w:rsidRPr="00F67DA3" w:rsidRDefault="005A5E7D" w:rsidP="005A5E7D">
      <w:r w:rsidRPr="00F67DA3">
        <w:t xml:space="preserve">Además de los eventos adversos que han golpeado la competitividad de la Isla en las pasadas décadas (incluyendo los </w:t>
      </w:r>
      <w:r w:rsidRPr="00F67DA3">
        <w:rPr>
          <w:i/>
        </w:rPr>
        <w:t>shocks</w:t>
      </w:r>
      <w:r w:rsidRPr="00F67DA3">
        <w:t xml:space="preserve"> energéticos y la eliminación de la Sección 936), la competitividad también se ve amenazada hacia el futuro por factores externos e internos, algunos de los cuales se relacionan con el estatus político de la Isla.</w:t>
      </w:r>
      <w:r>
        <w:t xml:space="preserve"> </w:t>
      </w:r>
      <w:r w:rsidRPr="00F67DA3">
        <w:t>Algunos de estos factores se enumeran a continuación.</w:t>
      </w:r>
    </w:p>
    <w:p w:rsidR="005A5E7D" w:rsidRPr="00324BED" w:rsidRDefault="005A5E7D" w:rsidP="005A5E7D">
      <w:pPr>
        <w:spacing w:after="120"/>
        <w:rPr>
          <w:b/>
        </w:rPr>
      </w:pPr>
      <w:r w:rsidRPr="00324BED">
        <w:rPr>
          <w:b/>
        </w:rPr>
        <w:t>Factores externos:</w:t>
      </w:r>
    </w:p>
    <w:p w:rsidR="005A5E7D" w:rsidRPr="009B53A6" w:rsidRDefault="005A5E7D" w:rsidP="00CB3560">
      <w:pPr>
        <w:pStyle w:val="ColorfulList-Accent11"/>
        <w:numPr>
          <w:ilvl w:val="0"/>
          <w:numId w:val="17"/>
        </w:numPr>
        <w:spacing w:after="120"/>
        <w:ind w:left="993" w:hanging="284"/>
      </w:pPr>
      <w:r w:rsidRPr="009B53A6">
        <w:t>El avance de la globalización, que implica un número creciente de países competidores en el escenario mundial.</w:t>
      </w:r>
    </w:p>
    <w:p w:rsidR="005A5E7D" w:rsidRPr="009B53A6" w:rsidRDefault="005A5E7D" w:rsidP="00CB3560">
      <w:pPr>
        <w:pStyle w:val="ColorfulList-Accent11"/>
        <w:numPr>
          <w:ilvl w:val="0"/>
          <w:numId w:val="17"/>
        </w:numPr>
        <w:spacing w:after="120"/>
        <w:ind w:left="993" w:hanging="284"/>
      </w:pPr>
      <w:r w:rsidRPr="009B53A6">
        <w:t>El ascenso de China, India y otras economías emergentes de gran tamaño y fuerte competitividad.</w:t>
      </w:r>
    </w:p>
    <w:p w:rsidR="005A5E7D" w:rsidRPr="009B53A6" w:rsidRDefault="005A5E7D" w:rsidP="00CB3560">
      <w:pPr>
        <w:pStyle w:val="ColorfulList-Accent11"/>
        <w:numPr>
          <w:ilvl w:val="0"/>
          <w:numId w:val="17"/>
        </w:numPr>
        <w:spacing w:after="120"/>
        <w:ind w:left="993" w:hanging="284"/>
      </w:pPr>
      <w:r w:rsidRPr="009B53A6">
        <w:t>Los tratados de libre comercio de Estados Unidos con países de nuestra región, especialmente los de Centroamérica, República Dominicana, Colombia y México.</w:t>
      </w:r>
    </w:p>
    <w:p w:rsidR="005A5E7D" w:rsidRPr="009B53A6" w:rsidRDefault="005A5E7D" w:rsidP="00CB3560">
      <w:pPr>
        <w:pStyle w:val="ColorfulList-Accent11"/>
        <w:numPr>
          <w:ilvl w:val="0"/>
          <w:numId w:val="17"/>
        </w:numPr>
        <w:spacing w:after="120"/>
        <w:ind w:left="993" w:hanging="284"/>
      </w:pPr>
      <w:r w:rsidRPr="009B53A6">
        <w:t xml:space="preserve">La falta de apoyo del Gobierno de Estados Unidos para las políticas de promoción industrial en </w:t>
      </w:r>
      <w:r>
        <w:t>Puerto Rico</w:t>
      </w:r>
      <w:r w:rsidRPr="009B53A6">
        <w:t>.</w:t>
      </w:r>
    </w:p>
    <w:p w:rsidR="005A5E7D" w:rsidRPr="00324BED" w:rsidRDefault="005A5E7D" w:rsidP="005A5E7D">
      <w:pPr>
        <w:spacing w:after="120"/>
        <w:rPr>
          <w:b/>
        </w:rPr>
      </w:pPr>
      <w:r w:rsidRPr="00324BED">
        <w:rPr>
          <w:b/>
        </w:rPr>
        <w:t>Factores internos:</w:t>
      </w:r>
    </w:p>
    <w:p w:rsidR="005A5E7D" w:rsidRPr="009B53A6" w:rsidRDefault="005A5E7D" w:rsidP="00CB3560">
      <w:pPr>
        <w:pStyle w:val="ColorfulList-Accent11"/>
        <w:numPr>
          <w:ilvl w:val="0"/>
          <w:numId w:val="17"/>
        </w:numPr>
        <w:spacing w:after="120"/>
        <w:ind w:left="993" w:hanging="284"/>
      </w:pPr>
      <w:r w:rsidRPr="009B53A6">
        <w:t>Los costos de iniciar y operar actividades productivas en la Isla</w:t>
      </w:r>
      <w:r>
        <w:t>.</w:t>
      </w:r>
      <w:r w:rsidRPr="0085299C">
        <w:t xml:space="preserve"> </w:t>
      </w:r>
    </w:p>
    <w:p w:rsidR="005A5E7D" w:rsidRPr="009B53A6" w:rsidRDefault="005A5E7D" w:rsidP="00CB3560">
      <w:pPr>
        <w:pStyle w:val="ColorfulList-Accent11"/>
        <w:numPr>
          <w:ilvl w:val="0"/>
          <w:numId w:val="17"/>
        </w:numPr>
        <w:spacing w:after="120"/>
        <w:ind w:left="993" w:hanging="284"/>
      </w:pPr>
      <w:r w:rsidRPr="009B53A6">
        <w:t xml:space="preserve">El debilitamiento del sistema financiero </w:t>
      </w:r>
      <w:r>
        <w:t>de Puerto Rico</w:t>
      </w:r>
      <w:r w:rsidRPr="009B53A6">
        <w:t xml:space="preserve">, especialmente </w:t>
      </w:r>
      <w:r>
        <w:t>d</w:t>
      </w:r>
      <w:r w:rsidRPr="009B53A6">
        <w:t>el sector bancario</w:t>
      </w:r>
      <w:r>
        <w:t>.</w:t>
      </w:r>
      <w:r w:rsidRPr="0085299C">
        <w:t xml:space="preserve"> </w:t>
      </w:r>
    </w:p>
    <w:p w:rsidR="005A5E7D" w:rsidRPr="009B53A6" w:rsidRDefault="005A5E7D" w:rsidP="00CB3560">
      <w:pPr>
        <w:pStyle w:val="ColorfulList-Accent11"/>
        <w:numPr>
          <w:ilvl w:val="0"/>
          <w:numId w:val="17"/>
        </w:numPr>
        <w:spacing w:after="120"/>
        <w:ind w:left="993" w:hanging="284"/>
      </w:pPr>
      <w:r w:rsidRPr="009B53A6">
        <w:t>El alto costo de la energía eléctrica y la dependencia del petróleo para la generación de electricidad.</w:t>
      </w:r>
      <w:r w:rsidRPr="0085299C">
        <w:t xml:space="preserve"> </w:t>
      </w:r>
    </w:p>
    <w:p w:rsidR="005A5E7D" w:rsidRPr="009B53A6" w:rsidRDefault="005A5E7D" w:rsidP="00CB3560">
      <w:pPr>
        <w:pStyle w:val="ColorfulList-Accent11"/>
        <w:numPr>
          <w:ilvl w:val="0"/>
          <w:numId w:val="17"/>
        </w:numPr>
        <w:spacing w:after="120"/>
        <w:ind w:left="993" w:hanging="284"/>
      </w:pPr>
      <w:r w:rsidRPr="009B53A6">
        <w:t xml:space="preserve">La limitada capacidad fiscal del Gobierno </w:t>
      </w:r>
      <w:r>
        <w:t>de Puerto Rico</w:t>
      </w:r>
      <w:r w:rsidRPr="009B53A6">
        <w:t>.</w:t>
      </w:r>
      <w:r w:rsidRPr="0085299C">
        <w:t xml:space="preserve"> </w:t>
      </w:r>
    </w:p>
    <w:p w:rsidR="005A5E7D" w:rsidRPr="009B53A6" w:rsidRDefault="005A5E7D" w:rsidP="00CB3560">
      <w:pPr>
        <w:pStyle w:val="ColorfulList-Accent11"/>
        <w:numPr>
          <w:ilvl w:val="0"/>
          <w:numId w:val="17"/>
        </w:numPr>
        <w:spacing w:after="120"/>
        <w:ind w:left="993" w:hanging="284"/>
      </w:pPr>
      <w:r>
        <w:t>La ausencia de ejecución de proyectos estratégicos de un alto potencial económico (por ejemplo, el Puerto de Las Américas en Ponce).</w:t>
      </w:r>
      <w:r w:rsidRPr="0085299C">
        <w:t xml:space="preserve"> </w:t>
      </w:r>
    </w:p>
    <w:p w:rsidR="005A5E7D" w:rsidRPr="009B53A6" w:rsidRDefault="005A5E7D" w:rsidP="00CB3560">
      <w:pPr>
        <w:pStyle w:val="ColorfulList-Accent11"/>
        <w:numPr>
          <w:ilvl w:val="0"/>
          <w:numId w:val="17"/>
        </w:numPr>
        <w:spacing w:after="120"/>
        <w:ind w:left="993" w:hanging="284"/>
      </w:pPr>
      <w:r>
        <w:t>La injerencia de la política partidista en la administración pública y el debilitamiento del sistema de mérito en el servicio público.</w:t>
      </w:r>
      <w:r w:rsidRPr="0085299C">
        <w:t xml:space="preserve"> </w:t>
      </w:r>
    </w:p>
    <w:p w:rsidR="005A5E7D" w:rsidRDefault="005A5E7D" w:rsidP="005A5E7D">
      <w:pPr>
        <w:spacing w:after="120"/>
        <w:contextualSpacing/>
        <w:rPr>
          <w:rFonts w:eastAsia="Calibri"/>
          <w:szCs w:val="24"/>
        </w:rPr>
      </w:pPr>
      <w:r w:rsidRPr="00F67DA3">
        <w:rPr>
          <w:rFonts w:eastAsia="Calibri"/>
          <w:szCs w:val="24"/>
        </w:rPr>
        <w:t xml:space="preserve">Estos retos resaltan la urgencia de que el </w:t>
      </w:r>
      <w:r>
        <w:rPr>
          <w:rFonts w:eastAsia="Calibri"/>
          <w:szCs w:val="24"/>
        </w:rPr>
        <w:t>Gobierno</w:t>
      </w:r>
      <w:r w:rsidRPr="00F67DA3">
        <w:rPr>
          <w:rFonts w:eastAsia="Calibri"/>
          <w:szCs w:val="24"/>
        </w:rPr>
        <w:t xml:space="preserve">, el sector privado y la sociedad civil de </w:t>
      </w:r>
      <w:r>
        <w:rPr>
          <w:rFonts w:eastAsia="Calibri"/>
          <w:szCs w:val="24"/>
        </w:rPr>
        <w:t>Puerto Rico</w:t>
      </w:r>
      <w:r w:rsidRPr="00F67DA3">
        <w:rPr>
          <w:rFonts w:eastAsia="Calibri"/>
          <w:szCs w:val="24"/>
        </w:rPr>
        <w:t xml:space="preserve"> desarrollen estrategias efectivas de fortalecimiento de la competitividad, incluyendo, pero sin limitarse a, programas de incentivos contributivos para la inversión productiva en la manufactura, el turismo y otras ramas de actividad.</w:t>
      </w:r>
    </w:p>
    <w:p w:rsidR="005A5E7D" w:rsidRPr="007E66DF" w:rsidRDefault="005A5E7D" w:rsidP="005A5E7D">
      <w:pPr>
        <w:spacing w:after="120" w:line="240" w:lineRule="auto"/>
        <w:contextualSpacing/>
        <w:rPr>
          <w:rFonts w:eastAsia="Calibri"/>
          <w:sz w:val="16"/>
          <w:szCs w:val="24"/>
        </w:rPr>
      </w:pPr>
    </w:p>
    <w:p w:rsidR="005A5E7D" w:rsidRPr="00F67DA3" w:rsidRDefault="005A5E7D" w:rsidP="005A5E7D">
      <w:pPr>
        <w:pStyle w:val="Heading2"/>
        <w:ind w:left="426" w:hanging="426"/>
        <w:rPr>
          <w:rFonts w:eastAsia="Calibri"/>
        </w:rPr>
      </w:pPr>
      <w:bookmarkStart w:id="83" w:name="_Toc384769773"/>
      <w:r w:rsidRPr="00F67DA3">
        <w:rPr>
          <w:rFonts w:eastAsia="Calibri"/>
        </w:rPr>
        <w:t>Competitividad y convergencia</w:t>
      </w:r>
      <w:bookmarkEnd w:id="83"/>
    </w:p>
    <w:p w:rsidR="005A5E7D" w:rsidRDefault="005A5E7D" w:rsidP="005A5E7D">
      <w:pPr>
        <w:spacing w:line="360" w:lineRule="auto"/>
      </w:pPr>
    </w:p>
    <w:p w:rsidR="005A5E7D" w:rsidRPr="00F67DA3" w:rsidRDefault="005A5E7D" w:rsidP="005A5E7D">
      <w:r w:rsidRPr="00F67DA3">
        <w:t>El tema de la competitividad está íntimamente ligado al de la convergencia.</w:t>
      </w:r>
      <w:r>
        <w:t xml:space="preserve"> </w:t>
      </w:r>
      <w:r w:rsidRPr="00F67DA3">
        <w:t>En la medida en que las economías en vías de desarrollo mejoran su competitividad, logran también acelerar su crecimiento y se sitúan en una senda de convergencia con las economías más desarrolladas.</w:t>
      </w:r>
      <w:r>
        <w:t xml:space="preserve"> </w:t>
      </w:r>
      <w:r w:rsidRPr="00F67DA3">
        <w:t>La convergencia presupone competitividad de parte de las economías emergentes.</w:t>
      </w:r>
    </w:p>
    <w:p w:rsidR="005A5E7D" w:rsidRPr="00F67DA3" w:rsidRDefault="005A5E7D" w:rsidP="005A5E7D">
      <w:r w:rsidRPr="00F67DA3">
        <w:t>La teoría del crecimiento económico postula que las economías pobres tienden a acercarse a las economías ricas con el paso del tiempo.</w:t>
      </w:r>
      <w:r>
        <w:t xml:space="preserve"> </w:t>
      </w:r>
      <w:r w:rsidRPr="00F67DA3">
        <w:t>A esta predicción de la teoría se le conoce con el nombre de la hipótesis de la convergencia.</w:t>
      </w:r>
      <w:r>
        <w:t xml:space="preserve"> </w:t>
      </w:r>
      <w:r w:rsidRPr="00F67DA3">
        <w:t>La hipótesis principal respecto a la convergencia establece que los países menos desarrollados crecen a un ritmo más acelerado que los países avanzados, y en el largo plazo pueden alcanzar niveles de producción e ingreso similares a los de estos últimos.</w:t>
      </w:r>
      <w:r>
        <w:t xml:space="preserve"> </w:t>
      </w:r>
      <w:r w:rsidRPr="00F67DA3">
        <w:t>La evidencia empírica no valida completamente esta predicción teórica, pero los estudios del tema constituyen un área importante en el análisis del desarrollo económico.</w:t>
      </w:r>
    </w:p>
    <w:p w:rsidR="005A5E7D" w:rsidRPr="00F67DA3" w:rsidRDefault="005A5E7D" w:rsidP="005A5E7D">
      <w:r w:rsidRPr="00F67DA3">
        <w:t>En Puerto Rico se han identificado períodos de convergencia que</w:t>
      </w:r>
      <w:r>
        <w:t>,</w:t>
      </w:r>
      <w:r w:rsidRPr="00F67DA3">
        <w:t xml:space="preserve"> en general</w:t>
      </w:r>
      <w:r>
        <w:t>,</w:t>
      </w:r>
      <w:r w:rsidRPr="00F67DA3">
        <w:t xml:space="preserve"> coinciden con los de mejoría en la competitividad.</w:t>
      </w:r>
      <w:r>
        <w:t xml:space="preserve"> </w:t>
      </w:r>
      <w:r w:rsidRPr="00F67DA3">
        <w:t>Y, por el contrario, en los períodos de erosión de la competitividad se detiene la convergencia e incluso se observa divergencia.</w:t>
      </w:r>
      <w:r>
        <w:t xml:space="preserve"> </w:t>
      </w:r>
      <w:r w:rsidRPr="00F67DA3">
        <w:t xml:space="preserve">La CEPAL (2005) identifica el período 1947 a 1971 como el de “la trayectoria convergente inicial”, y en ese período la economía </w:t>
      </w:r>
      <w:r>
        <w:t>de la Isla</w:t>
      </w:r>
      <w:r w:rsidRPr="00F67DA3">
        <w:t xml:space="preserve"> estaba viviendo el auge de la industrialización basada en el aprovechamiento de ciertas ventajas competitivas.</w:t>
      </w:r>
      <w:r>
        <w:t xml:space="preserve"> </w:t>
      </w:r>
      <w:r w:rsidRPr="00F67DA3">
        <w:t>Por el contrario, el período de 1971 a 1986</w:t>
      </w:r>
      <w:r>
        <w:t xml:space="preserve"> </w:t>
      </w:r>
      <w:r w:rsidRPr="00F67DA3">
        <w:t xml:space="preserve">—cuando la economía puertorriqueña fue golpeada por la crisis energética y el colapso de la </w:t>
      </w:r>
      <w:r>
        <w:t>industria petroquímica— f</w:t>
      </w:r>
      <w:r w:rsidRPr="00F67DA3">
        <w:t>ue uno de divergencia.</w:t>
      </w:r>
      <w:r>
        <w:t xml:space="preserve"> </w:t>
      </w:r>
      <w:r w:rsidRPr="00F67DA3">
        <w:t xml:space="preserve">Por supuesto, los últimos diez años han sido también de divergencia, debido a la crisis económica que </w:t>
      </w:r>
      <w:r>
        <w:t>comenz</w:t>
      </w:r>
      <w:r w:rsidRPr="00F67DA3">
        <w:t>ó a mediados de la década pasada.</w:t>
      </w:r>
    </w:p>
    <w:p w:rsidR="005A5E7D" w:rsidRPr="00F67DA3" w:rsidRDefault="005A5E7D" w:rsidP="005A5E7D">
      <w:r w:rsidRPr="00F67DA3">
        <w:t>En el caso de Puerto Rico, la teoría de la convergencia se vinculó al tema de la estadidad en un estudio que fue parte de una tesis doctoral en economía (Lefort, 1997).</w:t>
      </w:r>
      <w:r>
        <w:t xml:space="preserve"> </w:t>
      </w:r>
      <w:r w:rsidRPr="00F67DA3">
        <w:t>El autor hizo un análisis de convergencia, comparando el crecimiento económico de Puerto Rico con el de varios estados de Estados Unidos e incluso con otros países de América Latina y el Caribe.</w:t>
      </w:r>
      <w:r>
        <w:t xml:space="preserve"> </w:t>
      </w:r>
      <w:r w:rsidRPr="00F67DA3">
        <w:t>Sus hallazgos reflejan que no hay convergencia entre Puerto Rico y Estados Unidos, lo cual el autor atribuye a la falta de una integración completa de la economía de la Isla a la de los 50 estados.</w:t>
      </w:r>
      <w:r>
        <w:t xml:space="preserve"> </w:t>
      </w:r>
      <w:r w:rsidRPr="00F67DA3">
        <w:t>Según Lefort, es erróneo pensar que la economía de Puerto Rico debe converger con la de Estados Unidos antes de acceder a la estadidad.</w:t>
      </w:r>
      <w:r>
        <w:t xml:space="preserve"> </w:t>
      </w:r>
      <w:r w:rsidRPr="00F67DA3">
        <w:t>Más bien, según su perspectiva, la estadidad es una condición necesaria para que ocurra la convergencia, ya que har</w:t>
      </w:r>
      <w:r>
        <w:t>ía</w:t>
      </w:r>
      <w:r w:rsidRPr="00F67DA3">
        <w:t xml:space="preserve"> a la economía </w:t>
      </w:r>
      <w:r>
        <w:t xml:space="preserve">de la Isla </w:t>
      </w:r>
      <w:r w:rsidRPr="00F67DA3">
        <w:t>una similar a la de Estados Unidos, sentando así las bases para la convergencia.</w:t>
      </w:r>
    </w:p>
    <w:p w:rsidR="005A5E7D" w:rsidRPr="00F67DA3" w:rsidRDefault="005A5E7D" w:rsidP="005A5E7D">
      <w:r w:rsidRPr="00F67DA3">
        <w:t>El análisis de Lefort es técnicamente sofisticado, pero sus supuestos y conclusiones son cuestionables.</w:t>
      </w:r>
      <w:r>
        <w:t xml:space="preserve"> </w:t>
      </w:r>
      <w:r w:rsidRPr="00F67DA3">
        <w:t xml:space="preserve">Según el autor, un cambio de </w:t>
      </w:r>
      <w:r>
        <w:t>estatus hacia la estadidad reduciría</w:t>
      </w:r>
      <w:r w:rsidRPr="00F67DA3">
        <w:t xml:space="preserve"> la </w:t>
      </w:r>
      <w:r>
        <w:t>incertidumbre política, generaría</w:t>
      </w:r>
      <w:r w:rsidRPr="00F67DA3">
        <w:t xml:space="preserve"> un sistema legal estable, uniformar</w:t>
      </w:r>
      <w:r>
        <w:t>ía</w:t>
      </w:r>
      <w:r w:rsidRPr="00F67DA3">
        <w:t xml:space="preserve"> la institucionalidad </w:t>
      </w:r>
      <w:r>
        <w:t>de la Isla</w:t>
      </w:r>
      <w:r w:rsidRPr="00F67DA3">
        <w:t xml:space="preserve"> con la de Estados Unidos, permitir</w:t>
      </w:r>
      <w:r>
        <w:t>ía</w:t>
      </w:r>
      <w:r w:rsidRPr="00F67DA3">
        <w:t xml:space="preserve"> el acceso a un mercado más amplio y aumentar</w:t>
      </w:r>
      <w:r>
        <w:t>ía</w:t>
      </w:r>
      <w:r w:rsidRPr="00F67DA3">
        <w:t xml:space="preserve"> las ayudas federales que llegan a la Isla.</w:t>
      </w:r>
      <w:r>
        <w:t xml:space="preserve"> </w:t>
      </w:r>
      <w:r w:rsidRPr="00F67DA3">
        <w:t>Ignora el autor que en los casi 100 años de la relación política de Puerto Rico con Estados Unidos que habían transcurrido para la fecha en que se realizó su estudio</w:t>
      </w:r>
      <w:r>
        <w:t>,</w:t>
      </w:r>
      <w:r w:rsidRPr="00F67DA3">
        <w:t xml:space="preserve"> la Isla </w:t>
      </w:r>
      <w:r>
        <w:t xml:space="preserve">ya </w:t>
      </w:r>
      <w:r w:rsidRPr="00F67DA3">
        <w:t>había alcanzado un alto grado de convergencia institucional con Estados Unidos, incluyendo el establecimiento de un sistema legal estable y un ambiente de muy baja incertidumbre política.</w:t>
      </w:r>
      <w:r>
        <w:t xml:space="preserve"> </w:t>
      </w:r>
      <w:r w:rsidRPr="00F67DA3">
        <w:t xml:space="preserve">Pasa también por alto el hecho de que la economía </w:t>
      </w:r>
      <w:r>
        <w:t xml:space="preserve">de la Isla </w:t>
      </w:r>
      <w:r w:rsidRPr="00F67DA3">
        <w:t>experimentó un período de casi tres décadas de alto crecim</w:t>
      </w:r>
      <w:r>
        <w:t>i</w:t>
      </w:r>
      <w:r w:rsidRPr="00F67DA3">
        <w:t>ento económico</w:t>
      </w:r>
      <w:r>
        <w:t xml:space="preserve"> </w:t>
      </w:r>
      <w:r w:rsidRPr="008B456C">
        <w:t>—</w:t>
      </w:r>
      <w:r>
        <w:t>entre los 1940s y 1970s</w:t>
      </w:r>
      <w:r w:rsidRPr="008B456C">
        <w:t>—</w:t>
      </w:r>
      <w:r>
        <w:t>,</w:t>
      </w:r>
      <w:r w:rsidRPr="00F67DA3">
        <w:t xml:space="preserve"> comportándose tal como lo predice </w:t>
      </w:r>
      <w:r>
        <w:t>la hipótesis de la convergencia</w:t>
      </w:r>
      <w:r w:rsidRPr="00F67DA3">
        <w:t xml:space="preserve"> sin estar encaminada hacia la estadidad.</w:t>
      </w:r>
    </w:p>
    <w:p w:rsidR="005A5E7D" w:rsidRPr="00F67DA3" w:rsidRDefault="005A5E7D" w:rsidP="005A5E7D">
      <w:r w:rsidRPr="00F67DA3">
        <w:t>Más importante aún es el hecho de que Lefort ignora el papel que jugaron la innovación institucional y la política industrial de las administraciones de Rexford G. Tugwell y Luis Muñoz Marín en la convergencia institucional y económica con Estados Unidos que ocurrió durante el período señalado.</w:t>
      </w:r>
      <w:r>
        <w:t xml:space="preserve"> </w:t>
      </w:r>
      <w:r w:rsidRPr="00F67DA3">
        <w:t>Esa parte de la historia económica de la Isla demuestra que la convergencia no es un proceso automático, sino que responde a la gestión de desarrollo que el liderato del país sea capaz de desplegar.</w:t>
      </w:r>
      <w:r>
        <w:t xml:space="preserve"> </w:t>
      </w:r>
      <w:r w:rsidRPr="00F67DA3">
        <w:t xml:space="preserve">La visión de Lefort de que la estadidad por sí sola garantizaría una transformación positiva de la economía de la Isla choca con la experiencia histórica: la convergencia que se ha visto en la Isla no se dio hasta que administraciones </w:t>
      </w:r>
      <w:r>
        <w:t xml:space="preserve">de Puerto Rico </w:t>
      </w:r>
      <w:r w:rsidRPr="008B456C">
        <w:t>—</w:t>
      </w:r>
      <w:r w:rsidRPr="00F67DA3">
        <w:t>no federales</w:t>
      </w:r>
      <w:r w:rsidRPr="008B456C">
        <w:t>—</w:t>
      </w:r>
      <w:r>
        <w:t xml:space="preserve"> </w:t>
      </w:r>
      <w:r w:rsidRPr="00F67DA3">
        <w:t>acometieron de manera deliberada los retos de la modernización y la industrialización.</w:t>
      </w:r>
    </w:p>
    <w:p w:rsidR="005A5E7D" w:rsidRPr="00F67DA3" w:rsidRDefault="005A5E7D" w:rsidP="005A5E7D">
      <w:r w:rsidRPr="00F67DA3">
        <w:t>Rodrik (2011) provee la pauta para una vinculación de la convergencia y la competitividad al identificar industrias de alta productividad que pueden ayudar a un país a situarse en una “escalera automática” hacia la convergencia.</w:t>
      </w:r>
      <w:r>
        <w:t xml:space="preserve"> </w:t>
      </w:r>
      <w:r w:rsidRPr="00F67DA3">
        <w:t>Estas industrias (un ejemplo es la industria automotriz) encierran la promesa de aumentos rápidos y prácticamente garantizados en la productividad, contribuyendo así a un crecimiento más rápido y a una mejoría sostenida en la competitividad.</w:t>
      </w:r>
      <w:r>
        <w:t xml:space="preserve"> </w:t>
      </w:r>
      <w:r w:rsidRPr="00F67DA3">
        <w:t xml:space="preserve">Se establece también un vínculo con la política </w:t>
      </w:r>
      <w:r>
        <w:t>de promoción industrial, ya que</w:t>
      </w:r>
      <w:r w:rsidRPr="00F67DA3">
        <w:t xml:space="preserve"> </w:t>
      </w:r>
      <w:r w:rsidRPr="008B456C">
        <w:t>—</w:t>
      </w:r>
      <w:r w:rsidRPr="00F67DA3">
        <w:t>según Rodrik</w:t>
      </w:r>
      <w:r w:rsidRPr="008B456C">
        <w:t>—</w:t>
      </w:r>
      <w:r w:rsidRPr="00F67DA3">
        <w:t xml:space="preserve"> los países no pueden insertarse en esas actividades industriales sin algún tipo de apoyo gubernamental mediante instrumentos de política industrial.</w:t>
      </w:r>
    </w:p>
    <w:p w:rsidR="005A5E7D" w:rsidRDefault="005A5E7D" w:rsidP="005A5E7D">
      <w:r w:rsidRPr="00F67DA3">
        <w:t xml:space="preserve">Los temas de competitividad, convergencia y política industrial se entrelazan en el concepto de “la trampa del ingreso mediano”, que describe el estancamiento relativo de una economía que ha perdido su impulso inicial de </w:t>
      </w:r>
      <w:r>
        <w:t xml:space="preserve">competitividad y convergencia. </w:t>
      </w:r>
      <w:r w:rsidRPr="00F67DA3">
        <w:t>El caso de Puerto Rico es buen ejemplo de la trampa del ingreso mediano.</w:t>
      </w:r>
    </w:p>
    <w:p w:rsidR="005A5E7D" w:rsidRPr="00F67DA3" w:rsidRDefault="005A5E7D" w:rsidP="005A5E7D">
      <w:pPr>
        <w:pStyle w:val="Heading2"/>
        <w:ind w:left="426" w:hanging="426"/>
        <w:rPr>
          <w:rFonts w:eastAsia="Calibri"/>
        </w:rPr>
      </w:pPr>
      <w:bookmarkStart w:id="84" w:name="_Toc384769774"/>
      <w:r w:rsidRPr="00F67DA3">
        <w:rPr>
          <w:rFonts w:eastAsia="Calibri"/>
        </w:rPr>
        <w:t>La competitividad y la trampa del ingreso mediano</w:t>
      </w:r>
      <w:bookmarkEnd w:id="84"/>
    </w:p>
    <w:p w:rsidR="005A5E7D" w:rsidRDefault="005A5E7D" w:rsidP="005A5E7D">
      <w:pPr>
        <w:spacing w:line="240" w:lineRule="auto"/>
      </w:pPr>
    </w:p>
    <w:p w:rsidR="005A5E7D" w:rsidRPr="00F67DA3" w:rsidRDefault="005A5E7D" w:rsidP="005A5E7D">
      <w:r w:rsidRPr="00F67DA3">
        <w:t>A raíz de la industrialización, el mundo ha sufrido una serie de transformaciones que han permitido el desarrollo de nueva tecnología hasta la actualidad. Los países que a principios de siglo eran de ingreso alto se encontraban mucho más avanzados que el resto; principalmente por ser los pioneros en la investigación y el desarrollo de las tecnologías del momento. Muchos países en vías de desarrollo</w:t>
      </w:r>
      <w:r>
        <w:t xml:space="preserve"> </w:t>
      </w:r>
      <w:r w:rsidRPr="00F67DA3">
        <w:t>comenzaron un proceso de implantación de las tecnologías que ya habían creado los países industrializados. Al transformar sus economías a unas intensivas en mano de obra, este grupo de países experimentó un crecimiento económico alto debido, en esencia, a</w:t>
      </w:r>
      <w:r>
        <w:t xml:space="preserve"> que se</w:t>
      </w:r>
      <w:r w:rsidRPr="00F67DA3">
        <w:t xml:space="preserve"> </w:t>
      </w:r>
      <w:r>
        <w:t>hicieron</w:t>
      </w:r>
      <w:r w:rsidRPr="00F67DA3">
        <w:t xml:space="preserve"> más competitivos que aquellos que aún no importaban estas tecnologías y transformaban su economía. </w:t>
      </w:r>
    </w:p>
    <w:p w:rsidR="005A5E7D" w:rsidRPr="00F67DA3" w:rsidRDefault="005A5E7D" w:rsidP="005A5E7D">
      <w:r w:rsidRPr="00F67DA3">
        <w:t>Si bien en los inicios parecía que la brecha entre los países desarrollados y los que se encontraban en vías de desarrollo se cerraba aceleradamente y que se movían rumbo a la convergencia, muchos de ellos han quedado atrapados en lo que se conoce como la “trampa de</w:t>
      </w:r>
      <w:r>
        <w:t>l ingreso medio”. Este concepto</w:t>
      </w:r>
      <w:r w:rsidRPr="00F67DA3">
        <w:t xml:space="preserve"> </w:t>
      </w:r>
      <w:r w:rsidRPr="008B456C">
        <w:t>—</w:t>
      </w:r>
      <w:r w:rsidRPr="00F67DA3">
        <w:t>introducido por Indermit Gill y Hoomi Kharas en su artículo “</w:t>
      </w:r>
      <w:r w:rsidRPr="008E652F">
        <w:rPr>
          <w:iCs/>
        </w:rPr>
        <w:t>An East Asian Renaissance: Ideas for Economic Growth</w:t>
      </w:r>
      <w:r w:rsidRPr="00F67DA3">
        <w:t>” (2007)</w:t>
      </w:r>
      <w:r w:rsidRPr="008E652F">
        <w:t xml:space="preserve"> </w:t>
      </w:r>
      <w:r w:rsidRPr="008B456C">
        <w:t>—</w:t>
      </w:r>
      <w:r w:rsidRPr="00F67DA3">
        <w:t xml:space="preserve"> ha sido desarrollado posteriormente en la literatura económica para explicar la situación en que, a pesar del crecimiento económico acelerado de estos países en los primeros años de su industrialización, no se han convertido en países de ingreso alto. </w:t>
      </w:r>
    </w:p>
    <w:p w:rsidR="005A5E7D" w:rsidRPr="00F67DA3" w:rsidRDefault="005A5E7D" w:rsidP="005A5E7D">
      <w:r w:rsidRPr="00F67DA3">
        <w:t xml:space="preserve">Distintas investigaciones explican que, en los inicios de la industrialización de estos países, su competitividad aumenta, </w:t>
      </w:r>
      <w:r>
        <w:t>y logran</w:t>
      </w:r>
      <w:r w:rsidRPr="00F67DA3">
        <w:t xml:space="preserve"> incrementar su producción y reducir los costos de la misma frente a sus homólogos. Una vez que alcanzan el estatus de países de ingreso medio, con salarios más altos, su crecimiento económico merma. Esto se debe a que su competitividad se ve obstaculizada, tanto por los países de ingreso</w:t>
      </w:r>
      <w:r>
        <w:t>s</w:t>
      </w:r>
      <w:r w:rsidRPr="00F67DA3">
        <w:t xml:space="preserve"> alto</w:t>
      </w:r>
      <w:r>
        <w:t>s</w:t>
      </w:r>
      <w:r w:rsidRPr="00F67DA3">
        <w:t xml:space="preserve"> como po</w:t>
      </w:r>
      <w:r>
        <w:t>r los de ingresos bajos.</w:t>
      </w:r>
    </w:p>
    <w:p w:rsidR="005A5E7D" w:rsidRPr="00F67DA3" w:rsidRDefault="005A5E7D" w:rsidP="005A5E7D">
      <w:r w:rsidRPr="00F67DA3">
        <w:t>Por el lado de los países de ingreso alto, la innovación y el constante desarrollo de nuevas tecnologías aumenta su productividad y competitividad, aun con salarios altos; ya que la producción por trabajador es mayor. Por el lado de los países de ingreso bajo, muchos de ellos se encuentran en las etapas iniciales de industrialización, de esa carrera por el desarrollo, con salarios más bajos; lo cual también los vuelve más competitivos que los países de ingreso medio.</w:t>
      </w:r>
    </w:p>
    <w:p w:rsidR="005A5E7D" w:rsidRPr="00F67DA3" w:rsidRDefault="005A5E7D" w:rsidP="005A5E7D">
      <w:r>
        <w:t>Agénor, Canuto y Jelenic</w:t>
      </w:r>
      <w:r w:rsidRPr="00F67DA3">
        <w:t xml:space="preserve"> </w:t>
      </w:r>
      <w:r w:rsidRPr="008B456C">
        <w:t>—</w:t>
      </w:r>
      <w:r w:rsidRPr="00F67DA3">
        <w:t>en su artículo “</w:t>
      </w:r>
      <w:r w:rsidRPr="008E652F">
        <w:rPr>
          <w:iCs/>
        </w:rPr>
        <w:t>Avoiding Middle-Income Growth Traps</w:t>
      </w:r>
      <w:r w:rsidRPr="00F67DA3">
        <w:t>” (2012)</w:t>
      </w:r>
      <w:r w:rsidRPr="008E652F">
        <w:t xml:space="preserve"> </w:t>
      </w:r>
      <w:r w:rsidRPr="008B456C">
        <w:t>—</w:t>
      </w:r>
      <w:r>
        <w:t xml:space="preserve"> explican que</w:t>
      </w:r>
      <w:r w:rsidRPr="00F67DA3">
        <w:t xml:space="preserve"> había aproximadamente </w:t>
      </w:r>
      <w:r>
        <w:t xml:space="preserve">101 países de ingreso medio </w:t>
      </w:r>
      <w:r w:rsidRPr="00F67DA3">
        <w:t>para 1960</w:t>
      </w:r>
      <w:r>
        <w:t>; y que en 2008</w:t>
      </w:r>
      <w:r w:rsidRPr="00F67DA3">
        <w:t xml:space="preserve"> s</w:t>
      </w:r>
      <w:r>
        <w:t>o</w:t>
      </w:r>
      <w:r w:rsidRPr="00F67DA3">
        <w:t xml:space="preserve">lo 13 se habían convertido en países de ingreso alto. Por lo tanto, casi medio siglo después, la gran mayoría han permanecido atrapados en este nivel, en la “trampa del ingreso medio”. </w:t>
      </w:r>
    </w:p>
    <w:p w:rsidR="005A5E7D" w:rsidRPr="00F67DA3" w:rsidRDefault="005A5E7D" w:rsidP="005A5E7D">
      <w:r w:rsidRPr="00F67DA3">
        <w:t>Gill y Kharas (2007), Foxley (2012), así como Agénor, Canuto y Jelenic (2012)</w:t>
      </w:r>
      <w:r>
        <w:t>,</w:t>
      </w:r>
      <w:r w:rsidRPr="00F67DA3">
        <w:t xml:space="preserve"> y Flaaen, Ghani y Mishra (2013), consideran que la salida a esta trampa radica en varios factores: garantizar los derechos de propiedad, contar con una infraestructura avanzada que permita integrar nuevas tecnologías, reformar el mercado de trabajo para disminuir</w:t>
      </w:r>
      <w:r>
        <w:t xml:space="preserve"> </w:t>
      </w:r>
      <w:r w:rsidRPr="00F67DA3">
        <w:t>las rigideces y el costo de contratación y despido, educar a la población para que haya innovación, crear programas dirigidos a la investigación y desarrollo de nuevas tecnologías, formar trabajadores para las industrias de tecnología avanzada, entre otras medidas que promuevan la competitividad de este grupo de países. De esta manera, incursionarán en la competencia con los países de ingresos altos.</w:t>
      </w:r>
    </w:p>
    <w:p w:rsidR="005A5E7D" w:rsidRDefault="005A5E7D" w:rsidP="005A5E7D">
      <w:r w:rsidRPr="00F67DA3">
        <w:t>De modo que la historia económica del</w:t>
      </w:r>
      <w:r>
        <w:t xml:space="preserve"> s</w:t>
      </w:r>
      <w:r w:rsidRPr="00F67DA3">
        <w:t xml:space="preserve">iglo XX nos ha permitido constatar que son muy pocos los países que han pasado de tener ingresos bajos a ingresos altos. La mayoría de estos </w:t>
      </w:r>
      <w:r>
        <w:t xml:space="preserve">países </w:t>
      </w:r>
      <w:r w:rsidRPr="00F67DA3">
        <w:t>han quedado atrapados entre ambos grupos de países, en la “trampa del ingreso medio”, al no poder competir contra la mano de obra barata de los países de ingresos bajos</w:t>
      </w:r>
      <w:r>
        <w:t>,</w:t>
      </w:r>
      <w:r w:rsidRPr="00F67DA3">
        <w:t xml:space="preserve"> ni con la innovación y nuevas tecnologías de los países de ingresos altos. La solución no está en retroceder hacia los salarios e ingresos bajos, sino en avanzar en esta carrera por el desarrollo a través de una transición en la estructura económica hacia la investigación, innovación y competitividad. </w:t>
      </w:r>
    </w:p>
    <w:p w:rsidR="002D3FEB" w:rsidRPr="00F67DA3" w:rsidRDefault="002D3FEB" w:rsidP="005A5E7D"/>
    <w:p w:rsidR="005A5E7D" w:rsidRPr="00F67DA3" w:rsidRDefault="005A5E7D" w:rsidP="005A5E7D">
      <w:pPr>
        <w:pStyle w:val="Heading2"/>
        <w:ind w:left="426" w:hanging="426"/>
        <w:rPr>
          <w:rFonts w:eastAsia="Calibri"/>
        </w:rPr>
      </w:pPr>
      <w:bookmarkStart w:id="85" w:name="_Toc384769775"/>
      <w:r w:rsidRPr="00F67DA3">
        <w:rPr>
          <w:rFonts w:eastAsia="Calibri"/>
        </w:rPr>
        <w:t>Cómo medir la competitividad: índices de variables clave</w:t>
      </w:r>
      <w:bookmarkEnd w:id="85"/>
    </w:p>
    <w:p w:rsidR="005A5E7D" w:rsidRDefault="005A5E7D" w:rsidP="005A5E7D">
      <w:pPr>
        <w:spacing w:line="240" w:lineRule="auto"/>
      </w:pPr>
    </w:p>
    <w:p w:rsidR="005A5E7D" w:rsidRPr="00F67DA3" w:rsidRDefault="005A5E7D" w:rsidP="005A5E7D">
      <w:r w:rsidRPr="00F67DA3">
        <w:t xml:space="preserve">Hay varios índices de competitividad internacional que se han desarrollado para viabilizar la medición y comparación del estado de la competitividad en los diferentes países del </w:t>
      </w:r>
      <w:r>
        <w:t>planeta</w:t>
      </w:r>
      <w:r w:rsidRPr="00F67DA3">
        <w:t>. En esta sección se describen cuatro de los índices más conocidos y utilizados.</w:t>
      </w:r>
    </w:p>
    <w:p w:rsidR="005A5E7D" w:rsidRPr="00F67DA3" w:rsidRDefault="005A5E7D" w:rsidP="001F32F7">
      <w:pPr>
        <w:pStyle w:val="Heading3"/>
        <w:rPr>
          <w:rFonts w:eastAsia="Calibri"/>
        </w:rPr>
      </w:pPr>
      <w:bookmarkStart w:id="86" w:name="_Toc384769776"/>
      <w:r>
        <w:rPr>
          <w:rFonts w:eastAsia="Calibri"/>
        </w:rPr>
        <w:t>G.1</w:t>
      </w:r>
      <w:r>
        <w:rPr>
          <w:rFonts w:eastAsia="Calibri"/>
        </w:rPr>
        <w:tab/>
      </w:r>
      <w:r w:rsidRPr="00F67DA3">
        <w:rPr>
          <w:rFonts w:eastAsia="Calibri"/>
        </w:rPr>
        <w:t>El Índice de Competitividad Global del World Economic Forum (WEF)</w:t>
      </w:r>
      <w:bookmarkEnd w:id="86"/>
    </w:p>
    <w:p w:rsidR="005A5E7D" w:rsidRPr="00475EDB" w:rsidRDefault="005A5E7D" w:rsidP="005A5E7D">
      <w:pPr>
        <w:spacing w:after="120"/>
        <w:ind w:firstLine="0"/>
        <w:contextualSpacing/>
        <w:rPr>
          <w:rFonts w:eastAsia="Calibri"/>
          <w:szCs w:val="24"/>
        </w:rPr>
      </w:pPr>
      <w:r w:rsidRPr="00475EDB">
        <w:rPr>
          <w:rFonts w:eastAsia="Calibri"/>
          <w:szCs w:val="24"/>
        </w:rPr>
        <w:t>(</w:t>
      </w:r>
      <w:hyperlink r:id="rId148" w:history="1">
        <w:r w:rsidRPr="00475EDB">
          <w:rPr>
            <w:rFonts w:eastAsia="Calibri"/>
            <w:szCs w:val="24"/>
          </w:rPr>
          <w:t>http://www3.weforum.org/docs/WEF_GlobalCompetitivenessReport_2013-14.pdf</w:t>
        </w:r>
      </w:hyperlink>
      <w:r w:rsidRPr="00475EDB">
        <w:rPr>
          <w:rFonts w:eastAsia="Calibri"/>
          <w:szCs w:val="24"/>
        </w:rPr>
        <w:t>)</w:t>
      </w:r>
    </w:p>
    <w:p w:rsidR="005A5E7D" w:rsidRPr="00F67DA3" w:rsidRDefault="005A5E7D" w:rsidP="005A5E7D">
      <w:r w:rsidRPr="00F67DA3">
        <w:t>Este índice, quizás el mejor conocido de todos, incluye a Puerto Rico desde el año 2007-08.</w:t>
      </w:r>
      <w:r>
        <w:t xml:space="preserve"> </w:t>
      </w:r>
      <w:r w:rsidRPr="00F67DA3">
        <w:t xml:space="preserve">Está compuesto por </w:t>
      </w:r>
      <w:r>
        <w:t>doce</w:t>
      </w:r>
      <w:r w:rsidRPr="00F67DA3">
        <w:t xml:space="preserve"> pilares, compuestos cada uno de ellos por un grupo de variables.</w:t>
      </w:r>
      <w:r>
        <w:t xml:space="preserve"> </w:t>
      </w:r>
      <w:r w:rsidRPr="00F67DA3">
        <w:t>Algunas de las variables se obtienen de forma cuantitativa y otras de forma cualitativa (mediante encuestas).</w:t>
      </w:r>
      <w:r>
        <w:t xml:space="preserve"> </w:t>
      </w:r>
      <w:r w:rsidRPr="00F67DA3">
        <w:t xml:space="preserve">Los pilares </w:t>
      </w:r>
      <w:r>
        <w:t xml:space="preserve">se enumeran a continuación, mientras que las variables detalladas se presentan en el </w:t>
      </w:r>
      <w:r w:rsidRPr="00155266">
        <w:rPr>
          <w:b/>
        </w:rPr>
        <w:t>Apéndice 5.A</w:t>
      </w:r>
      <w:r w:rsidRPr="00F67DA3">
        <w:t>.</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Instituciones</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Infraestructura</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Entorno macroeconómico</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Salud y educación primaria</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Educación superior y entrenamiento</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Eficiencia del mercado de bienes</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Eficiencia del mercado laboral</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Desarrollo del mercado financiero</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Preparación tecnológica</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Tamaño del mercado</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Sofisticación de los negocios</w:t>
      </w:r>
    </w:p>
    <w:p w:rsidR="005A5E7D" w:rsidRPr="00155266" w:rsidRDefault="005A5E7D" w:rsidP="00CB3560">
      <w:pPr>
        <w:numPr>
          <w:ilvl w:val="0"/>
          <w:numId w:val="35"/>
        </w:numPr>
        <w:spacing w:after="120" w:line="360" w:lineRule="auto"/>
        <w:ind w:left="993" w:hanging="426"/>
        <w:contextualSpacing/>
        <w:rPr>
          <w:rFonts w:eastAsia="Calibri"/>
          <w:szCs w:val="24"/>
        </w:rPr>
      </w:pPr>
      <w:r w:rsidRPr="00155266">
        <w:rPr>
          <w:rFonts w:eastAsia="Calibri"/>
          <w:szCs w:val="24"/>
        </w:rPr>
        <w:t xml:space="preserve">Innovación </w:t>
      </w:r>
    </w:p>
    <w:p w:rsidR="005A5E7D" w:rsidRPr="00F67DA3" w:rsidRDefault="005A5E7D" w:rsidP="005A5E7D">
      <w:pPr>
        <w:spacing w:after="120"/>
        <w:ind w:firstLine="540"/>
        <w:contextualSpacing/>
        <w:rPr>
          <w:rFonts w:eastAsia="Calibri"/>
          <w:szCs w:val="24"/>
        </w:rPr>
      </w:pPr>
      <w:r w:rsidRPr="00F67DA3">
        <w:rPr>
          <w:rFonts w:eastAsia="Calibri"/>
          <w:szCs w:val="24"/>
        </w:rPr>
        <w:t>Puerto Rico está incluido en el índice competitividad del WEF desde hace varios años.</w:t>
      </w:r>
      <w:r>
        <w:rPr>
          <w:rFonts w:eastAsia="Calibri"/>
          <w:szCs w:val="24"/>
        </w:rPr>
        <w:t xml:space="preserve"> </w:t>
      </w:r>
      <w:r w:rsidRPr="00F67DA3">
        <w:rPr>
          <w:rFonts w:eastAsia="Calibri"/>
          <w:szCs w:val="24"/>
        </w:rPr>
        <w:t>La puntuación obtenida por la Isla ha variado de año en año, pero en ocasiones ha alcanzado niveles distinguidos, como, por ejemplo, ser de las economías más competitivas en América Latina.</w:t>
      </w:r>
    </w:p>
    <w:p w:rsidR="005A5E7D" w:rsidRPr="00F67DA3" w:rsidRDefault="005A5E7D" w:rsidP="001F32F7">
      <w:pPr>
        <w:pStyle w:val="Heading3"/>
        <w:rPr>
          <w:rFonts w:eastAsia="Calibri"/>
        </w:rPr>
      </w:pPr>
      <w:bookmarkStart w:id="87" w:name="_Toc384769777"/>
      <w:r>
        <w:rPr>
          <w:rFonts w:eastAsia="Calibri"/>
        </w:rPr>
        <w:t>G.2</w:t>
      </w:r>
      <w:r>
        <w:rPr>
          <w:rFonts w:eastAsia="Calibri"/>
        </w:rPr>
        <w:tab/>
        <w:t xml:space="preserve"> </w:t>
      </w:r>
      <w:r w:rsidRPr="00F67DA3">
        <w:rPr>
          <w:rFonts w:eastAsia="Calibri"/>
        </w:rPr>
        <w:t>Índice Doing Business, de la International Finance Corporation y el Banco Mundial</w:t>
      </w:r>
      <w:bookmarkEnd w:id="87"/>
    </w:p>
    <w:p w:rsidR="005A5E7D" w:rsidRPr="00475EDB" w:rsidRDefault="005A5E7D" w:rsidP="005A5E7D">
      <w:pPr>
        <w:spacing w:after="120"/>
        <w:ind w:firstLine="0"/>
        <w:contextualSpacing/>
        <w:rPr>
          <w:rFonts w:eastAsia="Calibri"/>
          <w:szCs w:val="24"/>
        </w:rPr>
      </w:pPr>
      <w:r w:rsidRPr="00475EDB">
        <w:rPr>
          <w:rFonts w:eastAsia="Calibri"/>
          <w:szCs w:val="24"/>
        </w:rPr>
        <w:t>(</w:t>
      </w:r>
      <w:hyperlink r:id="rId149" w:history="1">
        <w:r w:rsidRPr="00475EDB">
          <w:rPr>
            <w:rFonts w:eastAsia="Calibri"/>
            <w:szCs w:val="24"/>
          </w:rPr>
          <w:t>http://espanol.doingbusiness.org/</w:t>
        </w:r>
      </w:hyperlink>
      <w:r w:rsidRPr="00475EDB">
        <w:rPr>
          <w:rFonts w:eastAsia="Calibri"/>
          <w:szCs w:val="24"/>
        </w:rPr>
        <w:t>)</w:t>
      </w:r>
    </w:p>
    <w:p w:rsidR="005A5E7D" w:rsidRPr="00F67DA3" w:rsidRDefault="005A5E7D" w:rsidP="005A5E7D">
      <w:pPr>
        <w:spacing w:after="120"/>
        <w:contextualSpacing/>
        <w:rPr>
          <w:rFonts w:eastAsia="Calibri"/>
          <w:szCs w:val="24"/>
        </w:rPr>
      </w:pPr>
      <w:r w:rsidRPr="00F67DA3">
        <w:rPr>
          <w:rFonts w:eastAsia="Calibri"/>
          <w:szCs w:val="24"/>
        </w:rPr>
        <w:t>Este índice también incluye a Puerto Rico.</w:t>
      </w:r>
      <w:r>
        <w:rPr>
          <w:rFonts w:eastAsia="Calibri"/>
          <w:szCs w:val="24"/>
        </w:rPr>
        <w:t xml:space="preserve"> </w:t>
      </w:r>
      <w:r w:rsidRPr="00F67DA3">
        <w:rPr>
          <w:rFonts w:eastAsia="Calibri"/>
          <w:szCs w:val="24"/>
        </w:rPr>
        <w:t>Enfocado en la relativa facilidad o dificultad de establecer y operar un negocio, este índice de competitividad evalúa, de forma cuantitativa</w:t>
      </w:r>
      <w:r>
        <w:rPr>
          <w:rFonts w:eastAsia="Calibri"/>
          <w:szCs w:val="24"/>
        </w:rPr>
        <w:t>,</w:t>
      </w:r>
      <w:r w:rsidRPr="00F67DA3">
        <w:rPr>
          <w:rFonts w:eastAsia="Calibri"/>
          <w:szCs w:val="24"/>
        </w:rPr>
        <w:t xml:space="preserve"> las economías de 189 países en </w:t>
      </w:r>
      <w:r>
        <w:rPr>
          <w:rFonts w:eastAsia="Calibri"/>
          <w:szCs w:val="24"/>
        </w:rPr>
        <w:t>diez</w:t>
      </w:r>
      <w:r w:rsidRPr="00F67DA3">
        <w:rPr>
          <w:rFonts w:eastAsia="Calibri"/>
          <w:szCs w:val="24"/>
        </w:rPr>
        <w:t xml:space="preserve"> clasificaciones diferentes. Para cada clasificación hay un número de</w:t>
      </w:r>
      <w:r>
        <w:rPr>
          <w:rFonts w:eastAsia="Calibri"/>
          <w:szCs w:val="24"/>
        </w:rPr>
        <w:t xml:space="preserve"> </w:t>
      </w:r>
      <w:r w:rsidRPr="00F67DA3">
        <w:rPr>
          <w:rFonts w:eastAsia="Calibri"/>
          <w:szCs w:val="24"/>
        </w:rPr>
        <w:t xml:space="preserve">indicadores. Las clasificaciones utilizadas </w:t>
      </w:r>
      <w:r>
        <w:rPr>
          <w:rFonts w:eastAsia="Calibri"/>
          <w:szCs w:val="24"/>
        </w:rPr>
        <w:t xml:space="preserve">se enumeran a continuación, mientras que las variables de cada clasificación se detallan en el </w:t>
      </w:r>
      <w:r w:rsidRPr="001367DC">
        <w:rPr>
          <w:rFonts w:eastAsia="Calibri"/>
          <w:b/>
          <w:szCs w:val="24"/>
        </w:rPr>
        <w:t>Apéndice 5.A</w:t>
      </w:r>
      <w:r>
        <w:rPr>
          <w:rFonts w:eastAsia="Calibri"/>
          <w:szCs w:val="24"/>
        </w:rPr>
        <w:t>.</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Apertura de un negocio </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Manejo de permisos de construcción </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Obtención de electricidad </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Registro de propiedades </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Obtención de crédito </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Protección de los inversores </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Pago de impuestos</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Comercio transfronterizo </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Cumplimiento de contratos </w:t>
      </w:r>
    </w:p>
    <w:p w:rsidR="005A5E7D" w:rsidRPr="00FB4854" w:rsidRDefault="005A5E7D" w:rsidP="00CB3560">
      <w:pPr>
        <w:numPr>
          <w:ilvl w:val="0"/>
          <w:numId w:val="36"/>
        </w:numPr>
        <w:spacing w:after="120"/>
        <w:ind w:left="1134" w:hanging="426"/>
        <w:contextualSpacing/>
        <w:rPr>
          <w:rFonts w:eastAsia="Calibri"/>
          <w:szCs w:val="24"/>
        </w:rPr>
      </w:pPr>
      <w:r w:rsidRPr="00FB4854">
        <w:rPr>
          <w:rFonts w:eastAsia="Calibri"/>
          <w:szCs w:val="24"/>
        </w:rPr>
        <w:t xml:space="preserve">Resolución de la insolvencia </w:t>
      </w:r>
    </w:p>
    <w:p w:rsidR="005A5E7D" w:rsidRDefault="005A5E7D" w:rsidP="005A5E7D">
      <w:pPr>
        <w:spacing w:after="120" w:line="240" w:lineRule="auto"/>
        <w:contextualSpacing/>
        <w:rPr>
          <w:rFonts w:eastAsia="Calibri"/>
          <w:szCs w:val="24"/>
        </w:rPr>
      </w:pPr>
    </w:p>
    <w:p w:rsidR="005A5E7D" w:rsidRPr="00475EDB" w:rsidRDefault="005A5E7D" w:rsidP="005A5E7D">
      <w:pPr>
        <w:spacing w:after="120"/>
        <w:contextualSpacing/>
        <w:rPr>
          <w:rFonts w:eastAsia="Calibri"/>
          <w:szCs w:val="24"/>
        </w:rPr>
      </w:pPr>
      <w:r w:rsidRPr="00F67DA3">
        <w:rPr>
          <w:rFonts w:eastAsia="Calibri"/>
          <w:szCs w:val="24"/>
        </w:rPr>
        <w:t xml:space="preserve">Las metodologías para cada una de las clasificaciones se pueden encontrar en </w:t>
      </w:r>
      <w:hyperlink r:id="rId150" w:history="1">
        <w:r w:rsidRPr="00475EDB">
          <w:rPr>
            <w:rFonts w:eastAsia="Calibri"/>
            <w:szCs w:val="24"/>
          </w:rPr>
          <w:t>http://espanol.doingbusiness.org/methodology</w:t>
        </w:r>
      </w:hyperlink>
      <w:r>
        <w:rPr>
          <w:rFonts w:eastAsia="Calibri"/>
          <w:szCs w:val="24"/>
        </w:rPr>
        <w:t xml:space="preserve">. </w:t>
      </w:r>
      <w:r w:rsidRPr="00F67DA3">
        <w:rPr>
          <w:rFonts w:eastAsia="Calibri"/>
          <w:szCs w:val="24"/>
        </w:rPr>
        <w:t>El informe para Puerto Rico se puede encontrar en:</w:t>
      </w:r>
      <w:r>
        <w:rPr>
          <w:rFonts w:eastAsia="Calibri"/>
          <w:szCs w:val="24"/>
        </w:rPr>
        <w:t xml:space="preserve"> </w:t>
      </w:r>
      <w:hyperlink r:id="rId151" w:history="1">
        <w:r w:rsidRPr="00475EDB">
          <w:rPr>
            <w:rFonts w:eastAsia="Calibri"/>
            <w:szCs w:val="24"/>
          </w:rPr>
          <w:t>http://espanol.doingbusiness.org/data/exploreeconomies/puerto-rico</w:t>
        </w:r>
      </w:hyperlink>
      <w:r>
        <w:rPr>
          <w:rFonts w:eastAsia="Calibri"/>
          <w:szCs w:val="24"/>
        </w:rPr>
        <w:t>.</w:t>
      </w:r>
    </w:p>
    <w:p w:rsidR="005A5E7D" w:rsidRPr="005B5FEE" w:rsidRDefault="005A5E7D" w:rsidP="001F32F7">
      <w:pPr>
        <w:pStyle w:val="Heading3"/>
        <w:rPr>
          <w:rFonts w:eastAsia="Calibri"/>
          <w:lang w:val="en-US"/>
        </w:rPr>
      </w:pPr>
      <w:bookmarkStart w:id="88" w:name="_Toc384769778"/>
      <w:r>
        <w:rPr>
          <w:rFonts w:eastAsia="Calibri"/>
          <w:lang w:val="en-US"/>
        </w:rPr>
        <w:t>G.3</w:t>
      </w:r>
      <w:r w:rsidRPr="005B5FEE">
        <w:rPr>
          <w:rFonts w:eastAsia="Calibri"/>
          <w:lang w:val="en-US"/>
        </w:rPr>
        <w:t xml:space="preserve"> </w:t>
      </w:r>
      <w:r w:rsidRPr="005B5FEE">
        <w:rPr>
          <w:rFonts w:eastAsia="Calibri"/>
          <w:lang w:val="en-US"/>
        </w:rPr>
        <w:tab/>
        <w:t>El Índice del World Competitiveness Yearbook- International Institute for Management Development (IMD)</w:t>
      </w:r>
      <w:bookmarkEnd w:id="88"/>
    </w:p>
    <w:p w:rsidR="005A5E7D" w:rsidRPr="0080668B" w:rsidRDefault="005A5E7D" w:rsidP="005A5E7D">
      <w:pPr>
        <w:ind w:firstLine="0"/>
        <w:rPr>
          <w:rFonts w:eastAsia="Calibri"/>
        </w:rPr>
      </w:pPr>
      <w:r w:rsidRPr="0080668B">
        <w:rPr>
          <w:rFonts w:eastAsia="Calibri"/>
          <w:szCs w:val="24"/>
          <w:u w:val="single"/>
        </w:rPr>
        <w:t>(</w:t>
      </w:r>
      <w:hyperlink r:id="rId152" w:history="1">
        <w:r w:rsidRPr="0080668B">
          <w:rPr>
            <w:rFonts w:eastAsia="Calibri"/>
            <w:szCs w:val="24"/>
          </w:rPr>
          <w:t>http://www.imd.org/</w:t>
        </w:r>
      </w:hyperlink>
      <w:r w:rsidRPr="0080668B">
        <w:rPr>
          <w:rFonts w:eastAsia="Calibri"/>
          <w:szCs w:val="24"/>
        </w:rPr>
        <w:t>)</w:t>
      </w:r>
    </w:p>
    <w:p w:rsidR="005A5E7D" w:rsidRDefault="005A5E7D" w:rsidP="005A5E7D">
      <w:pPr>
        <w:spacing w:after="120"/>
        <w:contextualSpacing/>
        <w:rPr>
          <w:rFonts w:eastAsia="Calibri"/>
          <w:szCs w:val="24"/>
        </w:rPr>
      </w:pPr>
      <w:r w:rsidRPr="00F67DA3">
        <w:rPr>
          <w:rFonts w:eastAsia="Calibri"/>
          <w:szCs w:val="24"/>
        </w:rPr>
        <w:t>Puerto Rico no está incluido en este índice</w:t>
      </w:r>
      <w:r>
        <w:rPr>
          <w:rFonts w:eastAsia="Calibri"/>
          <w:szCs w:val="24"/>
        </w:rPr>
        <w:t xml:space="preserve"> que</w:t>
      </w:r>
      <w:r w:rsidRPr="00F67DA3">
        <w:rPr>
          <w:rFonts w:eastAsia="Calibri"/>
          <w:szCs w:val="24"/>
        </w:rPr>
        <w:t xml:space="preserve"> presenta las posiciones para 60 economías alrededor del mundo.</w:t>
      </w:r>
      <w:r>
        <w:rPr>
          <w:rFonts w:eastAsia="Calibri"/>
          <w:szCs w:val="24"/>
        </w:rPr>
        <w:t xml:space="preserve"> </w:t>
      </w:r>
      <w:r w:rsidRPr="00F67DA3">
        <w:rPr>
          <w:rFonts w:eastAsia="Calibri"/>
          <w:szCs w:val="24"/>
        </w:rPr>
        <w:t xml:space="preserve">Para calcular el índice, dos terceras partes </w:t>
      </w:r>
      <w:r>
        <w:rPr>
          <w:rFonts w:eastAsia="Calibri"/>
          <w:szCs w:val="24"/>
        </w:rPr>
        <w:t>de la información (130 datos) se</w:t>
      </w:r>
      <w:r w:rsidRPr="00F67DA3">
        <w:rPr>
          <w:rFonts w:eastAsia="Calibri"/>
          <w:szCs w:val="24"/>
        </w:rPr>
        <w:t xml:space="preserve"> recopila</w:t>
      </w:r>
      <w:r>
        <w:rPr>
          <w:rFonts w:eastAsia="Calibri"/>
          <w:szCs w:val="24"/>
        </w:rPr>
        <w:t>n</w:t>
      </w:r>
      <w:r w:rsidRPr="00F67DA3">
        <w:rPr>
          <w:rFonts w:eastAsia="Calibri"/>
          <w:szCs w:val="24"/>
        </w:rPr>
        <w:t xml:space="preserve"> a través de datos estadísticos y el resto (116 datos) </w:t>
      </w:r>
      <w:r>
        <w:rPr>
          <w:rFonts w:eastAsia="Calibri"/>
          <w:szCs w:val="24"/>
        </w:rPr>
        <w:t>mediante</w:t>
      </w:r>
      <w:r w:rsidRPr="00F67DA3">
        <w:rPr>
          <w:rFonts w:eastAsia="Calibri"/>
          <w:szCs w:val="24"/>
        </w:rPr>
        <w:t xml:space="preserve"> encuestas a empresas sobre el mismo país donde se encuentran.</w:t>
      </w:r>
    </w:p>
    <w:p w:rsidR="005A5E7D" w:rsidRPr="00F67DA3" w:rsidRDefault="005A5E7D" w:rsidP="005A5E7D">
      <w:pPr>
        <w:spacing w:after="120"/>
        <w:contextualSpacing/>
        <w:rPr>
          <w:rFonts w:eastAsia="Calibri"/>
          <w:szCs w:val="24"/>
        </w:rPr>
      </w:pPr>
      <w:r w:rsidRPr="00F67DA3">
        <w:rPr>
          <w:rFonts w:eastAsia="Calibri"/>
          <w:szCs w:val="24"/>
        </w:rPr>
        <w:t xml:space="preserve">Toma en consideración cuatro factores; cada uno de ellos, </w:t>
      </w:r>
      <w:r>
        <w:rPr>
          <w:rFonts w:eastAsia="Calibri"/>
          <w:szCs w:val="24"/>
        </w:rPr>
        <w:t>a su vez, subdividido en cinco sub</w:t>
      </w:r>
      <w:r w:rsidRPr="00F67DA3">
        <w:rPr>
          <w:rFonts w:eastAsia="Calibri"/>
          <w:szCs w:val="24"/>
        </w:rPr>
        <w:t xml:space="preserve">factores, para un total de </w:t>
      </w:r>
      <w:r>
        <w:rPr>
          <w:rFonts w:eastAsia="Calibri"/>
          <w:szCs w:val="24"/>
        </w:rPr>
        <w:t>veinte</w:t>
      </w:r>
      <w:r w:rsidRPr="00F67DA3">
        <w:rPr>
          <w:rFonts w:eastAsia="Calibri"/>
          <w:szCs w:val="24"/>
        </w:rPr>
        <w:t xml:space="preserve"> variables. Cada variable tiene el mismo peso de evaluación (5%).</w:t>
      </w:r>
      <w:r>
        <w:rPr>
          <w:rFonts w:eastAsia="Calibri"/>
          <w:szCs w:val="24"/>
        </w:rPr>
        <w:t xml:space="preserve"> </w:t>
      </w:r>
      <w:r w:rsidRPr="00F67DA3">
        <w:rPr>
          <w:rFonts w:eastAsia="Calibri"/>
          <w:szCs w:val="24"/>
        </w:rPr>
        <w:t xml:space="preserve">Los factores </w:t>
      </w:r>
      <w:r>
        <w:rPr>
          <w:rFonts w:eastAsia="Calibri"/>
          <w:szCs w:val="24"/>
        </w:rPr>
        <w:t xml:space="preserve">cuatro se enumeran a continuación. La lista detallada de subfactores aparecen en el </w:t>
      </w:r>
      <w:r w:rsidRPr="0091153D">
        <w:rPr>
          <w:rFonts w:eastAsia="Calibri"/>
          <w:b/>
          <w:szCs w:val="24"/>
        </w:rPr>
        <w:t>Apéndice 5.A</w:t>
      </w:r>
      <w:r w:rsidRPr="00F67DA3">
        <w:rPr>
          <w:rFonts w:eastAsia="Calibri"/>
          <w:szCs w:val="24"/>
        </w:rPr>
        <w:t>:</w:t>
      </w:r>
    </w:p>
    <w:p w:rsidR="005A5E7D" w:rsidRPr="0091153D" w:rsidRDefault="005A5E7D" w:rsidP="00CB3560">
      <w:pPr>
        <w:numPr>
          <w:ilvl w:val="0"/>
          <w:numId w:val="37"/>
        </w:numPr>
        <w:spacing w:after="120"/>
        <w:ind w:left="1134" w:hanging="425"/>
        <w:contextualSpacing/>
        <w:rPr>
          <w:rFonts w:eastAsia="Calibri"/>
          <w:szCs w:val="24"/>
        </w:rPr>
      </w:pPr>
      <w:r w:rsidRPr="0091153D">
        <w:rPr>
          <w:rFonts w:eastAsia="Calibri"/>
          <w:szCs w:val="24"/>
        </w:rPr>
        <w:t>Desempeño económico</w:t>
      </w:r>
    </w:p>
    <w:p w:rsidR="005A5E7D" w:rsidRPr="0091153D" w:rsidRDefault="005A5E7D" w:rsidP="00CB3560">
      <w:pPr>
        <w:numPr>
          <w:ilvl w:val="0"/>
          <w:numId w:val="37"/>
        </w:numPr>
        <w:spacing w:after="120"/>
        <w:ind w:left="1134" w:hanging="425"/>
        <w:contextualSpacing/>
        <w:rPr>
          <w:rFonts w:eastAsia="Calibri"/>
          <w:szCs w:val="24"/>
        </w:rPr>
      </w:pPr>
      <w:r w:rsidRPr="0091153D">
        <w:rPr>
          <w:rFonts w:eastAsia="Calibri"/>
          <w:szCs w:val="24"/>
        </w:rPr>
        <w:t>Eficiencia gubernamental</w:t>
      </w:r>
    </w:p>
    <w:p w:rsidR="005A5E7D" w:rsidRPr="0091153D" w:rsidRDefault="005A5E7D" w:rsidP="00CB3560">
      <w:pPr>
        <w:numPr>
          <w:ilvl w:val="0"/>
          <w:numId w:val="37"/>
        </w:numPr>
        <w:spacing w:after="120"/>
        <w:ind w:left="1134" w:hanging="425"/>
        <w:contextualSpacing/>
        <w:rPr>
          <w:rFonts w:eastAsia="Calibri"/>
          <w:szCs w:val="24"/>
        </w:rPr>
      </w:pPr>
      <w:r w:rsidRPr="0091153D">
        <w:rPr>
          <w:rFonts w:eastAsia="Calibri"/>
          <w:szCs w:val="24"/>
        </w:rPr>
        <w:t>Eficiencia empresarial</w:t>
      </w:r>
    </w:p>
    <w:p w:rsidR="005A5E7D" w:rsidRPr="0091153D" w:rsidRDefault="005A5E7D" w:rsidP="00CB3560">
      <w:pPr>
        <w:numPr>
          <w:ilvl w:val="0"/>
          <w:numId w:val="37"/>
        </w:numPr>
        <w:spacing w:after="120"/>
        <w:ind w:left="1134" w:hanging="425"/>
        <w:contextualSpacing/>
        <w:rPr>
          <w:rFonts w:eastAsia="Calibri"/>
          <w:szCs w:val="24"/>
        </w:rPr>
      </w:pPr>
      <w:r w:rsidRPr="0091153D">
        <w:rPr>
          <w:rFonts w:eastAsia="Calibri"/>
          <w:szCs w:val="24"/>
        </w:rPr>
        <w:t>Infraestructura</w:t>
      </w:r>
    </w:p>
    <w:p w:rsidR="005A5E7D" w:rsidRDefault="005A5E7D" w:rsidP="005A5E7D">
      <w:pPr>
        <w:spacing w:after="120" w:line="240" w:lineRule="auto"/>
        <w:contextualSpacing/>
        <w:rPr>
          <w:rFonts w:eastAsia="Calibri"/>
          <w:szCs w:val="24"/>
        </w:rPr>
      </w:pPr>
    </w:p>
    <w:p w:rsidR="005A5E7D" w:rsidRDefault="005A5E7D" w:rsidP="005A5E7D">
      <w:pPr>
        <w:spacing w:after="120"/>
        <w:contextualSpacing/>
        <w:rPr>
          <w:rFonts w:eastAsia="Calibri"/>
          <w:szCs w:val="24"/>
        </w:rPr>
      </w:pPr>
      <w:r w:rsidRPr="00F67DA3">
        <w:rPr>
          <w:rFonts w:eastAsia="Calibri"/>
          <w:szCs w:val="24"/>
        </w:rPr>
        <w:t xml:space="preserve">La metodología para computar el índice </w:t>
      </w:r>
      <w:r>
        <w:rPr>
          <w:rFonts w:eastAsia="Calibri"/>
          <w:szCs w:val="24"/>
        </w:rPr>
        <w:t>se explica</w:t>
      </w:r>
      <w:r w:rsidRPr="00F67DA3">
        <w:rPr>
          <w:rFonts w:eastAsia="Calibri"/>
          <w:szCs w:val="24"/>
        </w:rPr>
        <w:t xml:space="preserve"> en:</w:t>
      </w:r>
      <w:r>
        <w:t xml:space="preserve"> </w:t>
      </w:r>
      <w:hyperlink r:id="rId153" w:history="1">
        <w:r w:rsidRPr="00475EDB">
          <w:rPr>
            <w:rFonts w:eastAsia="Calibri"/>
            <w:szCs w:val="24"/>
          </w:rPr>
          <w:t>http://www.imd.org/wcc/research-methodology/</w:t>
        </w:r>
      </w:hyperlink>
      <w:r w:rsidRPr="00475EDB">
        <w:rPr>
          <w:rFonts w:eastAsia="Calibri"/>
          <w:szCs w:val="24"/>
        </w:rPr>
        <w:t xml:space="preserve"> </w:t>
      </w:r>
      <w:r>
        <w:rPr>
          <w:rFonts w:eastAsia="Calibri"/>
          <w:szCs w:val="24"/>
        </w:rPr>
        <w:t xml:space="preserve">y </w:t>
      </w:r>
      <w:hyperlink r:id="rId154" w:history="1">
        <w:r w:rsidRPr="00475EDB">
          <w:rPr>
            <w:rFonts w:eastAsia="Calibri"/>
            <w:szCs w:val="24"/>
          </w:rPr>
          <w:t>http://www.imd.org/uupload/imd.website/wcc/methodology.pdf</w:t>
        </w:r>
      </w:hyperlink>
      <w:r>
        <w:rPr>
          <w:rFonts w:eastAsia="Calibri"/>
          <w:szCs w:val="24"/>
        </w:rPr>
        <w:t xml:space="preserve">. </w:t>
      </w:r>
      <w:r w:rsidRPr="00F67DA3">
        <w:t xml:space="preserve">Los resultados </w:t>
      </w:r>
      <w:r>
        <w:t>que resumen</w:t>
      </w:r>
      <w:r w:rsidRPr="00F67DA3">
        <w:t xml:space="preserve"> este índice se presentan en el siguiente enlace, pero no de forma detallada, ya que es un servicio de suscripción:</w:t>
      </w:r>
    </w:p>
    <w:p w:rsidR="005A5E7D" w:rsidRPr="00475EDB" w:rsidRDefault="008964A4" w:rsidP="005A5E7D">
      <w:pPr>
        <w:spacing w:after="120"/>
        <w:ind w:firstLine="0"/>
        <w:contextualSpacing/>
        <w:rPr>
          <w:rFonts w:eastAsia="Calibri"/>
          <w:szCs w:val="24"/>
        </w:rPr>
      </w:pPr>
      <w:hyperlink r:id="rId155" w:history="1">
        <w:r w:rsidR="005A5E7D" w:rsidRPr="00475EDB">
          <w:rPr>
            <w:rFonts w:eastAsia="Calibri"/>
            <w:szCs w:val="24"/>
          </w:rPr>
          <w:t>http://www.imd.org/uupload/IMD.WebSite/wcc/WCYResults/1/scoreboard.pdf</w:t>
        </w:r>
      </w:hyperlink>
      <w:r w:rsidR="005A5E7D">
        <w:rPr>
          <w:rFonts w:eastAsia="Calibri"/>
          <w:szCs w:val="24"/>
        </w:rPr>
        <w:t>.</w:t>
      </w:r>
    </w:p>
    <w:p w:rsidR="005A5E7D" w:rsidRPr="00F67DA3" w:rsidRDefault="005A5E7D" w:rsidP="001F32F7">
      <w:pPr>
        <w:pStyle w:val="Heading3"/>
        <w:rPr>
          <w:rFonts w:eastAsia="Calibri"/>
        </w:rPr>
      </w:pPr>
      <w:bookmarkStart w:id="89" w:name="_Toc384769779"/>
      <w:r>
        <w:rPr>
          <w:rFonts w:eastAsia="Calibri"/>
        </w:rPr>
        <w:t xml:space="preserve">G.4 </w:t>
      </w:r>
      <w:r>
        <w:rPr>
          <w:rFonts w:eastAsia="Calibri"/>
        </w:rPr>
        <w:tab/>
      </w:r>
      <w:r w:rsidRPr="00F67DA3">
        <w:rPr>
          <w:rFonts w:eastAsia="Calibri"/>
        </w:rPr>
        <w:t>El Índice de Competitividad Internacional del Instituto Mexicano para la Competitividad</w:t>
      </w:r>
      <w:bookmarkEnd w:id="89"/>
    </w:p>
    <w:p w:rsidR="005A5E7D" w:rsidRPr="00475EDB" w:rsidRDefault="005A5E7D" w:rsidP="005A5E7D">
      <w:pPr>
        <w:spacing w:after="120"/>
        <w:ind w:firstLine="0"/>
        <w:contextualSpacing/>
        <w:rPr>
          <w:rFonts w:eastAsia="Calibri"/>
          <w:szCs w:val="24"/>
        </w:rPr>
      </w:pPr>
      <w:r w:rsidRPr="00475EDB">
        <w:rPr>
          <w:rFonts w:eastAsia="Calibri"/>
          <w:szCs w:val="24"/>
        </w:rPr>
        <w:t>(</w:t>
      </w:r>
      <w:hyperlink r:id="rId156" w:history="1">
        <w:r w:rsidRPr="00475EDB">
          <w:rPr>
            <w:rFonts w:eastAsia="Calibri"/>
            <w:szCs w:val="24"/>
          </w:rPr>
          <w:t>http://imco.org.mx/indices#</w:t>
        </w:r>
      </w:hyperlink>
      <w:r w:rsidRPr="00475EDB">
        <w:rPr>
          <w:rFonts w:eastAsia="Calibri"/>
          <w:szCs w:val="24"/>
        </w:rPr>
        <w:t>)</w:t>
      </w:r>
    </w:p>
    <w:p w:rsidR="005A5E7D" w:rsidRPr="00F67DA3" w:rsidRDefault="005A5E7D" w:rsidP="005A5E7D">
      <w:r w:rsidRPr="00F67DA3">
        <w:t xml:space="preserve"> Puerto Rico no está incluido en este índice.</w:t>
      </w:r>
      <w:r>
        <w:t xml:space="preserve"> </w:t>
      </w:r>
      <w:r w:rsidRPr="00F67DA3">
        <w:t xml:space="preserve">Según lo describe el </w:t>
      </w:r>
      <w:r>
        <w:t>propio instituto que lo elabora:</w:t>
      </w:r>
      <w:r w:rsidRPr="00F67DA3">
        <w:t xml:space="preserve"> “El Índice de Competitividad Internacional de IMCO evalúa y compara la capacidad de las economías más importantes y avanzadas del mundo para atrae</w:t>
      </w:r>
      <w:r>
        <w:t>r y retener talento e inversión</w:t>
      </w:r>
      <w:r w:rsidRPr="00F67DA3">
        <w:t>”</w:t>
      </w:r>
      <w:r>
        <w:t>.</w:t>
      </w:r>
      <w:r w:rsidRPr="00F67DA3">
        <w:t xml:space="preserve"> Utiliza varios subíndices para elaborar el índice general</w:t>
      </w:r>
      <w:r>
        <w:t xml:space="preserve">, que </w:t>
      </w:r>
      <w:r w:rsidRPr="00F67DA3">
        <w:t>son:</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Sistema de Derecho confiable y objetivo.</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Manejo sustentable del medio ambiente.</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Sociedad incluyente, preparada y sana.</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Economía estable.</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Sistema político estable y funcional.</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Mercados de factores eficientes.</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Sectores precursores de clase mundial.</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Gobierno eficiente y eficaz.</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Aprovechamiento de las relaciones internacionales</w:t>
      </w:r>
      <w:r>
        <w:rPr>
          <w:rFonts w:eastAsia="Calibri"/>
          <w:szCs w:val="24"/>
        </w:rPr>
        <w:t>.</w:t>
      </w:r>
    </w:p>
    <w:p w:rsidR="005A5E7D" w:rsidRPr="008E1756" w:rsidRDefault="005A5E7D" w:rsidP="00CB3560">
      <w:pPr>
        <w:numPr>
          <w:ilvl w:val="0"/>
          <w:numId w:val="38"/>
        </w:numPr>
        <w:spacing w:after="120"/>
        <w:ind w:left="1134" w:hanging="425"/>
        <w:contextualSpacing/>
        <w:rPr>
          <w:rFonts w:eastAsia="Calibri"/>
          <w:szCs w:val="24"/>
        </w:rPr>
      </w:pPr>
      <w:r w:rsidRPr="008E1756">
        <w:rPr>
          <w:rFonts w:eastAsia="Calibri"/>
          <w:szCs w:val="24"/>
        </w:rPr>
        <w:t>Innovación y sofisticación en los sectores económicos.</w:t>
      </w:r>
    </w:p>
    <w:p w:rsidR="005A5E7D" w:rsidRDefault="005A5E7D" w:rsidP="005A5E7D">
      <w:pPr>
        <w:spacing w:line="240" w:lineRule="auto"/>
      </w:pPr>
    </w:p>
    <w:p w:rsidR="005A5E7D" w:rsidRDefault="005A5E7D" w:rsidP="005A5E7D">
      <w:pPr>
        <w:rPr>
          <w:rFonts w:eastAsia="Calibri"/>
          <w:szCs w:val="24"/>
        </w:rPr>
      </w:pPr>
      <w:r w:rsidRPr="00F67DA3">
        <w:t xml:space="preserve">El </w:t>
      </w:r>
      <w:r>
        <w:t>índice</w:t>
      </w:r>
      <w:r w:rsidRPr="00F67DA3">
        <w:t xml:space="preserve"> está concentrado en 46 economías de gran escala, de tamaño similar al de México. Aunque mencionan sus </w:t>
      </w:r>
      <w:r>
        <w:t>diez</w:t>
      </w:r>
      <w:r w:rsidRPr="00F67DA3">
        <w:t xml:space="preserve"> subíndices, no detallan cuáles son las variables que inciden en cada uno de ellos.</w:t>
      </w:r>
      <w:r>
        <w:t xml:space="preserve"> </w:t>
      </w:r>
      <w:r w:rsidRPr="00F67DA3">
        <w:t>El índice completo se encuentra en el siguiente en</w:t>
      </w:r>
      <w:r>
        <w:t xml:space="preserve">lace, a partir de la página 149: </w:t>
      </w:r>
      <w:hyperlink r:id="rId157" w:history="1">
        <w:r w:rsidRPr="00475EDB">
          <w:rPr>
            <w:rFonts w:eastAsia="Calibri"/>
            <w:szCs w:val="24"/>
          </w:rPr>
          <w:t>http://imco.org.mx/wp-content/uploads/internacional/ICI2013-completo.pdf</w:t>
        </w:r>
      </w:hyperlink>
      <w:r>
        <w:rPr>
          <w:rFonts w:eastAsia="Calibri"/>
          <w:szCs w:val="24"/>
        </w:rPr>
        <w:t>.</w:t>
      </w:r>
    </w:p>
    <w:p w:rsidR="001F32F7" w:rsidRPr="00475EDB" w:rsidRDefault="001F32F7" w:rsidP="005A5E7D">
      <w:pPr>
        <w:rPr>
          <w:rFonts w:eastAsia="Calibri"/>
          <w:szCs w:val="24"/>
        </w:rPr>
      </w:pPr>
    </w:p>
    <w:p w:rsidR="005A5E7D" w:rsidRPr="00331E52" w:rsidRDefault="005A5E7D" w:rsidP="005A5E7D">
      <w:pPr>
        <w:pStyle w:val="Heading2"/>
        <w:ind w:left="426" w:hanging="426"/>
      </w:pPr>
      <w:bookmarkStart w:id="90" w:name="_Toc384769780"/>
      <w:r w:rsidRPr="00331E52">
        <w:t>La competitividad de Puerto Rico según el Índice de Competitividad del WEF</w:t>
      </w:r>
      <w:bookmarkEnd w:id="90"/>
    </w:p>
    <w:p w:rsidR="005A5E7D" w:rsidRDefault="005A5E7D" w:rsidP="005A5E7D">
      <w:pPr>
        <w:spacing w:line="240" w:lineRule="auto"/>
      </w:pPr>
    </w:p>
    <w:p w:rsidR="005A5E7D" w:rsidRPr="00F67DA3" w:rsidRDefault="005A5E7D" w:rsidP="005A5E7D">
      <w:r w:rsidRPr="00F67DA3">
        <w:t>En el índice del WEF, Puerto Rico ha mejorado su rango y calificación en los últimos años.</w:t>
      </w:r>
      <w:r>
        <w:t xml:space="preserve"> </w:t>
      </w:r>
      <w:r w:rsidRPr="00F67DA3">
        <w:t>[Nota: En este índice, el rango es mejor mientras más bajo sea; el país con el rango de 1 está en el primer lugar.</w:t>
      </w:r>
      <w:r>
        <w:t xml:space="preserve"> </w:t>
      </w:r>
      <w:r w:rsidRPr="00F67DA3">
        <w:t>Lo contrario ocurre con la calificación, la cual se mide de 1 a 7.]</w:t>
      </w:r>
    </w:p>
    <w:p w:rsidR="005A5E7D" w:rsidRDefault="005A5E7D" w:rsidP="005A5E7D">
      <w:r w:rsidRPr="00F67DA3">
        <w:t>Las puntuaciones del WEF para Puerto Rico demuestran que, a pesar de los retos e</w:t>
      </w:r>
      <w:r>
        <w:t>conómicos a los que se enfrenta</w:t>
      </w:r>
      <w:r w:rsidRPr="00F67DA3">
        <w:t>, cuenta con fundamentos para ser competitiva en la economía global.</w:t>
      </w:r>
      <w:r>
        <w:t xml:space="preserve"> De hecho, en la última edición del índice, correspondiente al año 2013-14, Puerto Rico logró colocarse en la lista </w:t>
      </w:r>
      <w:r w:rsidRPr="008B456C">
        <w:t>—</w:t>
      </w:r>
      <w:r>
        <w:t>encabezada por Suiza</w:t>
      </w:r>
      <w:r w:rsidRPr="008B456C">
        <w:t>—</w:t>
      </w:r>
      <w:r>
        <w:t xml:space="preserve"> de los primeros 30 países, con el rango de 30. Al analizar el detalle del índice para el año 2012-13, se observó que los puntos más fuertes de Puerto Rico fueron la educación y capacitación a nivel superior, la sofisticación de los negocios, la eficiencia de los mercados de bienes y la innovación.</w:t>
      </w:r>
    </w:p>
    <w:p w:rsidR="005A5E7D" w:rsidRDefault="005A5E7D" w:rsidP="005A5E7D">
      <w:pPr>
        <w:keepNext/>
        <w:spacing w:before="120" w:after="120"/>
        <w:ind w:firstLine="0"/>
        <w:jc w:val="center"/>
        <w:rPr>
          <w:rFonts w:eastAsia="Calibri"/>
          <w:b/>
          <w:szCs w:val="24"/>
        </w:rPr>
      </w:pPr>
      <w:r w:rsidRPr="00F67DA3">
        <w:rPr>
          <w:rFonts w:eastAsia="Calibri"/>
          <w:b/>
          <w:szCs w:val="24"/>
        </w:rPr>
        <w:t>Rango y calificación (</w:t>
      </w:r>
      <w:r w:rsidRPr="00F67DA3">
        <w:rPr>
          <w:rFonts w:eastAsia="Calibri"/>
          <w:b/>
          <w:i/>
          <w:szCs w:val="24"/>
        </w:rPr>
        <w:t>score</w:t>
      </w:r>
      <w:r w:rsidRPr="00F67DA3">
        <w:rPr>
          <w:rFonts w:eastAsia="Calibri"/>
          <w:b/>
          <w:szCs w:val="24"/>
        </w:rPr>
        <w:t>) de Puerto Rico en el Índice de Competitividad del WEF</w:t>
      </w:r>
    </w:p>
    <w:p w:rsidR="002D3FEB" w:rsidRPr="00F67DA3" w:rsidRDefault="002D3FEB" w:rsidP="005A5E7D">
      <w:pPr>
        <w:keepNext/>
        <w:spacing w:before="120" w:after="120"/>
        <w:ind w:firstLine="0"/>
        <w:jc w:val="center"/>
        <w:rPr>
          <w:rFonts w:eastAsia="Calibri"/>
          <w:b/>
          <w:szCs w:val="24"/>
        </w:rPr>
      </w:pPr>
    </w:p>
    <w:p w:rsidR="005A5E7D" w:rsidRPr="00F67DA3" w:rsidRDefault="0095547C" w:rsidP="005A5E7D">
      <w:pPr>
        <w:spacing w:after="120"/>
        <w:ind w:firstLine="0"/>
        <w:jc w:val="center"/>
        <w:rPr>
          <w:rFonts w:eastAsia="Calibri"/>
          <w:szCs w:val="24"/>
        </w:rPr>
      </w:pPr>
      <w:r>
        <w:rPr>
          <w:rFonts w:eastAsia="Calibri"/>
          <w:noProof/>
          <w:szCs w:val="24"/>
          <w:lang w:val="en-US"/>
        </w:rPr>
        <w:drawing>
          <wp:inline distT="0" distB="0" distL="0" distR="0">
            <wp:extent cx="4575175" cy="2746375"/>
            <wp:effectExtent l="0" t="0" r="15875" b="15875"/>
            <wp:docPr id="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5A5E7D" w:rsidRDefault="005A5E7D" w:rsidP="005A5E7D">
      <w:pPr>
        <w:keepNext/>
        <w:spacing w:after="120" w:line="240" w:lineRule="auto"/>
        <w:ind w:firstLine="0"/>
        <w:jc w:val="center"/>
        <w:rPr>
          <w:rFonts w:eastAsia="Calibri"/>
          <w:b/>
          <w:szCs w:val="24"/>
        </w:rPr>
      </w:pPr>
      <w:r w:rsidRPr="00F67DA3">
        <w:rPr>
          <w:rFonts w:eastAsia="Calibri"/>
          <w:b/>
          <w:szCs w:val="24"/>
        </w:rPr>
        <w:t>Pilares de la compe</w:t>
      </w:r>
      <w:r>
        <w:rPr>
          <w:rFonts w:eastAsia="Calibri"/>
          <w:b/>
          <w:szCs w:val="24"/>
        </w:rPr>
        <w:t>titividad de Puerto Rico,</w:t>
      </w:r>
    </w:p>
    <w:p w:rsidR="005A5E7D" w:rsidRPr="00F67DA3" w:rsidRDefault="005A5E7D" w:rsidP="005A5E7D">
      <w:pPr>
        <w:keepNext/>
        <w:spacing w:after="120"/>
        <w:ind w:firstLine="0"/>
        <w:jc w:val="center"/>
        <w:rPr>
          <w:rFonts w:eastAsia="Calibri"/>
          <w:b/>
          <w:szCs w:val="24"/>
        </w:rPr>
      </w:pPr>
      <w:r w:rsidRPr="00F67DA3">
        <w:rPr>
          <w:rFonts w:eastAsia="Calibri"/>
          <w:b/>
          <w:szCs w:val="24"/>
        </w:rPr>
        <w:t>según el Índice de Competitividad Global, WEF</w:t>
      </w:r>
    </w:p>
    <w:p w:rsidR="005A5E7D" w:rsidRPr="00F67DA3" w:rsidRDefault="0095547C" w:rsidP="005A5E7D">
      <w:pPr>
        <w:spacing w:after="120"/>
        <w:ind w:firstLine="0"/>
        <w:jc w:val="center"/>
        <w:rPr>
          <w:rFonts w:eastAsia="Calibri"/>
          <w:szCs w:val="24"/>
        </w:rPr>
      </w:pPr>
      <w:r>
        <w:rPr>
          <w:rFonts w:eastAsia="Calibri"/>
          <w:noProof/>
          <w:szCs w:val="24"/>
          <w:lang w:val="en-US"/>
        </w:rPr>
        <w:drawing>
          <wp:inline distT="0" distB="0" distL="0" distR="0">
            <wp:extent cx="5943600" cy="2638425"/>
            <wp:effectExtent l="0" t="0" r="0" b="0"/>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38425"/>
                    </a:xfrm>
                    <a:prstGeom prst="rect">
                      <a:avLst/>
                    </a:prstGeom>
                    <a:noFill/>
                    <a:ln>
                      <a:noFill/>
                    </a:ln>
                  </pic:spPr>
                </pic:pic>
              </a:graphicData>
            </a:graphic>
          </wp:inline>
        </w:drawing>
      </w:r>
    </w:p>
    <w:p w:rsidR="005A5E7D" w:rsidRDefault="005A5E7D" w:rsidP="005A5E7D">
      <w:r w:rsidRPr="00F67DA3">
        <w:t xml:space="preserve">Nótese, por otra parte, que los puntos menos fuertes o más débiles que se señalan de la competitividad de </w:t>
      </w:r>
      <w:r>
        <w:t>Puerto Rico</w:t>
      </w:r>
      <w:r w:rsidRPr="00F67DA3">
        <w:t xml:space="preserve"> son en áreas críticas como la infraestructura</w:t>
      </w:r>
      <w:r>
        <w:t>,</w:t>
      </w:r>
      <w:r w:rsidRPr="00F67DA3">
        <w:t xml:space="preserve"> y la educación y salud primarias.</w:t>
      </w:r>
      <w:r>
        <w:t xml:space="preserve"> </w:t>
      </w:r>
      <w:r w:rsidRPr="00F67DA3">
        <w:t>Ambos puntos son críticos para el desarrollo, y el segundo lo es también para la justicia social.</w:t>
      </w:r>
      <w:r>
        <w:t xml:space="preserve"> </w:t>
      </w:r>
      <w:r w:rsidRPr="00F67DA3">
        <w:t>Ambos son, afortunadamente, mejorables con la inversión y la diligencia apropiadas.</w:t>
      </w:r>
      <w:r>
        <w:t xml:space="preserve"> </w:t>
      </w:r>
      <w:r w:rsidRPr="00F67DA3">
        <w:t>En cuanto al tamaño del mercado, que se presenta como una debilidad relativa, ese es un asunto mayormente fuera del control de la política pública, ya que depende más que nada de la geografía y la demografía.</w:t>
      </w:r>
    </w:p>
    <w:p w:rsidR="002D3FEB" w:rsidRPr="00F67DA3" w:rsidRDefault="002D3FEB" w:rsidP="005A5E7D"/>
    <w:p w:rsidR="005A5E7D" w:rsidRPr="00F67DA3" w:rsidRDefault="005A5E7D" w:rsidP="005A5E7D">
      <w:pPr>
        <w:pStyle w:val="Heading2"/>
        <w:ind w:left="426" w:hanging="426"/>
        <w:rPr>
          <w:rFonts w:eastAsia="Calibri"/>
        </w:rPr>
      </w:pPr>
      <w:bookmarkStart w:id="91" w:name="_Toc384769781"/>
      <w:r w:rsidRPr="00F67DA3">
        <w:rPr>
          <w:rFonts w:eastAsia="Calibri"/>
        </w:rPr>
        <w:t>Estadidad, convergencia y co</w:t>
      </w:r>
      <w:r>
        <w:rPr>
          <w:rFonts w:eastAsia="Calibri"/>
        </w:rPr>
        <w:t>mpetitividad: un a</w:t>
      </w:r>
      <w:r w:rsidRPr="00F67DA3">
        <w:rPr>
          <w:rFonts w:eastAsia="Calibri"/>
        </w:rPr>
        <w:t>nálisis cualitativo</w:t>
      </w:r>
      <w:bookmarkEnd w:id="91"/>
    </w:p>
    <w:p w:rsidR="005A5E7D" w:rsidRDefault="005A5E7D" w:rsidP="005A5E7D">
      <w:pPr>
        <w:spacing w:line="240" w:lineRule="auto"/>
      </w:pPr>
    </w:p>
    <w:p w:rsidR="005A5E7D" w:rsidRDefault="005A5E7D" w:rsidP="005A5E7D">
      <w:r>
        <w:t>El tema de la competitividad tiene relación directa con el del estatus político, aunque algunos de los vínculos son sutiles mientras otros son evidentes. En un reciente seminario de la Escuela de Derecho de la Universidad de Puerto Rico, dirigido por el exdecano y profesor emérito David Helfeld, se estudiaron los poderes de la Isla en su actual estatus político. El propio profesor Helfeld resumió uno de los hallazgos principales con las siguientes palabras: “Dos artículos que tratan de los programas gubernamentales en marcha sirven para confirmar la tesis del seminario de que Puerto Rico tiene todos los poderes de un estado para gobernar sus asuntos internos y otros dos demuestran convincentemente cómo se pueden ejercer plenamente estos poderes para crear soluciones innovadoras para promover la economía de Puerto Rico” (Helfeld, 2011).</w:t>
      </w:r>
    </w:p>
    <w:p w:rsidR="005A5E7D" w:rsidRPr="00F67DA3" w:rsidRDefault="005A5E7D" w:rsidP="005A5E7D">
      <w:r>
        <w:t>Esta opinión jurídica, unida al posicionamiento de Puerto Rico en el Índice WEF, abona la hipótesis de que Puerto Rico no requiere la estadidad para apuntalar su competitividad interna y global, contrario a lo que plantean algunos investigadores, como Lefort.</w:t>
      </w:r>
    </w:p>
    <w:p w:rsidR="005A5E7D" w:rsidRPr="00F67DA3" w:rsidRDefault="005A5E7D" w:rsidP="005A5E7D">
      <w:r w:rsidRPr="00F67DA3">
        <w:t xml:space="preserve">Por otro lado, hay algunos factores importantes que inciden en la competitividad que sí son sensitivos al </w:t>
      </w:r>
      <w:r>
        <w:t>estatus</w:t>
      </w:r>
      <w:r w:rsidRPr="00F67DA3">
        <w:t xml:space="preserve"> político.</w:t>
      </w:r>
      <w:r>
        <w:t xml:space="preserve"> </w:t>
      </w:r>
      <w:r w:rsidRPr="00F67DA3">
        <w:t>Por ejemplo, en el Índice de Competitividad Internacional del Instituto Mexicano para la Competitividad (IMCO)</w:t>
      </w:r>
      <w:r>
        <w:t xml:space="preserve"> </w:t>
      </w:r>
      <w:r w:rsidRPr="00F67DA3">
        <w:t>—compuesto por diez subíndices—</w:t>
      </w:r>
      <w:r>
        <w:t xml:space="preserve"> hay dos sub</w:t>
      </w:r>
      <w:r w:rsidRPr="00F67DA3">
        <w:t xml:space="preserve">índices que, si se aplicaran a Puerto Rico, tendrían posiblemente que evaluarse a la luz del </w:t>
      </w:r>
      <w:r>
        <w:t>estatus</w:t>
      </w:r>
      <w:r w:rsidRPr="00F67DA3">
        <w:t xml:space="preserve"> político de la Isla.</w:t>
      </w:r>
      <w:r>
        <w:t xml:space="preserve"> Uno de ellos es el subíndice 8:</w:t>
      </w:r>
      <w:r w:rsidRPr="00F67DA3">
        <w:t xml:space="preserve"> Aprovechamiento de las relaciones internacionales. “Este subíndice califica en qué medida los países capitalizan su relación con el exterior para ser más competitivos”</w:t>
      </w:r>
      <w:r>
        <w:t>, s</w:t>
      </w:r>
      <w:r w:rsidRPr="00F67DA3">
        <w:t>egún la documentación pertinente.</w:t>
      </w:r>
      <w:r>
        <w:t xml:space="preserve"> El otro es el subíndice 6: Mercados de factores eficientes, el cual</w:t>
      </w:r>
      <w:r w:rsidRPr="00F67DA3">
        <w:t xml:space="preserve"> —según su descripción— “califica la eficiencia de los mercados de factores de producción</w:t>
      </w:r>
      <w:r>
        <w:t xml:space="preserve">” </w:t>
      </w:r>
      <w:r w:rsidRPr="00F67DA3">
        <w:t>—es decir, los mercados de los insumos que utilizan las empresas p</w:t>
      </w:r>
      <w:r>
        <w:t>ara sus actividades productivas</w:t>
      </w:r>
      <w:r w:rsidRPr="00F67DA3">
        <w:t xml:space="preserve"> (IMCO, 2013).</w:t>
      </w:r>
    </w:p>
    <w:p w:rsidR="005A5E7D" w:rsidRPr="00F67DA3" w:rsidRDefault="005A5E7D" w:rsidP="005A5E7D">
      <w:r w:rsidRPr="00F67DA3">
        <w:t xml:space="preserve">El primero de estos subíndices se refiere a una de las áreas reservadas al </w:t>
      </w:r>
      <w:r>
        <w:t>Gobierno federal</w:t>
      </w:r>
      <w:r w:rsidRPr="00F67DA3">
        <w:t xml:space="preserve"> en el </w:t>
      </w:r>
      <w:r>
        <w:t>estatus</w:t>
      </w:r>
      <w:r w:rsidRPr="00F67DA3">
        <w:t xml:space="preserve"> actual de Puerto Rico.</w:t>
      </w:r>
      <w:r>
        <w:t xml:space="preserve"> </w:t>
      </w:r>
      <w:r w:rsidRPr="00F67DA3">
        <w:t>La Isla tiene cierto margen de acción, aunque limitado, para establecer lazos internacionales para promover la inversión y el comercio.</w:t>
      </w:r>
      <w:r>
        <w:t xml:space="preserve"> </w:t>
      </w:r>
      <w:r w:rsidRPr="00F67DA3">
        <w:t xml:space="preserve">En la actualidad, el Departamento de Estado de Puerto Rico está desarrollando una iniciativa de internacionalización que aprovecha precisamente ese margen de acción que </w:t>
      </w:r>
      <w:r>
        <w:t xml:space="preserve">le </w:t>
      </w:r>
      <w:r w:rsidRPr="00F67DA3">
        <w:t xml:space="preserve">permite el </w:t>
      </w:r>
      <w:r>
        <w:t>estatus</w:t>
      </w:r>
      <w:r w:rsidRPr="00F67DA3">
        <w:t xml:space="preserve"> político vigente.</w:t>
      </w:r>
      <w:r>
        <w:t xml:space="preserve"> </w:t>
      </w:r>
      <w:r w:rsidRPr="00F67DA3">
        <w:t>La pregunta clave en el contexto de este estudio es si la estadidad ampliaría o reduciría dicho margen de acción.</w:t>
      </w:r>
    </w:p>
    <w:p w:rsidR="005A5E7D" w:rsidRDefault="005A5E7D" w:rsidP="005A5E7D">
      <w:r>
        <w:t>El subíndice 6</w:t>
      </w:r>
      <w:r w:rsidRPr="00F67DA3">
        <w:t xml:space="preserve"> enmarca el tema del mercado de trabajo, </w:t>
      </w:r>
      <w:r>
        <w:t xml:space="preserve">en </w:t>
      </w:r>
      <w:r w:rsidRPr="00F67DA3">
        <w:t>el cual en Puerto Rico tiene un nivel de desarrollo muy inferior al alcanzado en los 50 estados federados.</w:t>
      </w:r>
      <w:r>
        <w:t xml:space="preserve"> Una p</w:t>
      </w:r>
      <w:r w:rsidRPr="00F67DA3">
        <w:t>arte importante de la problemática laboral en Puerto Rico es cómo los programas federales de asistencia pública afectan los incentivos para trabajar, por un lado, y, por el otro, cómo la legislación federal de salario mínimo afecta los incentivos para crear empleos.</w:t>
      </w:r>
    </w:p>
    <w:p w:rsidR="005A5E7D" w:rsidRPr="00F67DA3" w:rsidRDefault="005A5E7D" w:rsidP="005A5E7D">
      <w:r w:rsidRPr="00F67DA3">
        <w:t xml:space="preserve">Este asunto tan fundamental para la competitividad y el desarrollo de la economía puertorriqueña ha sido de difícil abordaje bajo el </w:t>
      </w:r>
      <w:r>
        <w:t>estatus</w:t>
      </w:r>
      <w:r w:rsidRPr="00F67DA3">
        <w:t xml:space="preserve"> actual, y lo sería más en un estado federado.</w:t>
      </w:r>
      <w:r>
        <w:t xml:space="preserve"> </w:t>
      </w:r>
      <w:r w:rsidRPr="00F67DA3">
        <w:t>Recuérdese que el Banco de la Reserva Federal de Nueva York recomendó, en su estudio del 2012, gestionar una exención federal que permita establecer un salario su</w:t>
      </w:r>
      <w:r>
        <w:t>b</w:t>
      </w:r>
      <w:r w:rsidRPr="00F67DA3">
        <w:t>mínimo para facilitar la contratación de jóvenes que entra</w:t>
      </w:r>
      <w:r>
        <w:t>n</w:t>
      </w:r>
      <w:r w:rsidRPr="00F67DA3">
        <w:t xml:space="preserve"> al mercado de trabajo por primera vez.</w:t>
      </w:r>
    </w:p>
    <w:p w:rsidR="005A5E7D" w:rsidRDefault="005A5E7D" w:rsidP="005A5E7D">
      <w:r w:rsidRPr="00F67DA3">
        <w:t>Un análisis cualitativo de los determinantes de la competitividad lleva, por lo tanto, a la conclusión de que la estadidad no s</w:t>
      </w:r>
      <w:r>
        <w:t>o</w:t>
      </w:r>
      <w:r w:rsidRPr="00F67DA3">
        <w:t xml:space="preserve">lo no es una “escalera automática” hacia la competitividad y la convergencia, como parecen argumentar Lefort y otros proponentes de esa fórmula de </w:t>
      </w:r>
      <w:r>
        <w:t>estatus</w:t>
      </w:r>
      <w:r w:rsidRPr="00F67DA3">
        <w:t>, sino que incluso puede ser un impedimento al desarrollo de áreas críticas de la competitividad como la integración a la economía global y el desarrollo de un mercado de trabajo eficiente.</w:t>
      </w:r>
    </w:p>
    <w:p w:rsidR="005A5E7D" w:rsidRPr="00F67DA3" w:rsidRDefault="005A5E7D" w:rsidP="005A5E7D"/>
    <w:p w:rsidR="005A5E7D" w:rsidRPr="00331E52" w:rsidRDefault="005A5E7D" w:rsidP="005A5E7D">
      <w:pPr>
        <w:pStyle w:val="Heading2"/>
        <w:numPr>
          <w:ilvl w:val="0"/>
          <w:numId w:val="0"/>
        </w:numPr>
        <w:ind w:left="180"/>
      </w:pPr>
      <w:bookmarkStart w:id="92" w:name="_Toc384769782"/>
      <w:r>
        <w:rPr>
          <w:rFonts w:eastAsia="Calibri"/>
          <w:szCs w:val="24"/>
        </w:rPr>
        <w:t>R</w:t>
      </w:r>
      <w:r w:rsidRPr="00331E52">
        <w:t>eferencias</w:t>
      </w:r>
      <w:bookmarkEnd w:id="92"/>
    </w:p>
    <w:p w:rsidR="001F32F7" w:rsidRPr="00541496" w:rsidRDefault="001F32F7" w:rsidP="001F32F7">
      <w:pPr>
        <w:tabs>
          <w:tab w:val="left" w:pos="540"/>
        </w:tabs>
        <w:spacing w:after="120" w:line="240" w:lineRule="auto"/>
        <w:ind w:left="630" w:hanging="630"/>
        <w:contextualSpacing/>
        <w:jc w:val="left"/>
        <w:rPr>
          <w:rFonts w:eastAsia="Calibri"/>
          <w:szCs w:val="24"/>
        </w:rPr>
      </w:pPr>
      <w:r w:rsidRPr="00541496">
        <w:rPr>
          <w:rFonts w:eastAsia="Calibri"/>
          <w:szCs w:val="24"/>
          <w:lang w:val="es-ES"/>
        </w:rPr>
        <w:t xml:space="preserve">Agénor, P., Canuto, O., &amp; Jelenic, M. (2012). </w:t>
      </w:r>
      <w:r w:rsidRPr="00541496">
        <w:rPr>
          <w:rFonts w:eastAsia="Calibri"/>
          <w:i/>
          <w:iCs/>
          <w:szCs w:val="24"/>
          <w:lang w:val="en-US"/>
        </w:rPr>
        <w:t>Avoiding Middle-Income Growth</w:t>
      </w:r>
      <w:r>
        <w:rPr>
          <w:rFonts w:eastAsia="Calibri"/>
          <w:i/>
          <w:iCs/>
          <w:szCs w:val="24"/>
          <w:lang w:val="en-US"/>
        </w:rPr>
        <w:t xml:space="preserve"> </w:t>
      </w:r>
      <w:r w:rsidRPr="00541496">
        <w:rPr>
          <w:rFonts w:eastAsia="Calibri"/>
          <w:i/>
          <w:iCs/>
          <w:szCs w:val="24"/>
          <w:lang w:val="en-US"/>
        </w:rPr>
        <w:t>Traps.</w:t>
      </w:r>
      <w:r w:rsidRPr="00541496">
        <w:rPr>
          <w:rFonts w:eastAsia="Calibri"/>
          <w:szCs w:val="24"/>
          <w:lang w:val="en-US"/>
        </w:rPr>
        <w:t xml:space="preserve"> </w:t>
      </w:r>
      <w:r>
        <w:rPr>
          <w:rFonts w:eastAsia="Calibri"/>
          <w:szCs w:val="24"/>
          <w:lang w:val="es-ES"/>
        </w:rPr>
        <w:t xml:space="preserve">Recuperado </w:t>
      </w:r>
      <w:r w:rsidRPr="00541496">
        <w:rPr>
          <w:rFonts w:eastAsia="Calibri"/>
          <w:szCs w:val="24"/>
          <w:lang w:val="es-ES"/>
        </w:rPr>
        <w:t>de Banco Mundial: http://wwwwds.worldbank.org/external/default/WDSContentServer/WDSP/IB/2012/11/21/000333038_20121121005934/Rendered/PDF/NonAsciiFileName0.pdf</w:t>
      </w: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r>
        <w:rPr>
          <w:rFonts w:eastAsia="Calibri"/>
          <w:szCs w:val="24"/>
          <w:lang w:val="es-ES"/>
        </w:rPr>
        <w:t>CEPAL. (</w:t>
      </w:r>
      <w:r w:rsidRPr="00541496">
        <w:rPr>
          <w:rFonts w:eastAsia="Calibri"/>
          <w:szCs w:val="24"/>
          <w:lang w:val="es-ES"/>
        </w:rPr>
        <w:t>2005</w:t>
      </w:r>
      <w:r>
        <w:rPr>
          <w:rFonts w:eastAsia="Calibri"/>
          <w:szCs w:val="24"/>
          <w:lang w:val="es-ES"/>
        </w:rPr>
        <w:t xml:space="preserve">). </w:t>
      </w:r>
      <w:r w:rsidRPr="00541496">
        <w:rPr>
          <w:rFonts w:eastAsia="Calibri"/>
          <w:szCs w:val="24"/>
          <w:lang w:val="es-ES"/>
        </w:rPr>
        <w:t xml:space="preserve">Globalización y desarrollo: desafíos de Puerto Rico frente al Siglo XXI.  Libros de la CEPAL No. 84.  México, D.F.  </w:t>
      </w:r>
    </w:p>
    <w:p w:rsidR="001F32F7" w:rsidRPr="001F32F7" w:rsidRDefault="001F32F7" w:rsidP="001F32F7">
      <w:pPr>
        <w:tabs>
          <w:tab w:val="left" w:pos="540"/>
        </w:tabs>
        <w:spacing w:after="120" w:line="240" w:lineRule="auto"/>
        <w:ind w:left="630" w:hanging="630"/>
        <w:contextualSpacing/>
        <w:jc w:val="left"/>
        <w:rPr>
          <w:rFonts w:eastAsia="Calibri"/>
          <w:szCs w:val="24"/>
        </w:rPr>
      </w:pPr>
    </w:p>
    <w:p w:rsidR="001F32F7" w:rsidRPr="001F32F7" w:rsidRDefault="001F32F7" w:rsidP="001F32F7">
      <w:pPr>
        <w:tabs>
          <w:tab w:val="left" w:pos="540"/>
        </w:tabs>
        <w:spacing w:after="120" w:line="240" w:lineRule="auto"/>
        <w:ind w:left="630" w:hanging="630"/>
        <w:contextualSpacing/>
        <w:jc w:val="left"/>
        <w:rPr>
          <w:rFonts w:eastAsia="Calibri"/>
          <w:szCs w:val="24"/>
          <w:lang w:val="en-US"/>
        </w:rPr>
      </w:pPr>
      <w:r w:rsidRPr="001F32F7">
        <w:rPr>
          <w:rFonts w:eastAsia="Calibri"/>
          <w:szCs w:val="24"/>
        </w:rPr>
        <w:t xml:space="preserve">Federal Reserve Bank of New York. </w:t>
      </w:r>
      <w:r>
        <w:rPr>
          <w:rFonts w:eastAsia="Calibri"/>
          <w:szCs w:val="24"/>
          <w:lang w:val="en-US"/>
        </w:rPr>
        <w:t>(</w:t>
      </w:r>
      <w:r w:rsidRPr="00541496">
        <w:rPr>
          <w:rFonts w:eastAsia="Calibri"/>
          <w:szCs w:val="24"/>
          <w:lang w:val="en-US"/>
        </w:rPr>
        <w:t>2012</w:t>
      </w:r>
      <w:r>
        <w:rPr>
          <w:rFonts w:eastAsia="Calibri"/>
          <w:szCs w:val="24"/>
          <w:lang w:val="en-US"/>
        </w:rPr>
        <w:t xml:space="preserve">). </w:t>
      </w:r>
      <w:r w:rsidRPr="00541496">
        <w:rPr>
          <w:rFonts w:eastAsia="Calibri"/>
          <w:szCs w:val="24"/>
          <w:lang w:val="en-US"/>
        </w:rPr>
        <w:t xml:space="preserve">Report on the Competitiveness of Puerto Rico’s Economy.  </w:t>
      </w:r>
      <w:r w:rsidRPr="001F32F7">
        <w:rPr>
          <w:rFonts w:eastAsia="Calibri"/>
          <w:szCs w:val="24"/>
          <w:lang w:val="en-US"/>
        </w:rPr>
        <w:t xml:space="preserve">Nueva York. </w:t>
      </w:r>
      <w:r w:rsidRPr="001F32F7">
        <w:rPr>
          <w:rFonts w:eastAsia="Calibri"/>
          <w:szCs w:val="24"/>
          <w:lang w:val="en-US"/>
        </w:rPr>
        <w:br/>
      </w: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r w:rsidRPr="00541496">
        <w:rPr>
          <w:rFonts w:eastAsia="Calibri"/>
          <w:szCs w:val="24"/>
          <w:lang w:val="en-US"/>
        </w:rPr>
        <w:t xml:space="preserve">Flaaen, A., Ghani, E., &amp; Mishra, S. (2013). How to Avoid Middle-Income Traps? </w:t>
      </w:r>
      <w:r w:rsidRPr="00541496">
        <w:rPr>
          <w:rFonts w:eastAsia="Calibri"/>
          <w:szCs w:val="24"/>
          <w:lang w:val="es-ES"/>
        </w:rPr>
        <w:t>Evidence from Malaysia. Recuperado de Banco Mundial: http://siteresources.worldbank.org/EXTPREMNET/Resources/EP120.pdf</w:t>
      </w: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r w:rsidRPr="00541496">
        <w:rPr>
          <w:rFonts w:eastAsia="Calibri"/>
          <w:szCs w:val="24"/>
          <w:lang w:val="es-ES"/>
        </w:rPr>
        <w:t>Foxley, A. (2012). La trampa del ingreso medio: el desafío de esta década para América Latina. (U. Editores, Ed.) Recuperado de Corporación de Estudios para Latinoamérica: http://www.cieplan.org/media/publicaciones/archivos/308/Libro_Digital_La_trampa_del_ingreso_medio.pdf</w:t>
      </w: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p>
    <w:p w:rsidR="001F32F7" w:rsidRPr="008955FE" w:rsidRDefault="001F32F7" w:rsidP="001F32F7">
      <w:pPr>
        <w:tabs>
          <w:tab w:val="left" w:pos="540"/>
        </w:tabs>
        <w:spacing w:after="120" w:line="240" w:lineRule="auto"/>
        <w:ind w:left="630" w:hanging="630"/>
        <w:contextualSpacing/>
        <w:jc w:val="left"/>
        <w:rPr>
          <w:rFonts w:eastAsia="Calibri"/>
          <w:szCs w:val="24"/>
          <w:lang w:val="es-ES"/>
        </w:rPr>
      </w:pPr>
      <w:r>
        <w:rPr>
          <w:rFonts w:eastAsia="Calibri"/>
          <w:szCs w:val="24"/>
          <w:lang w:val="en-US"/>
        </w:rPr>
        <w:t xml:space="preserve">Gill, </w:t>
      </w:r>
      <w:r w:rsidRPr="00541496">
        <w:rPr>
          <w:rFonts w:eastAsia="Calibri"/>
          <w:szCs w:val="24"/>
          <w:lang w:val="en-US"/>
        </w:rPr>
        <w:t xml:space="preserve">I., &amp; Kharas, H. (2007). An East Asian Renaissance: Ideas for Economic Growth. </w:t>
      </w:r>
      <w:r w:rsidRPr="00541496">
        <w:rPr>
          <w:rFonts w:eastAsia="Calibri"/>
          <w:szCs w:val="24"/>
          <w:lang w:val="es-ES"/>
        </w:rPr>
        <w:t xml:space="preserve">Recuperado de Banco Mundial: </w:t>
      </w:r>
      <w:hyperlink r:id="rId160" w:history="1">
        <w:r w:rsidRPr="00541496">
          <w:rPr>
            <w:rFonts w:eastAsia="Calibri"/>
            <w:szCs w:val="24"/>
            <w:lang w:val="es-ES"/>
          </w:rPr>
          <w:t>http://</w:t>
        </w:r>
      </w:hyperlink>
      <w:hyperlink r:id="rId161" w:history="1">
        <w:r w:rsidRPr="00541496">
          <w:rPr>
            <w:rFonts w:eastAsia="Calibri"/>
            <w:szCs w:val="24"/>
            <w:lang w:val="es-ES"/>
          </w:rPr>
          <w:t>siteresources.worldbank.org/INTEASTASIAPACIFIC/Resources/226262-1158536715202/EA_Renaissance_execsumm.pdf</w:t>
        </w:r>
      </w:hyperlink>
    </w:p>
    <w:p w:rsidR="001F32F7" w:rsidRPr="00541496" w:rsidRDefault="001F32F7" w:rsidP="001F32F7">
      <w:pPr>
        <w:tabs>
          <w:tab w:val="left" w:pos="540"/>
        </w:tabs>
        <w:spacing w:after="120" w:line="240" w:lineRule="auto"/>
        <w:ind w:left="630" w:hanging="630"/>
        <w:contextualSpacing/>
        <w:jc w:val="left"/>
        <w:rPr>
          <w:rFonts w:eastAsia="Calibri"/>
          <w:szCs w:val="24"/>
        </w:rPr>
      </w:pP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r w:rsidRPr="00541496">
        <w:rPr>
          <w:rFonts w:eastAsia="Calibri"/>
          <w:szCs w:val="24"/>
          <w:lang w:val="es-ES"/>
        </w:rPr>
        <w:t xml:space="preserve">Indicadores Internacionales </w:t>
      </w:r>
      <w:r>
        <w:rPr>
          <w:rFonts w:eastAsia="Calibri"/>
          <w:szCs w:val="24"/>
          <w:lang w:val="es-ES"/>
        </w:rPr>
        <w:t xml:space="preserve">Recuperado </w:t>
      </w:r>
      <w:r w:rsidRPr="00541496">
        <w:rPr>
          <w:rFonts w:eastAsia="Calibri"/>
          <w:szCs w:val="24"/>
          <w:lang w:val="es-ES"/>
        </w:rPr>
        <w:t>de Competitividad</w:t>
      </w:r>
      <w:r>
        <w:rPr>
          <w:rFonts w:eastAsia="Calibri"/>
          <w:szCs w:val="24"/>
          <w:lang w:val="es-ES"/>
        </w:rPr>
        <w:t xml:space="preserve"> </w:t>
      </w:r>
      <w:hyperlink r:id="rId162" w:history="1">
        <w:r w:rsidRPr="00541496">
          <w:rPr>
            <w:rFonts w:eastAsia="Calibri"/>
            <w:szCs w:val="24"/>
            <w:lang w:val="es-ES"/>
          </w:rPr>
          <w:t>http://www.consultorapsg.com.mx/competitividad%20mexico.pdf</w:t>
        </w:r>
      </w:hyperlink>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r w:rsidRPr="00541496">
        <w:rPr>
          <w:rFonts w:eastAsia="Calibri"/>
          <w:szCs w:val="24"/>
          <w:lang w:val="es-ES"/>
        </w:rPr>
        <w:t> </w:t>
      </w: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r w:rsidRPr="00541496">
        <w:rPr>
          <w:rFonts w:eastAsia="Calibri"/>
          <w:szCs w:val="24"/>
          <w:lang w:val="es-ES"/>
        </w:rPr>
        <w:t>México en los índices de competitividad</w:t>
      </w:r>
      <w:r>
        <w:rPr>
          <w:rFonts w:eastAsia="Calibri"/>
          <w:szCs w:val="24"/>
          <w:lang w:val="es-ES"/>
        </w:rPr>
        <w:t xml:space="preserve">.  Recuperado de  </w:t>
      </w:r>
      <w:hyperlink r:id="rId163" w:history="1">
        <w:r w:rsidRPr="00541496">
          <w:rPr>
            <w:rFonts w:eastAsia="Calibri"/>
            <w:szCs w:val="24"/>
            <w:lang w:val="es-ES"/>
          </w:rPr>
          <w:t>http://www.economia.gob.mx/comunidad-negocios/competitividad-normatividad/indices</w:t>
        </w:r>
      </w:hyperlink>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r w:rsidRPr="00541496">
        <w:rPr>
          <w:rFonts w:eastAsia="Calibri"/>
          <w:szCs w:val="24"/>
          <w:lang w:val="es-ES"/>
        </w:rPr>
        <w:t> </w:t>
      </w:r>
    </w:p>
    <w:p w:rsidR="001F32F7" w:rsidRPr="00541496" w:rsidRDefault="001F32F7" w:rsidP="001F32F7">
      <w:pPr>
        <w:tabs>
          <w:tab w:val="left" w:pos="540"/>
        </w:tabs>
        <w:spacing w:after="120" w:line="240" w:lineRule="auto"/>
        <w:ind w:left="630" w:hanging="630"/>
        <w:contextualSpacing/>
        <w:jc w:val="left"/>
        <w:rPr>
          <w:rFonts w:eastAsia="Calibri"/>
          <w:szCs w:val="24"/>
          <w:lang w:val="es-ES"/>
        </w:rPr>
      </w:pPr>
      <w:r w:rsidRPr="00541496">
        <w:rPr>
          <w:rFonts w:eastAsia="Calibri"/>
          <w:szCs w:val="24"/>
          <w:lang w:val="es-ES"/>
        </w:rPr>
        <w:t>Revista CEPAL, (2010) Un índice regional de competitividad para un país</w:t>
      </w:r>
      <w:r>
        <w:rPr>
          <w:rFonts w:eastAsia="Calibri"/>
          <w:szCs w:val="24"/>
          <w:lang w:val="es-ES"/>
        </w:rPr>
        <w:t xml:space="preserve">.  Recuperado de </w:t>
      </w:r>
      <w:hyperlink r:id="rId164" w:history="1">
        <w:r w:rsidRPr="00541496">
          <w:rPr>
            <w:rFonts w:eastAsia="Calibri"/>
            <w:szCs w:val="24"/>
            <w:lang w:val="es-ES"/>
          </w:rPr>
          <w:t>http://www.eclac.org/publicaciones/xml/4/41914/RVE102Benzaquenetal.pdf</w:t>
        </w:r>
      </w:hyperlink>
    </w:p>
    <w:p w:rsidR="005A5E7D" w:rsidRPr="00F67DA3" w:rsidRDefault="005A5E7D" w:rsidP="005A5E7D">
      <w:pPr>
        <w:spacing w:after="120"/>
        <w:ind w:firstLine="0"/>
        <w:contextualSpacing/>
        <w:rPr>
          <w:rFonts w:ascii="Calibri" w:eastAsia="Calibri" w:hAnsi="Calibri"/>
          <w:szCs w:val="24"/>
        </w:rPr>
      </w:pPr>
    </w:p>
    <w:p w:rsidR="001F32F7" w:rsidRDefault="001F32F7">
      <w:pPr>
        <w:spacing w:line="240" w:lineRule="auto"/>
        <w:ind w:firstLine="0"/>
        <w:jc w:val="left"/>
        <w:rPr>
          <w:rFonts w:eastAsia="Times New Roman"/>
          <w:b/>
          <w:iCs/>
          <w:color w:val="7F7F7F"/>
          <w:spacing w:val="15"/>
          <w:kern w:val="1"/>
          <w:sz w:val="32"/>
          <w:szCs w:val="24"/>
          <w:lang w:eastAsia="ar-SA"/>
        </w:rPr>
      </w:pPr>
      <w:r>
        <w:br w:type="page"/>
      </w:r>
    </w:p>
    <w:p w:rsidR="005A5E7D" w:rsidRPr="00F4132D" w:rsidRDefault="005A5E7D" w:rsidP="005A5E7D">
      <w:pPr>
        <w:pStyle w:val="Subtitle"/>
      </w:pPr>
      <w:r w:rsidRPr="00F4132D">
        <w:t>Anejo 5.A: Índices de Competitividad</w:t>
      </w:r>
    </w:p>
    <w:p w:rsidR="005A5E7D" w:rsidRDefault="005A5E7D" w:rsidP="005A5E7D">
      <w:pPr>
        <w:pStyle w:val="ColorfulList-Accent11"/>
        <w:spacing w:after="200"/>
        <w:ind w:left="0"/>
        <w:rPr>
          <w:szCs w:val="24"/>
        </w:rPr>
      </w:pPr>
    </w:p>
    <w:p w:rsidR="005A5E7D" w:rsidRDefault="005A5E7D" w:rsidP="005A5E7D">
      <w:pPr>
        <w:pStyle w:val="ColorfulList-Accent11"/>
        <w:spacing w:after="200"/>
        <w:ind w:left="0"/>
        <w:rPr>
          <w:szCs w:val="24"/>
        </w:rPr>
      </w:pPr>
      <w:r>
        <w:rPr>
          <w:szCs w:val="24"/>
        </w:rPr>
        <w:t>En este anejo se presentan los componentes detallados de los índices de competitividad que se presentan en el Capítulo 5.</w:t>
      </w:r>
    </w:p>
    <w:p w:rsidR="005A5E7D" w:rsidRPr="00F67DA3" w:rsidRDefault="005A5E7D" w:rsidP="005A5E7D">
      <w:pPr>
        <w:spacing w:after="120" w:line="259" w:lineRule="auto"/>
        <w:ind w:left="720" w:firstLine="0"/>
        <w:contextualSpacing/>
        <w:jc w:val="left"/>
        <w:rPr>
          <w:rFonts w:eastAsia="Calibri"/>
          <w:b/>
          <w:i/>
          <w:szCs w:val="24"/>
        </w:rPr>
      </w:pPr>
      <w:r w:rsidRPr="00F67DA3">
        <w:rPr>
          <w:rFonts w:eastAsia="Calibri"/>
          <w:b/>
          <w:bCs/>
          <w:i/>
          <w:szCs w:val="24"/>
        </w:rPr>
        <w:t>El Índice de Competitividad Global del World Economic Forum (WEF)</w:t>
      </w:r>
    </w:p>
    <w:p w:rsidR="005A5E7D" w:rsidRPr="00475EDB" w:rsidRDefault="005A5E7D" w:rsidP="005A5E7D">
      <w:pPr>
        <w:spacing w:after="120"/>
        <w:ind w:firstLine="0"/>
        <w:contextualSpacing/>
        <w:rPr>
          <w:rFonts w:eastAsia="Calibri"/>
          <w:szCs w:val="24"/>
        </w:rPr>
      </w:pPr>
      <w:r w:rsidRPr="00475EDB">
        <w:rPr>
          <w:rFonts w:eastAsia="Calibri"/>
          <w:szCs w:val="24"/>
        </w:rPr>
        <w:t>(</w:t>
      </w:r>
      <w:hyperlink r:id="rId165" w:history="1">
        <w:r w:rsidRPr="00475EDB">
          <w:rPr>
            <w:rFonts w:eastAsia="Calibri"/>
            <w:szCs w:val="24"/>
          </w:rPr>
          <w:t>http://www3.weforum.org/docs/WEF_GlobalCompetitivenessReport_2013-14.pdf</w:t>
        </w:r>
      </w:hyperlink>
      <w:r w:rsidRPr="00475EDB">
        <w:rPr>
          <w:rFonts w:eastAsia="Calibri"/>
          <w:szCs w:val="24"/>
        </w:rPr>
        <w:t>)</w:t>
      </w:r>
    </w:p>
    <w:p w:rsidR="005A5E7D" w:rsidRPr="00F67DA3" w:rsidRDefault="005A5E7D" w:rsidP="005A5E7D">
      <w:r w:rsidRPr="00F67DA3">
        <w:t>Este índice, quizás el mejor conocido de todos, incluye a Puerto Rico desde el año 2007-08.</w:t>
      </w:r>
      <w:r>
        <w:t xml:space="preserve"> </w:t>
      </w:r>
      <w:r w:rsidRPr="00F67DA3">
        <w:t>Está compuesto por 12 pilares, compuestos cada uno de ellos por un grupo de variables.</w:t>
      </w:r>
      <w:r>
        <w:t xml:space="preserve"> </w:t>
      </w:r>
      <w:r w:rsidRPr="00F67DA3">
        <w:t>Algunas de las variables se obtienen de forma cuantitativa y otras de forma cualitativa (mediante encuestas).</w:t>
      </w:r>
      <w:r>
        <w:t xml:space="preserve"> </w:t>
      </w:r>
      <w:r w:rsidRPr="00F67DA3">
        <w:t>Los pilares y sus respectivas variables se presentan a continuación.</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Instituciones</w:t>
      </w:r>
    </w:p>
    <w:p w:rsidR="005A5E7D" w:rsidRPr="00F67DA3" w:rsidRDefault="005A5E7D" w:rsidP="005A5E7D">
      <w:pPr>
        <w:spacing w:after="120"/>
        <w:ind w:left="907" w:firstLine="0"/>
        <w:contextualSpacing/>
        <w:rPr>
          <w:rFonts w:eastAsia="Calibri"/>
          <w:szCs w:val="24"/>
        </w:rPr>
      </w:pPr>
      <w:r w:rsidRPr="00F67DA3">
        <w:rPr>
          <w:rFonts w:eastAsia="Calibri"/>
          <w:szCs w:val="24"/>
        </w:rPr>
        <w:t>Derechos de propiedad</w:t>
      </w:r>
    </w:p>
    <w:p w:rsidR="005A5E7D" w:rsidRPr="00F67DA3" w:rsidRDefault="005A5E7D" w:rsidP="005A5E7D">
      <w:pPr>
        <w:spacing w:after="120"/>
        <w:ind w:left="907" w:firstLine="0"/>
        <w:contextualSpacing/>
        <w:rPr>
          <w:rFonts w:eastAsia="Calibri"/>
          <w:szCs w:val="24"/>
        </w:rPr>
      </w:pPr>
      <w:r w:rsidRPr="00F67DA3">
        <w:rPr>
          <w:rFonts w:eastAsia="Calibri"/>
          <w:szCs w:val="24"/>
        </w:rPr>
        <w:t>Protección a la propiedad intelectual</w:t>
      </w:r>
    </w:p>
    <w:p w:rsidR="005A5E7D" w:rsidRPr="00F67DA3" w:rsidRDefault="005A5E7D" w:rsidP="005A5E7D">
      <w:pPr>
        <w:spacing w:after="120"/>
        <w:ind w:left="907" w:firstLine="0"/>
        <w:contextualSpacing/>
        <w:rPr>
          <w:rFonts w:eastAsia="Calibri"/>
          <w:szCs w:val="24"/>
        </w:rPr>
      </w:pPr>
      <w:r w:rsidRPr="00F67DA3">
        <w:rPr>
          <w:rFonts w:eastAsia="Calibri"/>
          <w:szCs w:val="24"/>
        </w:rPr>
        <w:t>El desvío de fondos públicos</w:t>
      </w:r>
    </w:p>
    <w:p w:rsidR="005A5E7D" w:rsidRPr="00F67DA3" w:rsidRDefault="005A5E7D" w:rsidP="005A5E7D">
      <w:pPr>
        <w:spacing w:after="120"/>
        <w:ind w:left="907" w:firstLine="0"/>
        <w:contextualSpacing/>
        <w:rPr>
          <w:rFonts w:eastAsia="Calibri"/>
          <w:szCs w:val="24"/>
        </w:rPr>
      </w:pPr>
      <w:r w:rsidRPr="00F67DA3">
        <w:rPr>
          <w:rFonts w:eastAsia="Calibri"/>
          <w:szCs w:val="24"/>
        </w:rPr>
        <w:t>La confianza pública en los políticos</w:t>
      </w:r>
    </w:p>
    <w:p w:rsidR="005A5E7D" w:rsidRPr="00F67DA3" w:rsidRDefault="005A5E7D" w:rsidP="005A5E7D">
      <w:pPr>
        <w:spacing w:after="120"/>
        <w:ind w:left="907" w:firstLine="0"/>
        <w:contextualSpacing/>
        <w:rPr>
          <w:rFonts w:eastAsia="Calibri"/>
          <w:szCs w:val="24"/>
        </w:rPr>
      </w:pPr>
      <w:r w:rsidRPr="00F67DA3">
        <w:rPr>
          <w:rFonts w:eastAsia="Calibri"/>
          <w:szCs w:val="24"/>
        </w:rPr>
        <w:t>Pagos irregulares y sobornos</w:t>
      </w:r>
    </w:p>
    <w:p w:rsidR="005A5E7D" w:rsidRPr="00F67DA3" w:rsidRDefault="005A5E7D" w:rsidP="005A5E7D">
      <w:pPr>
        <w:spacing w:after="120"/>
        <w:ind w:left="907" w:firstLine="0"/>
        <w:contextualSpacing/>
        <w:rPr>
          <w:rFonts w:eastAsia="Calibri"/>
          <w:szCs w:val="24"/>
        </w:rPr>
      </w:pPr>
      <w:r w:rsidRPr="00F67DA3">
        <w:rPr>
          <w:rFonts w:eastAsia="Calibri"/>
          <w:szCs w:val="24"/>
        </w:rPr>
        <w:t>Independencia judicial</w:t>
      </w:r>
    </w:p>
    <w:p w:rsidR="005A5E7D" w:rsidRPr="00F67DA3" w:rsidRDefault="005A5E7D" w:rsidP="005A5E7D">
      <w:pPr>
        <w:spacing w:after="120"/>
        <w:ind w:left="907" w:firstLine="0"/>
        <w:contextualSpacing/>
        <w:rPr>
          <w:rFonts w:eastAsia="Calibri"/>
          <w:szCs w:val="24"/>
        </w:rPr>
      </w:pPr>
      <w:r w:rsidRPr="00F67DA3">
        <w:rPr>
          <w:rFonts w:eastAsia="Calibri"/>
          <w:szCs w:val="24"/>
        </w:rPr>
        <w:t xml:space="preserve">El favoritismo en las decisiones de los funcionarios del </w:t>
      </w:r>
      <w:r>
        <w:rPr>
          <w:rFonts w:eastAsia="Calibri"/>
          <w:szCs w:val="24"/>
        </w:rPr>
        <w:t>Gobierno</w:t>
      </w:r>
    </w:p>
    <w:p w:rsidR="005A5E7D" w:rsidRPr="00F67DA3" w:rsidRDefault="005A5E7D" w:rsidP="005A5E7D">
      <w:pPr>
        <w:spacing w:after="120"/>
        <w:ind w:left="907" w:firstLine="0"/>
        <w:contextualSpacing/>
        <w:rPr>
          <w:rFonts w:eastAsia="Calibri"/>
          <w:szCs w:val="24"/>
        </w:rPr>
      </w:pPr>
      <w:r w:rsidRPr="00F67DA3">
        <w:rPr>
          <w:rFonts w:eastAsia="Calibri"/>
          <w:szCs w:val="24"/>
        </w:rPr>
        <w:t>Despilfarro en el gasto público</w:t>
      </w:r>
    </w:p>
    <w:p w:rsidR="005A5E7D" w:rsidRPr="00F67DA3" w:rsidRDefault="005A5E7D" w:rsidP="005A5E7D">
      <w:pPr>
        <w:spacing w:after="120"/>
        <w:ind w:left="907" w:firstLine="0"/>
        <w:contextualSpacing/>
        <w:rPr>
          <w:rFonts w:eastAsia="Calibri"/>
          <w:szCs w:val="24"/>
        </w:rPr>
      </w:pPr>
      <w:r w:rsidRPr="00F67DA3">
        <w:rPr>
          <w:rFonts w:eastAsia="Calibri"/>
          <w:szCs w:val="24"/>
        </w:rPr>
        <w:t>Carga de la regulación gubernamental</w:t>
      </w:r>
    </w:p>
    <w:p w:rsidR="005A5E7D" w:rsidRPr="00F67DA3" w:rsidRDefault="005A5E7D" w:rsidP="005A5E7D">
      <w:pPr>
        <w:spacing w:after="120"/>
        <w:ind w:left="907" w:firstLine="0"/>
        <w:contextualSpacing/>
        <w:rPr>
          <w:rFonts w:eastAsia="Calibri"/>
          <w:szCs w:val="24"/>
        </w:rPr>
      </w:pPr>
      <w:r w:rsidRPr="00F67DA3">
        <w:rPr>
          <w:rFonts w:eastAsia="Calibri"/>
          <w:szCs w:val="24"/>
        </w:rPr>
        <w:t>Eficiencia en el marco legal para resolver disputas</w:t>
      </w:r>
    </w:p>
    <w:p w:rsidR="005A5E7D" w:rsidRPr="00F67DA3" w:rsidRDefault="005A5E7D" w:rsidP="005A5E7D">
      <w:pPr>
        <w:spacing w:after="120"/>
        <w:ind w:left="907" w:firstLine="0"/>
        <w:contextualSpacing/>
        <w:rPr>
          <w:rFonts w:eastAsia="Calibri"/>
          <w:szCs w:val="24"/>
        </w:rPr>
      </w:pPr>
      <w:r w:rsidRPr="00F67DA3">
        <w:rPr>
          <w:rFonts w:eastAsia="Calibri"/>
          <w:szCs w:val="24"/>
        </w:rPr>
        <w:t>Eficiencia del marco legal en registros</w:t>
      </w:r>
    </w:p>
    <w:p w:rsidR="005A5E7D" w:rsidRPr="00F67DA3" w:rsidRDefault="005A5E7D" w:rsidP="005A5E7D">
      <w:pPr>
        <w:spacing w:after="120"/>
        <w:ind w:left="907" w:firstLine="0"/>
        <w:contextualSpacing/>
        <w:rPr>
          <w:rFonts w:eastAsia="Calibri"/>
          <w:szCs w:val="24"/>
        </w:rPr>
      </w:pPr>
      <w:r w:rsidRPr="00F67DA3">
        <w:rPr>
          <w:rFonts w:eastAsia="Calibri"/>
          <w:szCs w:val="24"/>
        </w:rPr>
        <w:t xml:space="preserve">Transparencia en las políticas del </w:t>
      </w:r>
      <w:r>
        <w:rPr>
          <w:rFonts w:eastAsia="Calibri"/>
          <w:szCs w:val="24"/>
        </w:rPr>
        <w:t>Gobierno</w:t>
      </w:r>
    </w:p>
    <w:p w:rsidR="005A5E7D" w:rsidRPr="00F67DA3" w:rsidRDefault="005A5E7D" w:rsidP="005A5E7D">
      <w:pPr>
        <w:spacing w:after="120"/>
        <w:ind w:left="907" w:firstLine="0"/>
        <w:contextualSpacing/>
        <w:rPr>
          <w:rFonts w:eastAsia="Calibri"/>
          <w:szCs w:val="24"/>
        </w:rPr>
      </w:pPr>
      <w:r w:rsidRPr="00F67DA3">
        <w:rPr>
          <w:rFonts w:eastAsia="Calibri"/>
          <w:szCs w:val="24"/>
        </w:rPr>
        <w:t>Costos de negocio del terrorismo</w:t>
      </w:r>
    </w:p>
    <w:p w:rsidR="005A5E7D" w:rsidRPr="00F67DA3" w:rsidRDefault="005A5E7D" w:rsidP="005A5E7D">
      <w:pPr>
        <w:spacing w:after="120"/>
        <w:ind w:left="907" w:firstLine="0"/>
        <w:contextualSpacing/>
        <w:rPr>
          <w:rFonts w:eastAsia="Calibri"/>
          <w:szCs w:val="24"/>
        </w:rPr>
      </w:pPr>
      <w:r w:rsidRPr="00F67DA3">
        <w:rPr>
          <w:rFonts w:eastAsia="Calibri"/>
          <w:szCs w:val="24"/>
        </w:rPr>
        <w:t>Costos de negocio de la delincuencia y la violencia</w:t>
      </w:r>
    </w:p>
    <w:p w:rsidR="005A5E7D" w:rsidRPr="00F67DA3" w:rsidRDefault="005A5E7D" w:rsidP="005A5E7D">
      <w:pPr>
        <w:spacing w:after="120"/>
        <w:ind w:left="907" w:firstLine="0"/>
        <w:contextualSpacing/>
        <w:rPr>
          <w:rFonts w:eastAsia="Calibri"/>
          <w:szCs w:val="24"/>
        </w:rPr>
      </w:pPr>
      <w:r w:rsidRPr="00F67DA3">
        <w:rPr>
          <w:rFonts w:eastAsia="Calibri"/>
          <w:szCs w:val="24"/>
        </w:rPr>
        <w:t>Crimen organizado</w:t>
      </w:r>
    </w:p>
    <w:p w:rsidR="005A5E7D" w:rsidRPr="00F67DA3" w:rsidRDefault="005A5E7D" w:rsidP="005A5E7D">
      <w:pPr>
        <w:spacing w:after="120"/>
        <w:ind w:left="907" w:firstLine="0"/>
        <w:contextualSpacing/>
        <w:rPr>
          <w:rFonts w:eastAsia="Calibri"/>
          <w:szCs w:val="24"/>
        </w:rPr>
      </w:pPr>
      <w:r w:rsidRPr="00F67DA3">
        <w:rPr>
          <w:rFonts w:eastAsia="Calibri"/>
          <w:szCs w:val="24"/>
        </w:rPr>
        <w:t>Fiabilidad de los servicios de policía</w:t>
      </w:r>
    </w:p>
    <w:p w:rsidR="005A5E7D" w:rsidRPr="00F67DA3" w:rsidRDefault="005A5E7D" w:rsidP="005A5E7D">
      <w:pPr>
        <w:spacing w:after="120"/>
        <w:ind w:left="907" w:firstLine="0"/>
        <w:contextualSpacing/>
        <w:rPr>
          <w:rFonts w:eastAsia="Calibri"/>
          <w:szCs w:val="24"/>
        </w:rPr>
      </w:pPr>
      <w:r w:rsidRPr="00F67DA3">
        <w:rPr>
          <w:rFonts w:eastAsia="Calibri"/>
          <w:szCs w:val="24"/>
        </w:rPr>
        <w:t>Comportamiento ético de las empresas</w:t>
      </w:r>
    </w:p>
    <w:p w:rsidR="005A5E7D" w:rsidRPr="00F67DA3" w:rsidRDefault="005A5E7D" w:rsidP="005A5E7D">
      <w:pPr>
        <w:spacing w:after="120"/>
        <w:ind w:left="907" w:firstLine="0"/>
        <w:contextualSpacing/>
        <w:rPr>
          <w:rFonts w:eastAsia="Calibri"/>
          <w:szCs w:val="24"/>
        </w:rPr>
      </w:pPr>
      <w:r w:rsidRPr="00F67DA3">
        <w:rPr>
          <w:rFonts w:eastAsia="Calibri"/>
          <w:szCs w:val="24"/>
        </w:rPr>
        <w:t>Fuerza de las normas de auditoría y presentación de informes</w:t>
      </w:r>
    </w:p>
    <w:p w:rsidR="005A5E7D" w:rsidRPr="00F67DA3" w:rsidRDefault="005A5E7D" w:rsidP="005A5E7D">
      <w:pPr>
        <w:spacing w:after="120"/>
        <w:ind w:left="907" w:firstLine="0"/>
        <w:contextualSpacing/>
        <w:rPr>
          <w:rFonts w:eastAsia="Calibri"/>
          <w:szCs w:val="24"/>
        </w:rPr>
      </w:pPr>
      <w:r w:rsidRPr="00F67DA3">
        <w:rPr>
          <w:rFonts w:eastAsia="Calibri"/>
          <w:szCs w:val="24"/>
        </w:rPr>
        <w:t xml:space="preserve">Eficacia de los consejos de administración </w:t>
      </w:r>
    </w:p>
    <w:p w:rsidR="005A5E7D" w:rsidRPr="00F67DA3" w:rsidRDefault="005A5E7D" w:rsidP="005A5E7D">
      <w:pPr>
        <w:spacing w:after="120"/>
        <w:ind w:left="907" w:firstLine="0"/>
        <w:contextualSpacing/>
        <w:rPr>
          <w:rFonts w:eastAsia="Calibri"/>
          <w:szCs w:val="24"/>
        </w:rPr>
      </w:pPr>
      <w:r w:rsidRPr="00F67DA3">
        <w:rPr>
          <w:rFonts w:eastAsia="Calibri"/>
          <w:szCs w:val="24"/>
        </w:rPr>
        <w:t>Protección de los intereses de los accionistas minoritarios</w:t>
      </w:r>
    </w:p>
    <w:p w:rsidR="005A5E7D" w:rsidRPr="00F67DA3" w:rsidRDefault="005A5E7D" w:rsidP="005A5E7D">
      <w:pPr>
        <w:spacing w:after="120"/>
        <w:ind w:left="907" w:firstLine="0"/>
        <w:contextualSpacing/>
        <w:rPr>
          <w:rFonts w:eastAsia="Calibri"/>
          <w:szCs w:val="24"/>
        </w:rPr>
      </w:pPr>
      <w:r w:rsidRPr="00F67DA3">
        <w:rPr>
          <w:rFonts w:eastAsia="Calibri"/>
          <w:szCs w:val="24"/>
        </w:rPr>
        <w:t>Fuerza de protección de los inversores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Infraestructura</w:t>
      </w:r>
    </w:p>
    <w:p w:rsidR="005A5E7D" w:rsidRPr="00F67DA3" w:rsidRDefault="005A5E7D" w:rsidP="005A5E7D">
      <w:pPr>
        <w:spacing w:after="120"/>
        <w:ind w:left="907" w:firstLine="0"/>
        <w:contextualSpacing/>
        <w:rPr>
          <w:rFonts w:eastAsia="Calibri"/>
          <w:szCs w:val="24"/>
        </w:rPr>
      </w:pPr>
      <w:r w:rsidRPr="00F67DA3">
        <w:rPr>
          <w:rFonts w:eastAsia="Calibri"/>
          <w:szCs w:val="24"/>
        </w:rPr>
        <w:t>Calidad de la infraestructura general</w:t>
      </w:r>
    </w:p>
    <w:p w:rsidR="005A5E7D" w:rsidRPr="00F67DA3" w:rsidRDefault="005A5E7D" w:rsidP="005A5E7D">
      <w:pPr>
        <w:spacing w:after="120"/>
        <w:ind w:left="907" w:firstLine="0"/>
        <w:contextualSpacing/>
        <w:rPr>
          <w:rFonts w:eastAsia="Calibri"/>
          <w:szCs w:val="24"/>
        </w:rPr>
      </w:pPr>
      <w:r w:rsidRPr="00F67DA3">
        <w:rPr>
          <w:rFonts w:eastAsia="Calibri"/>
          <w:szCs w:val="24"/>
        </w:rPr>
        <w:t>Calidad de carreteras</w:t>
      </w:r>
    </w:p>
    <w:p w:rsidR="005A5E7D" w:rsidRPr="00F67DA3" w:rsidRDefault="005A5E7D" w:rsidP="005A5E7D">
      <w:pPr>
        <w:spacing w:after="120"/>
        <w:ind w:left="907" w:firstLine="0"/>
        <w:contextualSpacing/>
        <w:rPr>
          <w:rFonts w:eastAsia="Calibri"/>
          <w:szCs w:val="24"/>
        </w:rPr>
      </w:pPr>
      <w:r w:rsidRPr="00F67DA3">
        <w:rPr>
          <w:rFonts w:eastAsia="Calibri"/>
          <w:szCs w:val="24"/>
        </w:rPr>
        <w:t>Calidad de la infraestructura ferroviaria</w:t>
      </w:r>
    </w:p>
    <w:p w:rsidR="005A5E7D" w:rsidRPr="00F67DA3" w:rsidRDefault="005A5E7D" w:rsidP="005A5E7D">
      <w:pPr>
        <w:spacing w:after="120"/>
        <w:ind w:left="907" w:firstLine="0"/>
        <w:contextualSpacing/>
        <w:rPr>
          <w:rFonts w:eastAsia="Calibri"/>
          <w:szCs w:val="24"/>
        </w:rPr>
      </w:pPr>
      <w:r w:rsidRPr="00F67DA3">
        <w:rPr>
          <w:rFonts w:eastAsia="Calibri"/>
          <w:szCs w:val="24"/>
        </w:rPr>
        <w:t>Calidad de la infraestructura portuaria</w:t>
      </w:r>
    </w:p>
    <w:p w:rsidR="005A5E7D" w:rsidRPr="00F67DA3" w:rsidRDefault="005A5E7D" w:rsidP="005A5E7D">
      <w:pPr>
        <w:spacing w:after="120"/>
        <w:ind w:left="907" w:firstLine="0"/>
        <w:contextualSpacing/>
        <w:rPr>
          <w:rFonts w:eastAsia="Calibri"/>
          <w:szCs w:val="24"/>
        </w:rPr>
      </w:pPr>
      <w:r w:rsidRPr="00F67DA3">
        <w:rPr>
          <w:rFonts w:eastAsia="Calibri"/>
          <w:szCs w:val="24"/>
        </w:rPr>
        <w:t>Calidad de la infraestructura del transporte aéreo</w:t>
      </w:r>
    </w:p>
    <w:p w:rsidR="005A5E7D" w:rsidRPr="00F67DA3" w:rsidRDefault="005A5E7D" w:rsidP="005A5E7D">
      <w:pPr>
        <w:spacing w:after="120"/>
        <w:ind w:left="907" w:firstLine="0"/>
        <w:contextualSpacing/>
        <w:rPr>
          <w:rFonts w:eastAsia="Calibri"/>
          <w:szCs w:val="24"/>
        </w:rPr>
      </w:pPr>
      <w:r w:rsidRPr="00F67DA3">
        <w:rPr>
          <w:rFonts w:eastAsia="Calibri"/>
          <w:szCs w:val="24"/>
        </w:rPr>
        <w:t>Disponibilidad de asientos de avión</w:t>
      </w:r>
    </w:p>
    <w:p w:rsidR="005A5E7D" w:rsidRPr="00F67DA3" w:rsidRDefault="005A5E7D" w:rsidP="005A5E7D">
      <w:pPr>
        <w:spacing w:after="120"/>
        <w:ind w:left="907" w:firstLine="0"/>
        <w:contextualSpacing/>
        <w:rPr>
          <w:rFonts w:eastAsia="Calibri"/>
          <w:szCs w:val="24"/>
        </w:rPr>
      </w:pPr>
      <w:r w:rsidRPr="00F67DA3">
        <w:rPr>
          <w:rFonts w:eastAsia="Calibri"/>
          <w:szCs w:val="24"/>
        </w:rPr>
        <w:t>Calidad del suministro eléctrico</w:t>
      </w:r>
    </w:p>
    <w:p w:rsidR="005A5E7D" w:rsidRPr="00F67DA3" w:rsidRDefault="005A5E7D" w:rsidP="005A5E7D">
      <w:pPr>
        <w:spacing w:after="120"/>
        <w:ind w:left="907" w:firstLine="0"/>
        <w:contextualSpacing/>
        <w:rPr>
          <w:rFonts w:eastAsia="Calibri"/>
          <w:szCs w:val="24"/>
        </w:rPr>
      </w:pPr>
      <w:r w:rsidRPr="00F67DA3">
        <w:rPr>
          <w:rFonts w:eastAsia="Calibri"/>
          <w:szCs w:val="24"/>
        </w:rPr>
        <w:t xml:space="preserve">Suscripciones de teléfono móvil </w:t>
      </w:r>
    </w:p>
    <w:p w:rsidR="005A5E7D" w:rsidRPr="00F67DA3" w:rsidRDefault="005A5E7D" w:rsidP="005A5E7D">
      <w:pPr>
        <w:spacing w:after="120"/>
        <w:ind w:left="907" w:firstLine="0"/>
        <w:contextualSpacing/>
        <w:rPr>
          <w:rFonts w:eastAsia="Calibri"/>
          <w:szCs w:val="24"/>
        </w:rPr>
      </w:pPr>
      <w:r w:rsidRPr="00F67DA3">
        <w:rPr>
          <w:rFonts w:eastAsia="Calibri"/>
          <w:szCs w:val="24"/>
        </w:rPr>
        <w:t>Líneas de telefonía fija</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Entorno macroeconómico</w:t>
      </w:r>
    </w:p>
    <w:p w:rsidR="005A5E7D" w:rsidRPr="00F67DA3" w:rsidRDefault="005A5E7D" w:rsidP="005A5E7D">
      <w:pPr>
        <w:spacing w:after="120"/>
        <w:ind w:left="907" w:firstLine="0"/>
        <w:contextualSpacing/>
        <w:rPr>
          <w:rFonts w:eastAsia="Calibri"/>
          <w:szCs w:val="24"/>
        </w:rPr>
      </w:pPr>
      <w:r w:rsidRPr="00F67DA3">
        <w:rPr>
          <w:rFonts w:eastAsia="Calibri"/>
          <w:szCs w:val="24"/>
        </w:rPr>
        <w:t xml:space="preserve">Saldo presupuestario del </w:t>
      </w:r>
      <w:r>
        <w:rPr>
          <w:rFonts w:eastAsia="Calibri"/>
          <w:szCs w:val="24"/>
        </w:rPr>
        <w:t>Gobierno</w:t>
      </w:r>
    </w:p>
    <w:p w:rsidR="005A5E7D" w:rsidRPr="00F67DA3" w:rsidRDefault="005A5E7D" w:rsidP="005A5E7D">
      <w:pPr>
        <w:spacing w:after="120"/>
        <w:ind w:left="907" w:firstLine="0"/>
        <w:contextualSpacing/>
        <w:rPr>
          <w:rFonts w:eastAsia="Calibri"/>
          <w:szCs w:val="24"/>
        </w:rPr>
      </w:pPr>
      <w:r w:rsidRPr="00F67DA3">
        <w:rPr>
          <w:rFonts w:eastAsia="Calibri"/>
          <w:szCs w:val="24"/>
        </w:rPr>
        <w:t>Ahorro nacional bruto</w:t>
      </w:r>
    </w:p>
    <w:p w:rsidR="005A5E7D" w:rsidRPr="00F67DA3" w:rsidRDefault="005A5E7D" w:rsidP="005A5E7D">
      <w:pPr>
        <w:spacing w:after="120"/>
        <w:ind w:left="907" w:firstLine="0"/>
        <w:contextualSpacing/>
        <w:rPr>
          <w:rFonts w:eastAsia="Calibri"/>
          <w:szCs w:val="24"/>
        </w:rPr>
      </w:pPr>
      <w:r w:rsidRPr="00F67DA3">
        <w:rPr>
          <w:rFonts w:eastAsia="Calibri"/>
          <w:szCs w:val="24"/>
        </w:rPr>
        <w:t>Variación en la inflación, cambio % anual</w:t>
      </w:r>
    </w:p>
    <w:p w:rsidR="005A5E7D" w:rsidRPr="00F67DA3" w:rsidRDefault="005A5E7D" w:rsidP="005A5E7D">
      <w:pPr>
        <w:spacing w:after="120"/>
        <w:ind w:left="907" w:firstLine="0"/>
        <w:contextualSpacing/>
        <w:rPr>
          <w:rFonts w:eastAsia="Calibri"/>
          <w:szCs w:val="24"/>
        </w:rPr>
      </w:pPr>
      <w:r w:rsidRPr="00F67DA3">
        <w:rPr>
          <w:rFonts w:eastAsia="Calibri"/>
          <w:szCs w:val="24"/>
        </w:rPr>
        <w:t>Deuda pública</w:t>
      </w:r>
    </w:p>
    <w:p w:rsidR="005A5E7D" w:rsidRPr="00F67DA3" w:rsidRDefault="005A5E7D" w:rsidP="005A5E7D">
      <w:pPr>
        <w:spacing w:after="120"/>
        <w:ind w:left="907" w:firstLine="0"/>
        <w:contextualSpacing/>
        <w:rPr>
          <w:rFonts w:eastAsia="Calibri"/>
          <w:szCs w:val="24"/>
        </w:rPr>
      </w:pPr>
      <w:r w:rsidRPr="00F67DA3">
        <w:rPr>
          <w:rFonts w:eastAsia="Calibri"/>
          <w:szCs w:val="24"/>
        </w:rPr>
        <w:t>Calificación crediticia del país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Salud y educación primaria</w:t>
      </w:r>
    </w:p>
    <w:p w:rsidR="005A5E7D" w:rsidRPr="00F67DA3" w:rsidRDefault="005A5E7D" w:rsidP="005A5E7D">
      <w:pPr>
        <w:spacing w:after="120"/>
        <w:ind w:left="907" w:firstLine="0"/>
        <w:contextualSpacing/>
        <w:rPr>
          <w:rFonts w:eastAsia="Calibri"/>
          <w:szCs w:val="24"/>
        </w:rPr>
      </w:pPr>
      <w:r w:rsidRPr="00F67DA3">
        <w:rPr>
          <w:rFonts w:eastAsia="Calibri"/>
          <w:szCs w:val="24"/>
        </w:rPr>
        <w:t>Impacto de la malaria en los negocios</w:t>
      </w:r>
    </w:p>
    <w:p w:rsidR="005A5E7D" w:rsidRPr="00F67DA3" w:rsidRDefault="005A5E7D" w:rsidP="005A5E7D">
      <w:pPr>
        <w:spacing w:after="120"/>
        <w:ind w:left="907" w:firstLine="0"/>
        <w:contextualSpacing/>
        <w:rPr>
          <w:rFonts w:eastAsia="Calibri"/>
          <w:szCs w:val="24"/>
        </w:rPr>
      </w:pPr>
      <w:r w:rsidRPr="00F67DA3">
        <w:rPr>
          <w:rFonts w:eastAsia="Calibri"/>
          <w:szCs w:val="24"/>
        </w:rPr>
        <w:t>Casos de malaria</w:t>
      </w:r>
    </w:p>
    <w:p w:rsidR="005A5E7D" w:rsidRPr="00F67DA3" w:rsidRDefault="005A5E7D" w:rsidP="005A5E7D">
      <w:pPr>
        <w:spacing w:after="120"/>
        <w:ind w:left="907" w:firstLine="0"/>
        <w:contextualSpacing/>
        <w:rPr>
          <w:rFonts w:eastAsia="Calibri"/>
          <w:szCs w:val="24"/>
        </w:rPr>
      </w:pPr>
      <w:r w:rsidRPr="00F67DA3">
        <w:rPr>
          <w:rFonts w:eastAsia="Calibri"/>
          <w:szCs w:val="24"/>
        </w:rPr>
        <w:t>Impacto de la tuberculosis en los negocios</w:t>
      </w:r>
    </w:p>
    <w:p w:rsidR="005A5E7D" w:rsidRPr="00F67DA3" w:rsidRDefault="005A5E7D" w:rsidP="005A5E7D">
      <w:pPr>
        <w:spacing w:after="120"/>
        <w:ind w:left="907" w:firstLine="0"/>
        <w:contextualSpacing/>
        <w:rPr>
          <w:rFonts w:eastAsia="Calibri"/>
          <w:szCs w:val="24"/>
        </w:rPr>
      </w:pPr>
      <w:r w:rsidRPr="00F67DA3">
        <w:rPr>
          <w:rFonts w:eastAsia="Calibri"/>
          <w:szCs w:val="24"/>
        </w:rPr>
        <w:t>Casos de tuberculosis</w:t>
      </w:r>
    </w:p>
    <w:p w:rsidR="005A5E7D" w:rsidRPr="00F67DA3" w:rsidRDefault="005A5E7D" w:rsidP="005A5E7D">
      <w:pPr>
        <w:spacing w:after="120"/>
        <w:ind w:left="907" w:firstLine="0"/>
        <w:contextualSpacing/>
        <w:rPr>
          <w:rFonts w:eastAsia="Calibri"/>
          <w:szCs w:val="24"/>
        </w:rPr>
      </w:pPr>
      <w:r w:rsidRPr="00F67DA3">
        <w:rPr>
          <w:rFonts w:eastAsia="Calibri"/>
          <w:szCs w:val="24"/>
        </w:rPr>
        <w:t>Impacto del HIV/SIDA en los negocios</w:t>
      </w:r>
    </w:p>
    <w:p w:rsidR="005A5E7D" w:rsidRPr="00F67DA3" w:rsidRDefault="005A5E7D" w:rsidP="005A5E7D">
      <w:pPr>
        <w:spacing w:after="120"/>
        <w:ind w:left="907" w:firstLine="0"/>
        <w:contextualSpacing/>
        <w:rPr>
          <w:rFonts w:eastAsia="Calibri"/>
          <w:szCs w:val="24"/>
        </w:rPr>
      </w:pPr>
      <w:r w:rsidRPr="00F67DA3">
        <w:rPr>
          <w:rFonts w:eastAsia="Calibri"/>
          <w:szCs w:val="24"/>
        </w:rPr>
        <w:t>Prevalencia del HIV (% de la población adulta)</w:t>
      </w:r>
    </w:p>
    <w:p w:rsidR="005A5E7D" w:rsidRPr="00F67DA3" w:rsidRDefault="005A5E7D" w:rsidP="005A5E7D">
      <w:pPr>
        <w:spacing w:after="120"/>
        <w:ind w:left="907" w:firstLine="0"/>
        <w:contextualSpacing/>
        <w:rPr>
          <w:rFonts w:eastAsia="Calibri"/>
          <w:szCs w:val="24"/>
        </w:rPr>
      </w:pPr>
      <w:r w:rsidRPr="00F67DA3">
        <w:rPr>
          <w:rFonts w:eastAsia="Calibri"/>
          <w:szCs w:val="24"/>
        </w:rPr>
        <w:t>Mortalidad infantil</w:t>
      </w:r>
    </w:p>
    <w:p w:rsidR="005A5E7D" w:rsidRPr="00F67DA3" w:rsidRDefault="005A5E7D" w:rsidP="005A5E7D">
      <w:pPr>
        <w:spacing w:after="120"/>
        <w:ind w:left="907" w:firstLine="0"/>
        <w:contextualSpacing/>
        <w:rPr>
          <w:rFonts w:eastAsia="Calibri"/>
          <w:szCs w:val="24"/>
        </w:rPr>
      </w:pPr>
      <w:r w:rsidRPr="00F67DA3">
        <w:rPr>
          <w:rFonts w:eastAsia="Calibri"/>
          <w:szCs w:val="24"/>
        </w:rPr>
        <w:t>Expectativa de vida en años</w:t>
      </w:r>
    </w:p>
    <w:p w:rsidR="005A5E7D" w:rsidRPr="00F67DA3" w:rsidRDefault="005A5E7D" w:rsidP="005A5E7D">
      <w:pPr>
        <w:spacing w:after="120"/>
        <w:ind w:left="907" w:firstLine="0"/>
        <w:contextualSpacing/>
        <w:rPr>
          <w:rFonts w:eastAsia="Calibri"/>
          <w:szCs w:val="24"/>
        </w:rPr>
      </w:pPr>
      <w:r w:rsidRPr="00F67DA3">
        <w:rPr>
          <w:rFonts w:eastAsia="Calibri"/>
          <w:szCs w:val="24"/>
        </w:rPr>
        <w:t>Calidad de la educación primaria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Alumnos matriculados en la escuela primaria</w:t>
      </w:r>
      <w:r w:rsidRPr="00F67DA3">
        <w:rPr>
          <w:rFonts w:eastAsia="Calibri"/>
          <w:szCs w:val="24"/>
        </w:rPr>
        <w:tab/>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Educación superior y entrenamiento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Alumnos matriculados en instituciones de educación secundaria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Alumnos matriculados en instituciones de educación terciaria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Calidad del sistema educativo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Calidad de la educación en ciencias y matemáticas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 xml:space="preserve">Calidad de las escuelas de gestión </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Acceso a internet en las escuelas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Disponibilidad de servicios de investigación y entrenamiento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Actividades de formación de personal</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Eficiencia del mercado de bienes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Intensidad de la competencia local</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Extensión del dominio del mercado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Eficacia de la política antimonopolio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Efecto de los impuestos sobre los incentivos para invertir</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Tasa de impuesto total</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Procedimientos para comenzar un negocio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Número de días para iniciar un negocio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Costos de la política agrícola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Prevalencia de las barreras comerciales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Aranceles comerciales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Prevalencia de la propiedad extranjera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 xml:space="preserve">Impacto en el negocio de las normas del FDI </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Carga de los procedimientos aduaneros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Importaciones como porcentaje del PIB</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Grado de orientación al cliente</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Sofisticación del comprador</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Eficiencia del mercado laboral</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Cooperación en las relaciones entre trabajadores y empleadores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Flexibilidad en la determinación de los salarios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Prácticas en la contratación y el despido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Costos del despido, en semanas de salario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Efecto de los impuestos sobre los incentivos al trabajo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Pago y productividad</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Confianza en la gestión profesional</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Capacidad del país para retener el talento</w:t>
      </w:r>
    </w:p>
    <w:p w:rsidR="005A5E7D" w:rsidRPr="00F67DA3" w:rsidRDefault="005A5E7D" w:rsidP="005A5E7D">
      <w:pPr>
        <w:tabs>
          <w:tab w:val="left" w:pos="6143"/>
        </w:tabs>
        <w:spacing w:after="120"/>
        <w:ind w:left="907" w:firstLine="0"/>
        <w:contextualSpacing/>
        <w:rPr>
          <w:rFonts w:eastAsia="Calibri"/>
          <w:szCs w:val="24"/>
        </w:rPr>
      </w:pPr>
      <w:r>
        <w:rPr>
          <w:rFonts w:eastAsia="Calibri"/>
          <w:szCs w:val="24"/>
        </w:rPr>
        <w:t>Mujeres en la fuerza laboral, co</w:t>
      </w:r>
      <w:r w:rsidRPr="00F67DA3">
        <w:rPr>
          <w:rFonts w:eastAsia="Calibri"/>
          <w:szCs w:val="24"/>
        </w:rPr>
        <w:t>n relación a los hombres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Desarrollo del mercado financiero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Disponibilidad de servicios financieros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Asequibilidad de los servicios financieros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Financiamiento a través del mercado de valores local</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Facilidad de acceso a los préstamos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Disponibilidad del capital</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Solidez de los bancos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Reglamento en la bolsa de valores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Índice de derechos legales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Preparación tecnológica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Disponibilidad de las últimas tecnologías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Absorción de la tecnología a través de la empresa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FDI y la transferencia de tecnología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Personas que utilizan internet</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Suscripciones a internet de banda ancha fija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Kilobytes de internet de banda ancha por usuario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Suscripciones a banda ancha móvil</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Tamaño del mercado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Índice de tamaño del mercado interno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Índice de tamaño del mercado extranjero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PIB</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Exportaciones como porcentaje del PIB</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Sofisticación de los negocios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Cantidad de proveedores locales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Calidad de los proveedores locales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Estado de desarrollo de racimos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Naturaleza de la ventaja competitiva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Amplitud de la cadena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Control de la distribución internacional</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Sofisticación el proceso de producción</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Alcance de la comercialización</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Disposición a delegar autoridad</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Innovación </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Capacidad de innovación</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Calidad de las instituciones de investigación científica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Gasto de las compañías en investigación y desarrollo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Colaboración entre las universidades e industrias en investigación y desarrollo</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 xml:space="preserve">Adquisición del </w:t>
      </w:r>
      <w:r>
        <w:rPr>
          <w:rFonts w:eastAsia="Calibri"/>
          <w:szCs w:val="24"/>
        </w:rPr>
        <w:t>Gobierno</w:t>
      </w:r>
      <w:r w:rsidRPr="00F67DA3">
        <w:rPr>
          <w:rFonts w:eastAsia="Calibri"/>
          <w:szCs w:val="24"/>
        </w:rPr>
        <w:t xml:space="preserve"> en productos de alta tecnología</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Disponibilidad de científicos e ingenieros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Solicitudes de patentes</w:t>
      </w:r>
    </w:p>
    <w:p w:rsidR="005A5E7D" w:rsidRPr="00F67DA3" w:rsidRDefault="005A5E7D" w:rsidP="005A5E7D">
      <w:pPr>
        <w:tabs>
          <w:tab w:val="left" w:pos="6143"/>
        </w:tabs>
        <w:spacing w:after="120"/>
        <w:ind w:left="907" w:firstLine="0"/>
        <w:contextualSpacing/>
        <w:rPr>
          <w:rFonts w:eastAsia="Calibri"/>
          <w:szCs w:val="24"/>
        </w:rPr>
      </w:pPr>
      <w:r w:rsidRPr="00F67DA3">
        <w:rPr>
          <w:rFonts w:eastAsia="Calibri"/>
          <w:szCs w:val="24"/>
        </w:rPr>
        <w:t>Número de patentes</w:t>
      </w:r>
    </w:p>
    <w:p w:rsidR="005A5E7D" w:rsidRPr="00F67DA3" w:rsidRDefault="005A5E7D" w:rsidP="005A5E7D">
      <w:pPr>
        <w:spacing w:after="120"/>
        <w:ind w:firstLine="540"/>
        <w:contextualSpacing/>
        <w:rPr>
          <w:rFonts w:eastAsia="Calibri"/>
          <w:szCs w:val="24"/>
        </w:rPr>
      </w:pPr>
      <w:r w:rsidRPr="00F67DA3">
        <w:rPr>
          <w:rFonts w:eastAsia="Calibri"/>
          <w:szCs w:val="24"/>
        </w:rPr>
        <w:t>Puerto Rico está incluido en el índice competitividad del WEF desde hace varios años.</w:t>
      </w:r>
      <w:r>
        <w:rPr>
          <w:rFonts w:eastAsia="Calibri"/>
          <w:szCs w:val="24"/>
        </w:rPr>
        <w:t xml:space="preserve"> </w:t>
      </w:r>
      <w:r w:rsidRPr="00F67DA3">
        <w:rPr>
          <w:rFonts w:eastAsia="Calibri"/>
          <w:szCs w:val="24"/>
        </w:rPr>
        <w:t>La puntuación obtenida por la Isla ha variado de año en año, pero en ocasiones ha alcanzado niveles distinguidos, como, por ejemplo, ser de las economías más competitivas en América Latina.</w:t>
      </w:r>
    </w:p>
    <w:p w:rsidR="005A5E7D" w:rsidRDefault="005A5E7D" w:rsidP="005A5E7D">
      <w:pPr>
        <w:spacing w:after="120" w:line="259" w:lineRule="auto"/>
        <w:ind w:left="720" w:firstLine="0"/>
        <w:contextualSpacing/>
        <w:jc w:val="left"/>
        <w:rPr>
          <w:rFonts w:eastAsia="Calibri"/>
          <w:b/>
          <w:bCs/>
          <w:i/>
          <w:szCs w:val="24"/>
        </w:rPr>
      </w:pPr>
    </w:p>
    <w:p w:rsidR="005A5E7D" w:rsidRPr="00F67DA3" w:rsidRDefault="005A5E7D" w:rsidP="005A5E7D">
      <w:pPr>
        <w:spacing w:after="120" w:line="259" w:lineRule="auto"/>
        <w:ind w:left="720" w:firstLine="0"/>
        <w:contextualSpacing/>
        <w:jc w:val="left"/>
        <w:rPr>
          <w:rFonts w:eastAsia="Calibri"/>
          <w:i/>
          <w:szCs w:val="24"/>
        </w:rPr>
      </w:pPr>
      <w:r w:rsidRPr="00F67DA3">
        <w:rPr>
          <w:rFonts w:eastAsia="Calibri"/>
          <w:b/>
          <w:bCs/>
          <w:i/>
          <w:szCs w:val="24"/>
        </w:rPr>
        <w:t>Índice Doing Business, de la International Finance Corporation y el Banco Mundial</w:t>
      </w:r>
    </w:p>
    <w:p w:rsidR="005A5E7D" w:rsidRPr="00475EDB" w:rsidRDefault="005A5E7D" w:rsidP="005A5E7D">
      <w:pPr>
        <w:spacing w:after="120"/>
        <w:ind w:firstLine="0"/>
        <w:contextualSpacing/>
        <w:rPr>
          <w:rFonts w:eastAsia="Calibri"/>
          <w:szCs w:val="24"/>
        </w:rPr>
      </w:pPr>
      <w:r w:rsidRPr="00475EDB">
        <w:rPr>
          <w:rFonts w:eastAsia="Calibri"/>
          <w:szCs w:val="24"/>
        </w:rPr>
        <w:t>(</w:t>
      </w:r>
      <w:hyperlink r:id="rId166" w:history="1">
        <w:r w:rsidRPr="00475EDB">
          <w:rPr>
            <w:rFonts w:eastAsia="Calibri"/>
            <w:szCs w:val="24"/>
          </w:rPr>
          <w:t>http://espanol.doingbusiness.org/</w:t>
        </w:r>
      </w:hyperlink>
      <w:r w:rsidRPr="00475EDB">
        <w:rPr>
          <w:rFonts w:eastAsia="Calibri"/>
          <w:szCs w:val="24"/>
        </w:rPr>
        <w:t>)</w:t>
      </w:r>
    </w:p>
    <w:p w:rsidR="005A5E7D" w:rsidRPr="00F67DA3" w:rsidRDefault="005A5E7D" w:rsidP="005A5E7D">
      <w:pPr>
        <w:spacing w:after="120"/>
        <w:contextualSpacing/>
        <w:rPr>
          <w:rFonts w:eastAsia="Calibri"/>
          <w:szCs w:val="24"/>
        </w:rPr>
      </w:pPr>
      <w:r w:rsidRPr="00F67DA3">
        <w:rPr>
          <w:rFonts w:eastAsia="Calibri"/>
          <w:szCs w:val="24"/>
        </w:rPr>
        <w:t>Este índice también incluye a Puerto Rico.</w:t>
      </w:r>
      <w:r>
        <w:rPr>
          <w:rFonts w:eastAsia="Calibri"/>
          <w:szCs w:val="24"/>
        </w:rPr>
        <w:t xml:space="preserve"> </w:t>
      </w:r>
      <w:r w:rsidRPr="00F67DA3">
        <w:rPr>
          <w:rFonts w:eastAsia="Calibri"/>
          <w:szCs w:val="24"/>
        </w:rPr>
        <w:t>Enfocado en la relativa facilidad o dificultad de establecer y operar un negocio, este índice de competitividad evalúa las economías de 189 países en 10 clasificaciones diferentes, de forma cuantitativa. Para cada clasificación hay un número de</w:t>
      </w:r>
      <w:r>
        <w:rPr>
          <w:rFonts w:eastAsia="Calibri"/>
          <w:szCs w:val="24"/>
        </w:rPr>
        <w:t xml:space="preserve"> </w:t>
      </w:r>
      <w:r w:rsidRPr="00F67DA3">
        <w:rPr>
          <w:rFonts w:eastAsia="Calibri"/>
          <w:szCs w:val="24"/>
        </w:rPr>
        <w:t>indicadores. Las clasificaciones utilizadas con sus indicadores son los siguientes: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Apertura de un negocio </w:t>
      </w:r>
    </w:p>
    <w:p w:rsidR="005A5E7D" w:rsidRPr="00F67DA3" w:rsidRDefault="005A5E7D" w:rsidP="005A5E7D">
      <w:pPr>
        <w:spacing w:after="120"/>
        <w:ind w:left="907" w:firstLine="0"/>
        <w:contextualSpacing/>
        <w:rPr>
          <w:rFonts w:eastAsia="Calibri"/>
          <w:szCs w:val="24"/>
        </w:rPr>
      </w:pPr>
      <w:r w:rsidRPr="00F67DA3">
        <w:rPr>
          <w:rFonts w:eastAsia="Calibri"/>
          <w:szCs w:val="24"/>
        </w:rPr>
        <w:t>Procedimientos (número)</w:t>
      </w:r>
    </w:p>
    <w:p w:rsidR="005A5E7D" w:rsidRPr="00F67DA3" w:rsidRDefault="005A5E7D" w:rsidP="005A5E7D">
      <w:pPr>
        <w:tabs>
          <w:tab w:val="left" w:pos="2655"/>
        </w:tabs>
        <w:spacing w:after="120"/>
        <w:ind w:left="907" w:firstLine="0"/>
        <w:contextualSpacing/>
        <w:rPr>
          <w:rFonts w:eastAsia="Calibri"/>
          <w:szCs w:val="24"/>
        </w:rPr>
      </w:pPr>
      <w:r w:rsidRPr="00F67DA3">
        <w:rPr>
          <w:rFonts w:eastAsia="Calibri"/>
          <w:szCs w:val="24"/>
        </w:rPr>
        <w:t>Tiempo (días)</w:t>
      </w:r>
      <w:r w:rsidRPr="00F67DA3">
        <w:rPr>
          <w:rFonts w:eastAsia="Calibri"/>
          <w:szCs w:val="24"/>
        </w:rPr>
        <w:tab/>
      </w:r>
    </w:p>
    <w:p w:rsidR="005A5E7D" w:rsidRPr="00F67DA3" w:rsidRDefault="005A5E7D" w:rsidP="005A5E7D">
      <w:pPr>
        <w:spacing w:after="120"/>
        <w:ind w:left="907" w:firstLine="0"/>
        <w:contextualSpacing/>
        <w:rPr>
          <w:rFonts w:eastAsia="Calibri"/>
          <w:szCs w:val="24"/>
        </w:rPr>
      </w:pPr>
      <w:r w:rsidRPr="00F67DA3">
        <w:rPr>
          <w:rFonts w:eastAsia="Calibri"/>
          <w:szCs w:val="24"/>
        </w:rPr>
        <w:t>Costo (% del ingreso per cápita)</w:t>
      </w:r>
    </w:p>
    <w:p w:rsidR="005A5E7D" w:rsidRPr="00F67DA3" w:rsidRDefault="005A5E7D" w:rsidP="005A5E7D">
      <w:pPr>
        <w:spacing w:after="120"/>
        <w:ind w:left="900" w:firstLine="0"/>
        <w:contextualSpacing/>
        <w:rPr>
          <w:rFonts w:eastAsia="Calibri"/>
          <w:szCs w:val="24"/>
        </w:rPr>
      </w:pPr>
      <w:r w:rsidRPr="00F67DA3">
        <w:rPr>
          <w:rFonts w:eastAsia="Calibri"/>
          <w:szCs w:val="24"/>
        </w:rPr>
        <w:t>Requisito de capital mínimo pagado (% del ingreso per cápita)</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Manejo de permisos de construcción </w:t>
      </w:r>
    </w:p>
    <w:p w:rsidR="005A5E7D" w:rsidRPr="00F67DA3" w:rsidRDefault="005A5E7D" w:rsidP="005A5E7D">
      <w:pPr>
        <w:spacing w:after="120"/>
        <w:ind w:left="907" w:firstLine="0"/>
        <w:contextualSpacing/>
        <w:rPr>
          <w:rFonts w:eastAsia="Calibri"/>
          <w:szCs w:val="24"/>
        </w:rPr>
      </w:pPr>
      <w:r w:rsidRPr="00F67DA3">
        <w:rPr>
          <w:rFonts w:eastAsia="Calibri"/>
          <w:szCs w:val="24"/>
        </w:rPr>
        <w:t>Procedimientos (número)</w:t>
      </w:r>
    </w:p>
    <w:p w:rsidR="005A5E7D" w:rsidRPr="00F67DA3" w:rsidRDefault="005A5E7D" w:rsidP="005A5E7D">
      <w:pPr>
        <w:spacing w:after="120"/>
        <w:ind w:left="907" w:firstLine="0"/>
        <w:contextualSpacing/>
        <w:rPr>
          <w:rFonts w:eastAsia="Calibri"/>
          <w:szCs w:val="24"/>
        </w:rPr>
      </w:pPr>
      <w:r w:rsidRPr="00F67DA3">
        <w:rPr>
          <w:rFonts w:eastAsia="Calibri"/>
          <w:szCs w:val="24"/>
        </w:rPr>
        <w:t>Tiempo (días)</w:t>
      </w:r>
    </w:p>
    <w:p w:rsidR="005A5E7D" w:rsidRPr="00F67DA3" w:rsidRDefault="005A5E7D" w:rsidP="005A5E7D">
      <w:pPr>
        <w:spacing w:after="120"/>
        <w:ind w:left="907" w:firstLine="0"/>
        <w:contextualSpacing/>
        <w:rPr>
          <w:rFonts w:eastAsia="Calibri"/>
          <w:szCs w:val="24"/>
        </w:rPr>
      </w:pPr>
      <w:r w:rsidRPr="00F67DA3">
        <w:rPr>
          <w:rFonts w:eastAsia="Calibri"/>
          <w:szCs w:val="24"/>
        </w:rPr>
        <w:t>Costo (% del ingreso per cápita)</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Obtención de electricidad </w:t>
      </w:r>
    </w:p>
    <w:p w:rsidR="005A5E7D" w:rsidRPr="00F67DA3" w:rsidRDefault="005A5E7D" w:rsidP="005A5E7D">
      <w:pPr>
        <w:spacing w:after="120"/>
        <w:ind w:left="907" w:firstLine="0"/>
        <w:contextualSpacing/>
        <w:rPr>
          <w:rFonts w:eastAsia="Calibri"/>
          <w:szCs w:val="24"/>
        </w:rPr>
      </w:pPr>
      <w:r w:rsidRPr="00F67DA3">
        <w:rPr>
          <w:rFonts w:eastAsia="Calibri"/>
          <w:szCs w:val="24"/>
        </w:rPr>
        <w:t>Procedimientos (número)</w:t>
      </w:r>
    </w:p>
    <w:p w:rsidR="005A5E7D" w:rsidRPr="00F67DA3" w:rsidRDefault="005A5E7D" w:rsidP="005A5E7D">
      <w:pPr>
        <w:spacing w:after="120"/>
        <w:ind w:left="907" w:firstLine="0"/>
        <w:contextualSpacing/>
        <w:rPr>
          <w:rFonts w:eastAsia="Calibri"/>
          <w:szCs w:val="24"/>
        </w:rPr>
      </w:pPr>
      <w:r w:rsidRPr="00F67DA3">
        <w:rPr>
          <w:rFonts w:eastAsia="Calibri"/>
          <w:szCs w:val="24"/>
        </w:rPr>
        <w:t>Tiempo (días)</w:t>
      </w:r>
    </w:p>
    <w:p w:rsidR="005A5E7D" w:rsidRPr="00F67DA3" w:rsidRDefault="005A5E7D" w:rsidP="005A5E7D">
      <w:pPr>
        <w:spacing w:after="120"/>
        <w:ind w:left="907" w:firstLine="0"/>
        <w:contextualSpacing/>
        <w:rPr>
          <w:rFonts w:eastAsia="Calibri"/>
          <w:szCs w:val="24"/>
        </w:rPr>
      </w:pPr>
      <w:r w:rsidRPr="00F67DA3">
        <w:rPr>
          <w:rFonts w:eastAsia="Calibri"/>
          <w:szCs w:val="24"/>
        </w:rPr>
        <w:t>Costo (% del ingreso per cápita)</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Registro de propiedades </w:t>
      </w:r>
    </w:p>
    <w:p w:rsidR="005A5E7D" w:rsidRPr="00F67DA3" w:rsidRDefault="005A5E7D" w:rsidP="005A5E7D">
      <w:pPr>
        <w:spacing w:after="120"/>
        <w:ind w:left="907" w:firstLine="0"/>
        <w:contextualSpacing/>
        <w:rPr>
          <w:rFonts w:eastAsia="Calibri"/>
          <w:szCs w:val="24"/>
        </w:rPr>
      </w:pPr>
      <w:r w:rsidRPr="00F67DA3">
        <w:rPr>
          <w:rFonts w:eastAsia="Calibri"/>
          <w:szCs w:val="24"/>
        </w:rPr>
        <w:t>Procedimientos (número)</w:t>
      </w:r>
    </w:p>
    <w:p w:rsidR="005A5E7D" w:rsidRPr="00F67DA3" w:rsidRDefault="005A5E7D" w:rsidP="005A5E7D">
      <w:pPr>
        <w:spacing w:after="120"/>
        <w:ind w:left="907" w:firstLine="0"/>
        <w:contextualSpacing/>
        <w:rPr>
          <w:rFonts w:eastAsia="Calibri"/>
          <w:szCs w:val="24"/>
        </w:rPr>
      </w:pPr>
      <w:r w:rsidRPr="00F67DA3">
        <w:rPr>
          <w:rFonts w:eastAsia="Calibri"/>
          <w:szCs w:val="24"/>
        </w:rPr>
        <w:t>Tiempo (días)</w:t>
      </w:r>
    </w:p>
    <w:p w:rsidR="005A5E7D" w:rsidRPr="00F67DA3" w:rsidRDefault="005A5E7D" w:rsidP="005A5E7D">
      <w:pPr>
        <w:spacing w:after="120"/>
        <w:ind w:left="907" w:firstLine="0"/>
        <w:contextualSpacing/>
        <w:rPr>
          <w:rFonts w:eastAsia="Calibri"/>
          <w:szCs w:val="24"/>
        </w:rPr>
      </w:pPr>
      <w:r w:rsidRPr="00F67DA3">
        <w:rPr>
          <w:rFonts w:eastAsia="Calibri"/>
          <w:szCs w:val="24"/>
        </w:rPr>
        <w:t>Costo (% del ingreso per cápita)</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Obtención de crédito </w:t>
      </w:r>
    </w:p>
    <w:p w:rsidR="005A5E7D" w:rsidRPr="00F67DA3" w:rsidRDefault="005A5E7D" w:rsidP="005A5E7D">
      <w:pPr>
        <w:spacing w:after="120"/>
        <w:ind w:left="907" w:firstLine="0"/>
        <w:contextualSpacing/>
        <w:rPr>
          <w:rFonts w:eastAsia="Calibri"/>
          <w:szCs w:val="24"/>
        </w:rPr>
      </w:pPr>
      <w:r w:rsidRPr="00F67DA3">
        <w:rPr>
          <w:rFonts w:eastAsia="Calibri"/>
          <w:szCs w:val="24"/>
        </w:rPr>
        <w:t>Índice de fortaleza de los derechos legales (escala de 0 a 10)</w:t>
      </w:r>
    </w:p>
    <w:p w:rsidR="005A5E7D" w:rsidRPr="00F67DA3" w:rsidRDefault="005A5E7D" w:rsidP="005A5E7D">
      <w:pPr>
        <w:spacing w:after="120"/>
        <w:ind w:left="907" w:firstLine="0"/>
        <w:contextualSpacing/>
        <w:rPr>
          <w:rFonts w:eastAsia="Calibri"/>
          <w:szCs w:val="24"/>
        </w:rPr>
      </w:pPr>
      <w:r w:rsidRPr="00F67DA3">
        <w:rPr>
          <w:rFonts w:eastAsia="Calibri"/>
          <w:szCs w:val="24"/>
        </w:rPr>
        <w:t>Índice de alcance de la información crediticia (escala de 0 a 6)</w:t>
      </w:r>
    </w:p>
    <w:p w:rsidR="005A5E7D" w:rsidRPr="00F67DA3" w:rsidRDefault="005A5E7D" w:rsidP="005A5E7D">
      <w:pPr>
        <w:spacing w:after="120"/>
        <w:ind w:left="907" w:firstLine="0"/>
        <w:contextualSpacing/>
        <w:rPr>
          <w:rFonts w:eastAsia="Calibri"/>
          <w:szCs w:val="24"/>
        </w:rPr>
      </w:pPr>
      <w:r w:rsidRPr="00F67DA3">
        <w:rPr>
          <w:rFonts w:eastAsia="Calibri"/>
          <w:szCs w:val="24"/>
        </w:rPr>
        <w:t>Cobertura de registros públicos (% de adultos)</w:t>
      </w:r>
    </w:p>
    <w:p w:rsidR="005A5E7D" w:rsidRPr="00F67DA3" w:rsidRDefault="005A5E7D" w:rsidP="005A5E7D">
      <w:pPr>
        <w:spacing w:after="120"/>
        <w:ind w:left="907" w:firstLine="0"/>
        <w:contextualSpacing/>
        <w:rPr>
          <w:rFonts w:eastAsia="Calibri"/>
          <w:szCs w:val="24"/>
        </w:rPr>
      </w:pPr>
      <w:r w:rsidRPr="00F67DA3">
        <w:rPr>
          <w:rFonts w:eastAsia="Calibri"/>
          <w:szCs w:val="24"/>
        </w:rPr>
        <w:t>Cobertura de organismos privados (% de adultos)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Protección de los inversores </w:t>
      </w:r>
    </w:p>
    <w:p w:rsidR="005A5E7D" w:rsidRPr="00F67DA3" w:rsidRDefault="005A5E7D" w:rsidP="005A5E7D">
      <w:pPr>
        <w:spacing w:after="120"/>
        <w:ind w:left="907" w:firstLine="0"/>
        <w:contextualSpacing/>
        <w:rPr>
          <w:rFonts w:eastAsia="Calibri"/>
          <w:szCs w:val="24"/>
        </w:rPr>
      </w:pPr>
      <w:r w:rsidRPr="00F67DA3">
        <w:rPr>
          <w:rFonts w:eastAsia="Calibri"/>
          <w:szCs w:val="24"/>
        </w:rPr>
        <w:t>Índice de grado de transparencia (escala de 0 a 10)</w:t>
      </w:r>
    </w:p>
    <w:p w:rsidR="005A5E7D" w:rsidRPr="00F67DA3" w:rsidRDefault="005A5E7D" w:rsidP="005A5E7D">
      <w:pPr>
        <w:spacing w:after="120"/>
        <w:ind w:left="907" w:firstLine="0"/>
        <w:contextualSpacing/>
        <w:rPr>
          <w:rFonts w:eastAsia="Calibri"/>
          <w:szCs w:val="24"/>
        </w:rPr>
      </w:pPr>
      <w:r w:rsidRPr="00F67DA3">
        <w:rPr>
          <w:rFonts w:eastAsia="Calibri"/>
          <w:szCs w:val="24"/>
        </w:rPr>
        <w:t>Índice de responsabilidad de los directores (escala de 0 a 10)</w:t>
      </w:r>
    </w:p>
    <w:p w:rsidR="005A5E7D" w:rsidRPr="00F67DA3" w:rsidRDefault="005A5E7D" w:rsidP="005A5E7D">
      <w:pPr>
        <w:spacing w:after="120"/>
        <w:ind w:left="907" w:firstLine="0"/>
        <w:contextualSpacing/>
        <w:rPr>
          <w:rFonts w:eastAsia="Calibri"/>
          <w:szCs w:val="24"/>
        </w:rPr>
      </w:pPr>
      <w:r w:rsidRPr="00F67DA3">
        <w:rPr>
          <w:rFonts w:eastAsia="Calibri"/>
          <w:szCs w:val="24"/>
        </w:rPr>
        <w:t>Índice de facilidad para juicios de accionistas (escala de 0 a 10)</w:t>
      </w:r>
    </w:p>
    <w:p w:rsidR="005A5E7D" w:rsidRPr="00F67DA3" w:rsidRDefault="005A5E7D" w:rsidP="005A5E7D">
      <w:pPr>
        <w:spacing w:after="120"/>
        <w:ind w:left="907" w:firstLine="0"/>
        <w:contextualSpacing/>
        <w:rPr>
          <w:rFonts w:eastAsia="Calibri"/>
          <w:szCs w:val="24"/>
        </w:rPr>
      </w:pPr>
      <w:r w:rsidRPr="00F67DA3">
        <w:rPr>
          <w:rFonts w:eastAsia="Calibri"/>
          <w:szCs w:val="24"/>
        </w:rPr>
        <w:t>Índice fortaleza de protección de inversores (escala de 0 a 10)</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Pago de impuestos</w:t>
      </w:r>
    </w:p>
    <w:p w:rsidR="005A5E7D" w:rsidRPr="00F67DA3" w:rsidRDefault="005A5E7D" w:rsidP="005A5E7D">
      <w:pPr>
        <w:spacing w:after="120"/>
        <w:ind w:left="907" w:firstLine="0"/>
        <w:contextualSpacing/>
        <w:rPr>
          <w:rFonts w:eastAsia="Calibri"/>
          <w:szCs w:val="24"/>
        </w:rPr>
      </w:pPr>
      <w:r w:rsidRPr="00F67DA3">
        <w:rPr>
          <w:rFonts w:eastAsia="Calibri"/>
          <w:szCs w:val="24"/>
        </w:rPr>
        <w:t>Pagos (número por año)</w:t>
      </w:r>
    </w:p>
    <w:p w:rsidR="005A5E7D" w:rsidRPr="00F67DA3" w:rsidRDefault="005A5E7D" w:rsidP="005A5E7D">
      <w:pPr>
        <w:spacing w:after="120"/>
        <w:ind w:left="907" w:firstLine="0"/>
        <w:contextualSpacing/>
        <w:rPr>
          <w:rFonts w:eastAsia="Calibri"/>
          <w:szCs w:val="24"/>
        </w:rPr>
      </w:pPr>
      <w:r w:rsidRPr="00F67DA3">
        <w:rPr>
          <w:rFonts w:eastAsia="Calibri"/>
          <w:szCs w:val="24"/>
        </w:rPr>
        <w:t>Tiempo (horas por año)</w:t>
      </w:r>
    </w:p>
    <w:p w:rsidR="005A5E7D" w:rsidRPr="00F67DA3" w:rsidRDefault="005A5E7D" w:rsidP="005A5E7D">
      <w:pPr>
        <w:spacing w:after="120"/>
        <w:ind w:left="907" w:firstLine="0"/>
        <w:contextualSpacing/>
        <w:rPr>
          <w:rFonts w:eastAsia="Calibri"/>
          <w:szCs w:val="24"/>
        </w:rPr>
      </w:pPr>
      <w:r w:rsidRPr="00F67DA3">
        <w:rPr>
          <w:rFonts w:eastAsia="Calibri"/>
          <w:szCs w:val="24"/>
        </w:rPr>
        <w:t>Impuesto a las ganancias (%)</w:t>
      </w:r>
    </w:p>
    <w:p w:rsidR="005A5E7D" w:rsidRPr="00F67DA3" w:rsidRDefault="005A5E7D" w:rsidP="005A5E7D">
      <w:pPr>
        <w:spacing w:after="120"/>
        <w:ind w:left="907" w:firstLine="0"/>
        <w:contextualSpacing/>
        <w:rPr>
          <w:rFonts w:eastAsia="Calibri"/>
          <w:szCs w:val="24"/>
        </w:rPr>
      </w:pPr>
      <w:r w:rsidRPr="00F67DA3">
        <w:rPr>
          <w:rFonts w:eastAsia="Calibri"/>
          <w:szCs w:val="24"/>
        </w:rPr>
        <w:t>Impuestos laborales y contribuciones (%)</w:t>
      </w:r>
    </w:p>
    <w:p w:rsidR="005A5E7D" w:rsidRPr="00F67DA3" w:rsidRDefault="005A5E7D" w:rsidP="005A5E7D">
      <w:pPr>
        <w:spacing w:after="120"/>
        <w:ind w:left="907" w:firstLine="0"/>
        <w:contextualSpacing/>
        <w:rPr>
          <w:rFonts w:eastAsia="Calibri"/>
          <w:szCs w:val="24"/>
        </w:rPr>
      </w:pPr>
      <w:r w:rsidRPr="00F67DA3">
        <w:rPr>
          <w:rFonts w:eastAsia="Calibri"/>
          <w:szCs w:val="24"/>
        </w:rPr>
        <w:t>Otros impuestos (%)</w:t>
      </w:r>
    </w:p>
    <w:p w:rsidR="005A5E7D" w:rsidRPr="00F67DA3" w:rsidRDefault="005A5E7D" w:rsidP="005A5E7D">
      <w:pPr>
        <w:spacing w:after="120"/>
        <w:ind w:left="907" w:firstLine="0"/>
        <w:contextualSpacing/>
        <w:rPr>
          <w:rFonts w:eastAsia="Calibri"/>
          <w:szCs w:val="24"/>
        </w:rPr>
      </w:pPr>
      <w:r w:rsidRPr="00F67DA3">
        <w:rPr>
          <w:rFonts w:eastAsia="Calibri"/>
          <w:szCs w:val="24"/>
        </w:rPr>
        <w:t>Tasa de impuestos total (% de ganancia)</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Comercio transfronterizo </w:t>
      </w:r>
    </w:p>
    <w:p w:rsidR="005A5E7D" w:rsidRPr="00F67DA3" w:rsidRDefault="005A5E7D" w:rsidP="005A5E7D">
      <w:pPr>
        <w:spacing w:after="120"/>
        <w:ind w:left="907" w:firstLine="0"/>
        <w:contextualSpacing/>
        <w:rPr>
          <w:rFonts w:eastAsia="Calibri"/>
          <w:szCs w:val="24"/>
        </w:rPr>
      </w:pPr>
      <w:r w:rsidRPr="00F67DA3">
        <w:rPr>
          <w:rFonts w:eastAsia="Calibri"/>
          <w:szCs w:val="24"/>
        </w:rPr>
        <w:t>Documentos para exportar (número)</w:t>
      </w:r>
    </w:p>
    <w:p w:rsidR="005A5E7D" w:rsidRPr="00F67DA3" w:rsidRDefault="005A5E7D" w:rsidP="005A5E7D">
      <w:pPr>
        <w:spacing w:after="120"/>
        <w:ind w:left="907" w:firstLine="0"/>
        <w:contextualSpacing/>
        <w:rPr>
          <w:rFonts w:eastAsia="Calibri"/>
          <w:szCs w:val="24"/>
        </w:rPr>
      </w:pPr>
      <w:r w:rsidRPr="00F67DA3">
        <w:rPr>
          <w:rFonts w:eastAsia="Calibri"/>
          <w:szCs w:val="24"/>
        </w:rPr>
        <w:t>Tiempo para exportar (días)</w:t>
      </w:r>
    </w:p>
    <w:p w:rsidR="005A5E7D" w:rsidRPr="00F67DA3" w:rsidRDefault="005A5E7D" w:rsidP="005A5E7D">
      <w:pPr>
        <w:spacing w:after="120"/>
        <w:ind w:left="907" w:firstLine="0"/>
        <w:contextualSpacing/>
        <w:rPr>
          <w:rFonts w:eastAsia="Calibri"/>
          <w:szCs w:val="24"/>
        </w:rPr>
      </w:pPr>
      <w:r w:rsidRPr="00F67DA3">
        <w:rPr>
          <w:rFonts w:eastAsia="Calibri"/>
          <w:szCs w:val="24"/>
        </w:rPr>
        <w:t>Costo de exportación (dólares por contenedor)</w:t>
      </w:r>
    </w:p>
    <w:p w:rsidR="005A5E7D" w:rsidRPr="00F67DA3" w:rsidRDefault="005A5E7D" w:rsidP="005A5E7D">
      <w:pPr>
        <w:spacing w:after="120"/>
        <w:ind w:left="907" w:firstLine="0"/>
        <w:contextualSpacing/>
        <w:rPr>
          <w:rFonts w:eastAsia="Calibri"/>
          <w:szCs w:val="24"/>
        </w:rPr>
      </w:pPr>
      <w:r w:rsidRPr="00F67DA3">
        <w:rPr>
          <w:rFonts w:eastAsia="Calibri"/>
          <w:szCs w:val="24"/>
        </w:rPr>
        <w:t>Documentos para importar (número)</w:t>
      </w:r>
    </w:p>
    <w:p w:rsidR="005A5E7D" w:rsidRPr="00F67DA3" w:rsidRDefault="005A5E7D" w:rsidP="005A5E7D">
      <w:pPr>
        <w:spacing w:after="120"/>
        <w:ind w:left="907" w:firstLine="0"/>
        <w:contextualSpacing/>
        <w:rPr>
          <w:rFonts w:eastAsia="Calibri"/>
          <w:szCs w:val="24"/>
        </w:rPr>
      </w:pPr>
      <w:r w:rsidRPr="00F67DA3">
        <w:rPr>
          <w:rFonts w:eastAsia="Calibri"/>
          <w:szCs w:val="24"/>
        </w:rPr>
        <w:t>Tiempo para importar (días)</w:t>
      </w:r>
    </w:p>
    <w:p w:rsidR="005A5E7D" w:rsidRPr="00F67DA3" w:rsidRDefault="005A5E7D" w:rsidP="005A5E7D">
      <w:pPr>
        <w:spacing w:after="120"/>
        <w:ind w:left="907" w:firstLine="0"/>
        <w:contextualSpacing/>
        <w:rPr>
          <w:rFonts w:eastAsia="Calibri"/>
          <w:szCs w:val="24"/>
        </w:rPr>
      </w:pPr>
      <w:r w:rsidRPr="00F67DA3">
        <w:rPr>
          <w:rFonts w:eastAsia="Calibri"/>
          <w:szCs w:val="24"/>
        </w:rPr>
        <w:t>Costo de importación (dólares por contenedor)</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Cumplimiento de contratos </w:t>
      </w:r>
    </w:p>
    <w:p w:rsidR="005A5E7D" w:rsidRPr="00F67DA3" w:rsidRDefault="005A5E7D" w:rsidP="005A5E7D">
      <w:pPr>
        <w:spacing w:after="120"/>
        <w:ind w:left="907" w:firstLine="0"/>
        <w:contextualSpacing/>
        <w:rPr>
          <w:rFonts w:eastAsia="Calibri"/>
          <w:szCs w:val="24"/>
        </w:rPr>
      </w:pPr>
      <w:r w:rsidRPr="00F67DA3">
        <w:rPr>
          <w:rFonts w:eastAsia="Calibri"/>
          <w:szCs w:val="24"/>
        </w:rPr>
        <w:t>Tiempo (días)</w:t>
      </w:r>
    </w:p>
    <w:p w:rsidR="005A5E7D" w:rsidRPr="00F67DA3" w:rsidRDefault="005A5E7D" w:rsidP="005A5E7D">
      <w:pPr>
        <w:spacing w:after="120"/>
        <w:ind w:left="907" w:firstLine="0"/>
        <w:contextualSpacing/>
        <w:rPr>
          <w:rFonts w:eastAsia="Calibri"/>
          <w:szCs w:val="24"/>
        </w:rPr>
      </w:pPr>
      <w:r w:rsidRPr="00F67DA3">
        <w:rPr>
          <w:rFonts w:eastAsia="Calibri"/>
          <w:szCs w:val="24"/>
        </w:rPr>
        <w:t>Costo (% de cantidad demandada)</w:t>
      </w:r>
    </w:p>
    <w:p w:rsidR="005A5E7D" w:rsidRPr="00F67DA3" w:rsidRDefault="005A5E7D" w:rsidP="005A5E7D">
      <w:pPr>
        <w:spacing w:after="120"/>
        <w:ind w:left="907" w:firstLine="0"/>
        <w:contextualSpacing/>
        <w:rPr>
          <w:rFonts w:eastAsia="Calibri"/>
          <w:szCs w:val="24"/>
        </w:rPr>
      </w:pPr>
      <w:r w:rsidRPr="00F67DA3">
        <w:rPr>
          <w:rFonts w:eastAsia="Calibri"/>
          <w:szCs w:val="24"/>
        </w:rPr>
        <w:t>Procedimientos (número)</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 xml:space="preserve">Resolución de la insolvencia </w:t>
      </w:r>
    </w:p>
    <w:p w:rsidR="005A5E7D" w:rsidRPr="00F67DA3" w:rsidRDefault="005A5E7D" w:rsidP="005A5E7D">
      <w:pPr>
        <w:spacing w:after="120"/>
        <w:ind w:left="907" w:firstLine="0"/>
        <w:contextualSpacing/>
        <w:rPr>
          <w:rFonts w:eastAsia="Calibri"/>
          <w:szCs w:val="24"/>
        </w:rPr>
      </w:pPr>
      <w:r w:rsidRPr="00F67DA3">
        <w:rPr>
          <w:rFonts w:eastAsia="Calibri"/>
          <w:szCs w:val="24"/>
        </w:rPr>
        <w:t>Tiempo (años)</w:t>
      </w:r>
    </w:p>
    <w:p w:rsidR="005A5E7D" w:rsidRPr="00F67DA3" w:rsidRDefault="005A5E7D" w:rsidP="005A5E7D">
      <w:pPr>
        <w:spacing w:after="120"/>
        <w:ind w:left="907" w:firstLine="0"/>
        <w:contextualSpacing/>
        <w:rPr>
          <w:rFonts w:eastAsia="Calibri"/>
          <w:szCs w:val="24"/>
        </w:rPr>
      </w:pPr>
      <w:r w:rsidRPr="00F67DA3">
        <w:rPr>
          <w:rFonts w:eastAsia="Calibri"/>
          <w:szCs w:val="24"/>
        </w:rPr>
        <w:t>Costo (% de los bienes)</w:t>
      </w:r>
    </w:p>
    <w:p w:rsidR="005A5E7D" w:rsidRPr="00F67DA3" w:rsidRDefault="005A5E7D" w:rsidP="005A5E7D">
      <w:pPr>
        <w:spacing w:after="120"/>
        <w:ind w:left="907" w:firstLine="0"/>
        <w:contextualSpacing/>
        <w:rPr>
          <w:rFonts w:eastAsia="Calibri"/>
          <w:szCs w:val="24"/>
        </w:rPr>
      </w:pPr>
      <w:r w:rsidRPr="00F67DA3">
        <w:rPr>
          <w:rFonts w:eastAsia="Calibri"/>
          <w:szCs w:val="24"/>
        </w:rPr>
        <w:t>Tasa de recuperación (centavos por dólar)</w:t>
      </w:r>
    </w:p>
    <w:p w:rsidR="005A5E7D" w:rsidRPr="00F67DA3" w:rsidRDefault="005A5E7D" w:rsidP="005A5E7D">
      <w:pPr>
        <w:spacing w:after="120"/>
        <w:contextualSpacing/>
        <w:rPr>
          <w:rFonts w:eastAsia="Calibri"/>
          <w:szCs w:val="24"/>
        </w:rPr>
      </w:pPr>
      <w:r w:rsidRPr="00F67DA3">
        <w:rPr>
          <w:rFonts w:eastAsia="Calibri"/>
          <w:szCs w:val="24"/>
        </w:rPr>
        <w:t xml:space="preserve">Las metodologías para cada una de las clasificaciones se pueden encontrar en </w:t>
      </w:r>
      <w:hyperlink r:id="rId167" w:history="1">
        <w:r w:rsidRPr="00475EDB">
          <w:rPr>
            <w:rFonts w:eastAsia="Calibri"/>
            <w:szCs w:val="24"/>
          </w:rPr>
          <w:t>http://espanol.doingbusiness.org/methodology</w:t>
        </w:r>
      </w:hyperlink>
      <w:r w:rsidRPr="00F67DA3">
        <w:rPr>
          <w:rFonts w:eastAsia="Calibri"/>
          <w:szCs w:val="24"/>
        </w:rPr>
        <w:t xml:space="preserve"> </w:t>
      </w:r>
    </w:p>
    <w:p w:rsidR="005A5E7D" w:rsidRPr="00F67DA3" w:rsidRDefault="005A5E7D" w:rsidP="005A5E7D">
      <w:pPr>
        <w:spacing w:after="120"/>
        <w:contextualSpacing/>
        <w:rPr>
          <w:rFonts w:eastAsia="Calibri"/>
          <w:szCs w:val="24"/>
        </w:rPr>
      </w:pPr>
      <w:r w:rsidRPr="00F67DA3">
        <w:rPr>
          <w:rFonts w:eastAsia="Calibri"/>
          <w:szCs w:val="24"/>
        </w:rPr>
        <w:t>El informe para Puerto Rico se puede encontrar en:</w:t>
      </w:r>
    </w:p>
    <w:p w:rsidR="005A5E7D" w:rsidRPr="00475EDB" w:rsidRDefault="008964A4" w:rsidP="005A5E7D">
      <w:pPr>
        <w:spacing w:after="120"/>
        <w:contextualSpacing/>
        <w:rPr>
          <w:rFonts w:eastAsia="Calibri"/>
          <w:szCs w:val="24"/>
        </w:rPr>
      </w:pPr>
      <w:hyperlink r:id="rId168" w:history="1">
        <w:r w:rsidR="005A5E7D" w:rsidRPr="00475EDB">
          <w:rPr>
            <w:rFonts w:eastAsia="Calibri"/>
            <w:szCs w:val="24"/>
          </w:rPr>
          <w:t>http://espanol.doingbusiness.org/data/exploreeconomies/puerto-rico</w:t>
        </w:r>
      </w:hyperlink>
    </w:p>
    <w:p w:rsidR="005A5E7D" w:rsidRPr="00F67DA3" w:rsidRDefault="005A5E7D" w:rsidP="005A5E7D">
      <w:pPr>
        <w:spacing w:after="120"/>
        <w:ind w:firstLine="0"/>
        <w:contextualSpacing/>
        <w:rPr>
          <w:rFonts w:eastAsia="Calibri"/>
          <w:szCs w:val="24"/>
        </w:rPr>
      </w:pPr>
    </w:p>
    <w:p w:rsidR="005A5E7D" w:rsidRPr="005B5FEE" w:rsidRDefault="005A5E7D" w:rsidP="005A5E7D">
      <w:pPr>
        <w:spacing w:after="120" w:line="259" w:lineRule="auto"/>
        <w:ind w:left="720" w:firstLine="0"/>
        <w:contextualSpacing/>
        <w:jc w:val="left"/>
        <w:rPr>
          <w:rFonts w:eastAsia="Calibri"/>
          <w:szCs w:val="24"/>
          <w:lang w:val="en-US"/>
        </w:rPr>
      </w:pPr>
      <w:r w:rsidRPr="005B5FEE">
        <w:rPr>
          <w:rFonts w:eastAsia="Calibri"/>
          <w:b/>
          <w:bCs/>
          <w:i/>
          <w:szCs w:val="24"/>
          <w:lang w:val="en-US"/>
        </w:rPr>
        <w:t>El Índice del World Competitiveness Yearbook- International Institute for Management Development</w:t>
      </w:r>
      <w:r w:rsidRPr="005B5FEE">
        <w:rPr>
          <w:rFonts w:eastAsia="Calibri"/>
          <w:b/>
          <w:bCs/>
          <w:szCs w:val="24"/>
          <w:lang w:val="en-US"/>
        </w:rPr>
        <w:t xml:space="preserve"> (IMD)</w:t>
      </w:r>
    </w:p>
    <w:p w:rsidR="005A5E7D" w:rsidRPr="00F67DA3" w:rsidRDefault="005A5E7D" w:rsidP="005A5E7D">
      <w:pPr>
        <w:spacing w:after="120"/>
        <w:ind w:firstLine="0"/>
        <w:contextualSpacing/>
        <w:rPr>
          <w:rFonts w:eastAsia="Calibri"/>
          <w:szCs w:val="24"/>
        </w:rPr>
      </w:pPr>
      <w:r w:rsidRPr="00F67DA3">
        <w:rPr>
          <w:rFonts w:eastAsia="Calibri"/>
          <w:szCs w:val="24"/>
          <w:u w:val="single"/>
        </w:rPr>
        <w:t>(</w:t>
      </w:r>
      <w:hyperlink r:id="rId169" w:history="1">
        <w:r w:rsidRPr="00475EDB">
          <w:rPr>
            <w:rFonts w:eastAsia="Calibri"/>
            <w:szCs w:val="24"/>
          </w:rPr>
          <w:t>http://www.imd.org/</w:t>
        </w:r>
      </w:hyperlink>
      <w:r w:rsidRPr="00475EDB">
        <w:rPr>
          <w:rFonts w:eastAsia="Calibri"/>
          <w:szCs w:val="24"/>
        </w:rPr>
        <w:t>)</w:t>
      </w:r>
    </w:p>
    <w:p w:rsidR="005A5E7D" w:rsidRPr="00F67DA3" w:rsidRDefault="005A5E7D" w:rsidP="005A5E7D">
      <w:pPr>
        <w:spacing w:after="120"/>
        <w:contextualSpacing/>
        <w:rPr>
          <w:rFonts w:eastAsia="Calibri"/>
          <w:szCs w:val="24"/>
        </w:rPr>
      </w:pPr>
      <w:r w:rsidRPr="00F67DA3">
        <w:rPr>
          <w:rFonts w:eastAsia="Calibri"/>
          <w:szCs w:val="24"/>
        </w:rPr>
        <w:t>Puerto Rico no está incluido en este índice.</w:t>
      </w:r>
      <w:r>
        <w:rPr>
          <w:rFonts w:eastAsia="Calibri"/>
          <w:szCs w:val="24"/>
        </w:rPr>
        <w:t xml:space="preserve"> </w:t>
      </w:r>
      <w:r w:rsidRPr="00F67DA3">
        <w:rPr>
          <w:rFonts w:eastAsia="Calibri"/>
          <w:szCs w:val="24"/>
        </w:rPr>
        <w:t>Este índice presenta las posiciones para 60 economías alrededor del mundo.</w:t>
      </w:r>
      <w:r>
        <w:rPr>
          <w:rFonts w:eastAsia="Calibri"/>
          <w:szCs w:val="24"/>
        </w:rPr>
        <w:t xml:space="preserve"> </w:t>
      </w:r>
      <w:r w:rsidRPr="00F67DA3">
        <w:rPr>
          <w:rFonts w:eastAsia="Calibri"/>
          <w:szCs w:val="24"/>
        </w:rPr>
        <w:t>Toma en consideración cuatro (4) factores; cada uno de ellos, a su vez, subdividido en cinco (5) sub-factores, para un total de 20 variables. Cada variable tiene el mismo peso de evaluación (5%).</w:t>
      </w:r>
    </w:p>
    <w:p w:rsidR="005A5E7D" w:rsidRPr="00F67DA3" w:rsidRDefault="005A5E7D" w:rsidP="005A5E7D">
      <w:pPr>
        <w:spacing w:after="120"/>
        <w:contextualSpacing/>
        <w:rPr>
          <w:rFonts w:eastAsia="Calibri"/>
          <w:szCs w:val="24"/>
        </w:rPr>
      </w:pPr>
      <w:r w:rsidRPr="00F67DA3">
        <w:rPr>
          <w:rFonts w:eastAsia="Calibri"/>
          <w:szCs w:val="24"/>
        </w:rPr>
        <w:t>Para calcular el índice, dos terceras partes de la información (130 datos) son recopilados a través de datos estadísticos y el resto (116 datos) son recopilados a través de encuestas a empresas sobre el mismo país donde se encuentran.</w:t>
      </w:r>
    </w:p>
    <w:p w:rsidR="005A5E7D" w:rsidRPr="00F67DA3" w:rsidRDefault="005A5E7D" w:rsidP="005A5E7D">
      <w:pPr>
        <w:spacing w:after="120"/>
        <w:ind w:firstLine="0"/>
        <w:contextualSpacing/>
        <w:rPr>
          <w:rFonts w:eastAsia="Calibri"/>
          <w:szCs w:val="24"/>
        </w:rPr>
      </w:pPr>
      <w:r w:rsidRPr="00F67DA3">
        <w:rPr>
          <w:rFonts w:eastAsia="Calibri"/>
          <w:szCs w:val="24"/>
        </w:rPr>
        <w:t>Los factores y sub-factores son los siguientes: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Desempeño económico</w:t>
      </w:r>
    </w:p>
    <w:p w:rsidR="005A5E7D" w:rsidRPr="00F67DA3" w:rsidRDefault="005A5E7D" w:rsidP="005A5E7D">
      <w:pPr>
        <w:spacing w:after="120"/>
        <w:ind w:left="907" w:firstLine="0"/>
        <w:contextualSpacing/>
        <w:rPr>
          <w:rFonts w:eastAsia="Calibri"/>
          <w:szCs w:val="24"/>
        </w:rPr>
      </w:pPr>
      <w:r w:rsidRPr="00F67DA3">
        <w:rPr>
          <w:rFonts w:eastAsia="Calibri"/>
          <w:szCs w:val="24"/>
        </w:rPr>
        <w:t>Economía doméstica</w:t>
      </w:r>
    </w:p>
    <w:p w:rsidR="005A5E7D" w:rsidRPr="00F67DA3" w:rsidRDefault="005A5E7D" w:rsidP="005A5E7D">
      <w:pPr>
        <w:spacing w:after="120"/>
        <w:ind w:left="907" w:firstLine="0"/>
        <w:contextualSpacing/>
        <w:rPr>
          <w:rFonts w:eastAsia="Calibri"/>
          <w:szCs w:val="24"/>
        </w:rPr>
      </w:pPr>
      <w:r w:rsidRPr="00F67DA3">
        <w:rPr>
          <w:rFonts w:eastAsia="Calibri"/>
          <w:szCs w:val="24"/>
        </w:rPr>
        <w:t>Comercio internacional</w:t>
      </w:r>
    </w:p>
    <w:p w:rsidR="005A5E7D" w:rsidRPr="00F67DA3" w:rsidRDefault="005A5E7D" w:rsidP="005A5E7D">
      <w:pPr>
        <w:spacing w:after="120"/>
        <w:ind w:left="907" w:firstLine="0"/>
        <w:contextualSpacing/>
        <w:rPr>
          <w:rFonts w:eastAsia="Calibri"/>
          <w:szCs w:val="24"/>
        </w:rPr>
      </w:pPr>
      <w:r w:rsidRPr="00F67DA3">
        <w:rPr>
          <w:rFonts w:eastAsia="Calibri"/>
          <w:szCs w:val="24"/>
        </w:rPr>
        <w:t>Inversión internacional</w:t>
      </w:r>
    </w:p>
    <w:p w:rsidR="005A5E7D" w:rsidRPr="00F67DA3" w:rsidRDefault="005A5E7D" w:rsidP="005A5E7D">
      <w:pPr>
        <w:spacing w:after="120"/>
        <w:ind w:left="907" w:firstLine="0"/>
        <w:contextualSpacing/>
        <w:rPr>
          <w:rFonts w:eastAsia="Calibri"/>
          <w:szCs w:val="24"/>
        </w:rPr>
      </w:pPr>
      <w:r w:rsidRPr="00F67DA3">
        <w:rPr>
          <w:rFonts w:eastAsia="Calibri"/>
          <w:szCs w:val="24"/>
        </w:rPr>
        <w:t>Empleo</w:t>
      </w:r>
    </w:p>
    <w:p w:rsidR="005A5E7D" w:rsidRPr="00F67DA3" w:rsidRDefault="005A5E7D" w:rsidP="005A5E7D">
      <w:pPr>
        <w:spacing w:after="120"/>
        <w:ind w:left="907" w:firstLine="0"/>
        <w:contextualSpacing/>
        <w:rPr>
          <w:rFonts w:eastAsia="Calibri"/>
          <w:szCs w:val="24"/>
        </w:rPr>
      </w:pPr>
      <w:r w:rsidRPr="00F67DA3">
        <w:rPr>
          <w:rFonts w:eastAsia="Calibri"/>
          <w:szCs w:val="24"/>
        </w:rPr>
        <w:t>Precios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Eficiencia gubernamental</w:t>
      </w:r>
    </w:p>
    <w:p w:rsidR="005A5E7D" w:rsidRPr="00F67DA3" w:rsidRDefault="005A5E7D" w:rsidP="005A5E7D">
      <w:pPr>
        <w:spacing w:after="120"/>
        <w:ind w:left="907" w:firstLine="0"/>
        <w:contextualSpacing/>
        <w:rPr>
          <w:rFonts w:eastAsia="Calibri"/>
          <w:szCs w:val="24"/>
        </w:rPr>
      </w:pPr>
      <w:r w:rsidRPr="00F67DA3">
        <w:rPr>
          <w:rFonts w:eastAsia="Calibri"/>
          <w:szCs w:val="24"/>
        </w:rPr>
        <w:t>Finanzas públicas</w:t>
      </w:r>
    </w:p>
    <w:p w:rsidR="005A5E7D" w:rsidRPr="00F67DA3" w:rsidRDefault="005A5E7D" w:rsidP="005A5E7D">
      <w:pPr>
        <w:spacing w:after="120"/>
        <w:ind w:left="907" w:firstLine="0"/>
        <w:contextualSpacing/>
        <w:rPr>
          <w:rFonts w:eastAsia="Calibri"/>
          <w:szCs w:val="24"/>
        </w:rPr>
      </w:pPr>
      <w:r w:rsidRPr="00F67DA3">
        <w:rPr>
          <w:rFonts w:eastAsia="Calibri"/>
          <w:szCs w:val="24"/>
        </w:rPr>
        <w:t>Política fiscal</w:t>
      </w:r>
    </w:p>
    <w:p w:rsidR="005A5E7D" w:rsidRPr="00F67DA3" w:rsidRDefault="005A5E7D" w:rsidP="005A5E7D">
      <w:pPr>
        <w:spacing w:after="120"/>
        <w:ind w:left="907" w:firstLine="0"/>
        <w:contextualSpacing/>
        <w:rPr>
          <w:rFonts w:eastAsia="Calibri"/>
          <w:szCs w:val="24"/>
        </w:rPr>
      </w:pPr>
      <w:r w:rsidRPr="00F67DA3">
        <w:rPr>
          <w:rFonts w:eastAsia="Calibri"/>
          <w:szCs w:val="24"/>
        </w:rPr>
        <w:t>Marco institucional</w:t>
      </w:r>
    </w:p>
    <w:p w:rsidR="005A5E7D" w:rsidRPr="00F67DA3" w:rsidRDefault="005A5E7D" w:rsidP="005A5E7D">
      <w:pPr>
        <w:spacing w:after="120"/>
        <w:ind w:left="907" w:firstLine="0"/>
        <w:contextualSpacing/>
        <w:rPr>
          <w:rFonts w:eastAsia="Calibri"/>
          <w:szCs w:val="24"/>
        </w:rPr>
      </w:pPr>
      <w:r w:rsidRPr="00F67DA3">
        <w:rPr>
          <w:rFonts w:eastAsia="Calibri"/>
          <w:szCs w:val="24"/>
        </w:rPr>
        <w:t>Legislación empresarial</w:t>
      </w:r>
    </w:p>
    <w:p w:rsidR="005A5E7D" w:rsidRPr="00F67DA3" w:rsidRDefault="005A5E7D" w:rsidP="005A5E7D">
      <w:pPr>
        <w:spacing w:after="120"/>
        <w:ind w:left="907" w:firstLine="0"/>
        <w:contextualSpacing/>
        <w:rPr>
          <w:rFonts w:eastAsia="Calibri"/>
          <w:szCs w:val="24"/>
        </w:rPr>
      </w:pPr>
      <w:r w:rsidRPr="00F67DA3">
        <w:rPr>
          <w:rFonts w:eastAsia="Calibri"/>
          <w:szCs w:val="24"/>
        </w:rPr>
        <w:t>Marco social</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Eficiencia empresarial</w:t>
      </w:r>
    </w:p>
    <w:p w:rsidR="005A5E7D" w:rsidRPr="00F67DA3" w:rsidRDefault="005A5E7D" w:rsidP="005A5E7D">
      <w:pPr>
        <w:spacing w:after="120"/>
        <w:ind w:left="907" w:firstLine="0"/>
        <w:contextualSpacing/>
        <w:rPr>
          <w:rFonts w:eastAsia="Calibri"/>
          <w:szCs w:val="24"/>
        </w:rPr>
      </w:pPr>
      <w:r w:rsidRPr="00F67DA3">
        <w:rPr>
          <w:rFonts w:eastAsia="Calibri"/>
          <w:szCs w:val="24"/>
        </w:rPr>
        <w:t>Productividad</w:t>
      </w:r>
    </w:p>
    <w:p w:rsidR="005A5E7D" w:rsidRPr="00F67DA3" w:rsidRDefault="005A5E7D" w:rsidP="005A5E7D">
      <w:pPr>
        <w:spacing w:after="120"/>
        <w:ind w:left="907" w:firstLine="0"/>
        <w:contextualSpacing/>
        <w:rPr>
          <w:rFonts w:eastAsia="Calibri"/>
          <w:szCs w:val="24"/>
        </w:rPr>
      </w:pPr>
      <w:r w:rsidRPr="00F67DA3">
        <w:rPr>
          <w:rFonts w:eastAsia="Calibri"/>
          <w:szCs w:val="24"/>
        </w:rPr>
        <w:t>Mercado laboral</w:t>
      </w:r>
    </w:p>
    <w:p w:rsidR="005A5E7D" w:rsidRPr="00F67DA3" w:rsidRDefault="005A5E7D" w:rsidP="005A5E7D">
      <w:pPr>
        <w:spacing w:after="120"/>
        <w:ind w:left="907" w:firstLine="0"/>
        <w:contextualSpacing/>
        <w:rPr>
          <w:rFonts w:eastAsia="Calibri"/>
          <w:szCs w:val="24"/>
        </w:rPr>
      </w:pPr>
      <w:r w:rsidRPr="00F67DA3">
        <w:rPr>
          <w:rFonts w:eastAsia="Calibri"/>
          <w:szCs w:val="24"/>
        </w:rPr>
        <w:t>Finanzas</w:t>
      </w:r>
    </w:p>
    <w:p w:rsidR="005A5E7D" w:rsidRPr="00F67DA3" w:rsidRDefault="005A5E7D" w:rsidP="005A5E7D">
      <w:pPr>
        <w:spacing w:after="120"/>
        <w:ind w:left="907" w:firstLine="0"/>
        <w:contextualSpacing/>
        <w:rPr>
          <w:rFonts w:eastAsia="Calibri"/>
          <w:szCs w:val="24"/>
        </w:rPr>
      </w:pPr>
      <w:r w:rsidRPr="00F67DA3">
        <w:rPr>
          <w:rFonts w:eastAsia="Calibri"/>
          <w:szCs w:val="24"/>
        </w:rPr>
        <w:t>Prácticas de manejo</w:t>
      </w:r>
    </w:p>
    <w:p w:rsidR="005A5E7D" w:rsidRPr="00F67DA3" w:rsidRDefault="005A5E7D" w:rsidP="005A5E7D">
      <w:pPr>
        <w:spacing w:after="120"/>
        <w:ind w:left="907" w:firstLine="0"/>
        <w:contextualSpacing/>
        <w:rPr>
          <w:rFonts w:eastAsia="Calibri"/>
          <w:szCs w:val="24"/>
        </w:rPr>
      </w:pPr>
      <w:r w:rsidRPr="00F67DA3">
        <w:rPr>
          <w:rFonts w:eastAsia="Calibri"/>
          <w:szCs w:val="24"/>
        </w:rPr>
        <w:t>Actitudes y valores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Infraestructura</w:t>
      </w:r>
    </w:p>
    <w:p w:rsidR="005A5E7D" w:rsidRPr="00F67DA3" w:rsidRDefault="005A5E7D" w:rsidP="005A5E7D">
      <w:pPr>
        <w:spacing w:after="120"/>
        <w:ind w:left="907" w:firstLine="0"/>
        <w:contextualSpacing/>
        <w:rPr>
          <w:rFonts w:eastAsia="Calibri"/>
          <w:szCs w:val="24"/>
        </w:rPr>
      </w:pPr>
      <w:r w:rsidRPr="00F67DA3">
        <w:rPr>
          <w:rFonts w:eastAsia="Calibri"/>
          <w:szCs w:val="24"/>
        </w:rPr>
        <w:t>Infraestructura básica</w:t>
      </w:r>
    </w:p>
    <w:p w:rsidR="005A5E7D" w:rsidRPr="00F67DA3" w:rsidRDefault="005A5E7D" w:rsidP="005A5E7D">
      <w:pPr>
        <w:spacing w:after="120"/>
        <w:ind w:left="907" w:firstLine="0"/>
        <w:contextualSpacing/>
        <w:rPr>
          <w:rFonts w:eastAsia="Calibri"/>
          <w:szCs w:val="24"/>
        </w:rPr>
      </w:pPr>
      <w:r w:rsidRPr="00F67DA3">
        <w:rPr>
          <w:rFonts w:eastAsia="Calibri"/>
          <w:szCs w:val="24"/>
        </w:rPr>
        <w:t>Infraestructura tecnológica</w:t>
      </w:r>
    </w:p>
    <w:p w:rsidR="005A5E7D" w:rsidRPr="00F67DA3" w:rsidRDefault="005A5E7D" w:rsidP="005A5E7D">
      <w:pPr>
        <w:spacing w:after="120"/>
        <w:ind w:left="907" w:firstLine="0"/>
        <w:contextualSpacing/>
        <w:rPr>
          <w:rFonts w:eastAsia="Calibri"/>
          <w:szCs w:val="24"/>
        </w:rPr>
      </w:pPr>
      <w:r w:rsidRPr="00F67DA3">
        <w:rPr>
          <w:rFonts w:eastAsia="Calibri"/>
          <w:szCs w:val="24"/>
        </w:rPr>
        <w:t>Infraestructura científica</w:t>
      </w:r>
    </w:p>
    <w:p w:rsidR="005A5E7D" w:rsidRPr="00F67DA3" w:rsidRDefault="005A5E7D" w:rsidP="005A5E7D">
      <w:pPr>
        <w:spacing w:after="120"/>
        <w:ind w:left="907" w:firstLine="0"/>
        <w:contextualSpacing/>
        <w:rPr>
          <w:rFonts w:eastAsia="Calibri"/>
          <w:szCs w:val="24"/>
        </w:rPr>
      </w:pPr>
      <w:r w:rsidRPr="00F67DA3">
        <w:rPr>
          <w:rFonts w:eastAsia="Calibri"/>
          <w:szCs w:val="24"/>
        </w:rPr>
        <w:t>Salud y medio ambiente</w:t>
      </w:r>
    </w:p>
    <w:p w:rsidR="005A5E7D" w:rsidRPr="00F67DA3" w:rsidRDefault="005A5E7D" w:rsidP="005A5E7D">
      <w:pPr>
        <w:spacing w:after="120"/>
        <w:ind w:left="907" w:firstLine="0"/>
        <w:contextualSpacing/>
        <w:rPr>
          <w:rFonts w:eastAsia="Calibri"/>
          <w:szCs w:val="24"/>
        </w:rPr>
      </w:pPr>
      <w:r w:rsidRPr="00F67DA3">
        <w:rPr>
          <w:rFonts w:eastAsia="Calibri"/>
          <w:szCs w:val="24"/>
        </w:rPr>
        <w:t>Educación</w:t>
      </w:r>
    </w:p>
    <w:p w:rsidR="005A5E7D" w:rsidRPr="00F67DA3" w:rsidRDefault="005A5E7D" w:rsidP="005A5E7D">
      <w:pPr>
        <w:spacing w:after="120"/>
        <w:contextualSpacing/>
        <w:rPr>
          <w:rFonts w:eastAsia="Calibri"/>
          <w:szCs w:val="24"/>
        </w:rPr>
      </w:pPr>
      <w:r w:rsidRPr="00F67DA3">
        <w:rPr>
          <w:rFonts w:eastAsia="Calibri"/>
          <w:szCs w:val="24"/>
        </w:rPr>
        <w:t>La metodología para computar el índice queda explicada en:</w:t>
      </w:r>
    </w:p>
    <w:p w:rsidR="005A5E7D" w:rsidRPr="00475EDB" w:rsidRDefault="008964A4" w:rsidP="005A5E7D">
      <w:pPr>
        <w:spacing w:after="120"/>
        <w:ind w:left="720" w:firstLine="0"/>
        <w:contextualSpacing/>
        <w:rPr>
          <w:rFonts w:eastAsia="Calibri"/>
          <w:szCs w:val="24"/>
        </w:rPr>
      </w:pPr>
      <w:hyperlink r:id="rId170" w:history="1">
        <w:r w:rsidR="005A5E7D" w:rsidRPr="00475EDB">
          <w:rPr>
            <w:rFonts w:eastAsia="Calibri"/>
            <w:szCs w:val="24"/>
          </w:rPr>
          <w:t>http://www.imd.org/wcc/research-methodology/</w:t>
        </w:r>
      </w:hyperlink>
      <w:r w:rsidR="005A5E7D" w:rsidRPr="00475EDB">
        <w:rPr>
          <w:rFonts w:eastAsia="Calibri"/>
          <w:szCs w:val="24"/>
        </w:rPr>
        <w:t xml:space="preserve"> </w:t>
      </w:r>
      <w:hyperlink r:id="rId171" w:history="1">
        <w:r w:rsidR="005A5E7D" w:rsidRPr="00475EDB">
          <w:rPr>
            <w:rFonts w:eastAsia="Calibri"/>
            <w:szCs w:val="24"/>
          </w:rPr>
          <w:t>http://www.imd.org/uupload/imd.website/wcc/methodology.pdf</w:t>
        </w:r>
      </w:hyperlink>
      <w:r w:rsidR="005A5E7D" w:rsidRPr="00475EDB">
        <w:rPr>
          <w:rFonts w:eastAsia="Calibri"/>
          <w:szCs w:val="24"/>
        </w:rPr>
        <w:t xml:space="preserve"> </w:t>
      </w:r>
    </w:p>
    <w:p w:rsidR="005A5E7D" w:rsidRPr="00F67DA3" w:rsidRDefault="005A5E7D" w:rsidP="005A5E7D">
      <w:r w:rsidRPr="00F67DA3">
        <w:t>Los resultados en resumen de este índice se presentan en el siguiente enlace, pero no de forma detallada, ya que es un servicio de suscripción:</w:t>
      </w:r>
    </w:p>
    <w:p w:rsidR="005A5E7D" w:rsidRPr="00475EDB" w:rsidRDefault="008964A4" w:rsidP="005A5E7D">
      <w:pPr>
        <w:spacing w:after="120"/>
        <w:contextualSpacing/>
        <w:rPr>
          <w:rFonts w:eastAsia="Calibri"/>
          <w:szCs w:val="24"/>
        </w:rPr>
      </w:pPr>
      <w:hyperlink r:id="rId172" w:history="1">
        <w:r w:rsidR="005A5E7D" w:rsidRPr="00475EDB">
          <w:rPr>
            <w:rFonts w:eastAsia="Calibri"/>
            <w:szCs w:val="24"/>
          </w:rPr>
          <w:t>http://www.imd.org/uupload/IMD.WebSite/wcc/WCYResults/1/scoreboard.pdf</w:t>
        </w:r>
      </w:hyperlink>
      <w:r w:rsidR="005A5E7D" w:rsidRPr="00475EDB">
        <w:rPr>
          <w:rFonts w:eastAsia="Calibri"/>
          <w:szCs w:val="24"/>
        </w:rPr>
        <w:t xml:space="preserve"> </w:t>
      </w:r>
    </w:p>
    <w:p w:rsidR="005A5E7D" w:rsidRPr="00F67DA3" w:rsidRDefault="005A5E7D" w:rsidP="005A5E7D">
      <w:pPr>
        <w:spacing w:after="120"/>
        <w:ind w:firstLine="0"/>
        <w:contextualSpacing/>
        <w:rPr>
          <w:rFonts w:eastAsia="Calibri"/>
          <w:b/>
          <w:bCs/>
          <w:szCs w:val="24"/>
        </w:rPr>
      </w:pPr>
    </w:p>
    <w:p w:rsidR="005A5E7D" w:rsidRPr="00F67DA3" w:rsidRDefault="005A5E7D" w:rsidP="005A5E7D">
      <w:pPr>
        <w:spacing w:after="120" w:line="259" w:lineRule="auto"/>
        <w:ind w:left="720" w:firstLine="0"/>
        <w:contextualSpacing/>
        <w:jc w:val="left"/>
        <w:rPr>
          <w:rFonts w:eastAsia="Calibri"/>
          <w:i/>
          <w:szCs w:val="24"/>
        </w:rPr>
      </w:pPr>
      <w:r w:rsidRPr="00F67DA3">
        <w:rPr>
          <w:rFonts w:eastAsia="Calibri"/>
          <w:b/>
          <w:bCs/>
          <w:i/>
          <w:szCs w:val="24"/>
        </w:rPr>
        <w:t>El Índice de Competitividad Internacional del Instituto Mexicano para la Competitividad</w:t>
      </w:r>
    </w:p>
    <w:p w:rsidR="005A5E7D" w:rsidRPr="00475EDB" w:rsidRDefault="005A5E7D" w:rsidP="005A5E7D">
      <w:pPr>
        <w:spacing w:after="120"/>
        <w:ind w:firstLine="0"/>
        <w:contextualSpacing/>
        <w:rPr>
          <w:rFonts w:eastAsia="Calibri"/>
          <w:szCs w:val="24"/>
        </w:rPr>
      </w:pPr>
      <w:r w:rsidRPr="00475EDB">
        <w:rPr>
          <w:rFonts w:eastAsia="Calibri"/>
          <w:szCs w:val="24"/>
        </w:rPr>
        <w:t>(</w:t>
      </w:r>
      <w:hyperlink r:id="rId173" w:history="1">
        <w:r w:rsidRPr="00475EDB">
          <w:rPr>
            <w:rFonts w:eastAsia="Calibri"/>
            <w:szCs w:val="24"/>
          </w:rPr>
          <w:t>http://imco.org.mx/indices#</w:t>
        </w:r>
      </w:hyperlink>
      <w:r w:rsidRPr="00475EDB">
        <w:rPr>
          <w:rFonts w:eastAsia="Calibri"/>
          <w:szCs w:val="24"/>
        </w:rPr>
        <w:t>)</w:t>
      </w:r>
    </w:p>
    <w:p w:rsidR="005A5E7D" w:rsidRPr="00F67DA3" w:rsidRDefault="005A5E7D" w:rsidP="005A5E7D">
      <w:r w:rsidRPr="00F67DA3">
        <w:t xml:space="preserve"> Puerto Rico no está incluido en este índice.</w:t>
      </w:r>
      <w:r>
        <w:t xml:space="preserve"> </w:t>
      </w:r>
      <w:r w:rsidRPr="00F67DA3">
        <w:t>Según lo describe el propio instituto que lo elabora, “El Índice de Competitividad Internacional de IMCO evalúa y compara la capacidad de las economías más importantes y avanzadas del mundo para atraer y retener talento e inversión.” Utiliza varios subíndices para elaborar el índice general. Los mismos son:</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Sistema de Derecho confiable y objetivo.</w:t>
      </w:r>
    </w:p>
    <w:p w:rsidR="005A5E7D" w:rsidRPr="00F67DA3" w:rsidRDefault="005A5E7D" w:rsidP="005A5E7D">
      <w:r w:rsidRPr="00F67DA3">
        <w:t>Se d</w:t>
      </w:r>
      <w:r>
        <w:t>escribe de la siguiente manera:</w:t>
      </w:r>
      <w:r w:rsidRPr="00F67DA3">
        <w:t xml:space="preserve"> Este subíndice tiene por objeto calificar la existencia y observancia generalizada de reglas claras, libertades y garantías indispensables para un correcto desempeño económico. Para ello, incorpora los principales aspectos de certeza jurídica en la interacción entre personas, empresas y gobiernos en la economía y en la sociedad, como base fundamental para incentivar la inversión y la sana competencia. También evalúa los niveles de seguridad pública y de corrupción en una sociedad.</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Manejo sustentable del medio ambiente.</w:t>
      </w:r>
    </w:p>
    <w:p w:rsidR="005A5E7D" w:rsidRPr="00F67DA3" w:rsidRDefault="005A5E7D" w:rsidP="005A5E7D">
      <w:r w:rsidRPr="00F67DA3">
        <w:t>Se de</w:t>
      </w:r>
      <w:r>
        <w:t xml:space="preserve">scribe de la siguiente manera: </w:t>
      </w:r>
      <w:r w:rsidRPr="00F67DA3">
        <w:t>Este subíndice califica tanto el estado de conservación ambiental como la interacción entre los recursos naturales, las actividades productivas y la población. El subíndice refleja la sustentabilidad ambiental como condición indispensable para generar crecimiento y desarrollo en el largo plazo.</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Sociedad incluyente, preparada y sana.</w:t>
      </w:r>
    </w:p>
    <w:p w:rsidR="005A5E7D" w:rsidRPr="00F67DA3" w:rsidRDefault="005A5E7D" w:rsidP="005A5E7D">
      <w:r w:rsidRPr="00F67DA3">
        <w:t>Se de</w:t>
      </w:r>
      <w:r>
        <w:t xml:space="preserve">scribe de la siguiente manera: </w:t>
      </w:r>
      <w:r w:rsidRPr="00F67DA3">
        <w:t>Este subíndice califica los niveles de inclusión, salud y educación de una sociedad. Considera que el bienestar y las capacidades de la fuerza laboral constituyen una aproximación del capital humano de una sociedad, lo cual a su vez está determinado por el acceso a la educación, la salud y a la igualdad de oportunidades. En la era del conocimiento, el capital humano representa el principal componente de una sociedad competitiva y el principal determinante de su calidad de vida. </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Economía estable.</w:t>
      </w:r>
    </w:p>
    <w:p w:rsidR="005A5E7D" w:rsidRPr="00F67DA3" w:rsidRDefault="005A5E7D" w:rsidP="005A5E7D">
      <w:r w:rsidRPr="00F67DA3">
        <w:t>Se de</w:t>
      </w:r>
      <w:r>
        <w:t xml:space="preserve">scribe de la siguiente manera: </w:t>
      </w:r>
      <w:r w:rsidRPr="00F67DA3">
        <w:t>Este subíndice mide el desempeño y la estabilidad de la economía que otorga certidumbre a inversionistas, empresas e individuos para planear y tomar decisiones de corto y largo plazo. El subíndice incorpora medidas de riesgo relacionadas con el endeudamiento público y privado, así como el riesgo implícito en la volatilidad de la economía de cada país.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Sistema político estable y funcional.</w:t>
      </w:r>
    </w:p>
    <w:p w:rsidR="005A5E7D" w:rsidRPr="00F67DA3" w:rsidRDefault="005A5E7D" w:rsidP="005A5E7D">
      <w:r w:rsidRPr="00F67DA3">
        <w:t>Se de</w:t>
      </w:r>
      <w:r>
        <w:t xml:space="preserve">scribe de la siguiente manera: </w:t>
      </w:r>
      <w:r w:rsidRPr="00F67DA3">
        <w:t>Este subíndice califica la calidad del sistema político a partir de su legitimidad democrática, representatividad, estabilidad y efectividad. Se incluyen indicadores que incorporan los derechos políticos de los ciudadanos y su participación en los procesos electorales. También se consideran factores de riesgo que amenazan el desempeño de las instituciones democráticas.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Mercados de factores eficientes.</w:t>
      </w:r>
    </w:p>
    <w:p w:rsidR="005A5E7D" w:rsidRPr="00F67DA3" w:rsidRDefault="005A5E7D" w:rsidP="005A5E7D">
      <w:r w:rsidRPr="00F67DA3">
        <w:t>Se de</w:t>
      </w:r>
      <w:r>
        <w:t xml:space="preserve">scribe de la siguiente manera: </w:t>
      </w:r>
      <w:r w:rsidRPr="00F67DA3">
        <w:t>Este subíndice califica la eficiencia de los mercados de factores de producción –es decir, los mercados de los insumos que utilizan las empresas para sus actividades productivas. Para este fin, utilizamos indicadores que evalúan y comparan los costos y la productividad de distintos factores de producción, como el trabajo y la energía, además de los bienes de capital.</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Sectores precursores de clase mundial.</w:t>
      </w:r>
    </w:p>
    <w:p w:rsidR="005A5E7D" w:rsidRPr="00F67DA3" w:rsidRDefault="005A5E7D" w:rsidP="005A5E7D">
      <w:r w:rsidRPr="00F67DA3">
        <w:t>Se de</w:t>
      </w:r>
      <w:r>
        <w:t xml:space="preserve">scribe de la siguiente manera: </w:t>
      </w:r>
      <w:r w:rsidRPr="00F67DA3">
        <w:t>Este subíndice mide la calidad, eficiencia y costos de sectores precursores tales como telecomunicaciones, transporte y financiero, que inciden en la productividad de muchos otros sectores de la economía. Por lo tanto, el buen funcionamiento de estos sectores es una condición necesaria para el desarrollo a largo plazo de un país. Los sectores precursores conforman una infraestructura logística y financiera que facilita el intercambio comercial, la provisión de servicios de punta, la innovación y el desarrollo de productos y empresas.</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Gobierno eficiente y eficaz.</w:t>
      </w:r>
    </w:p>
    <w:p w:rsidR="005A5E7D" w:rsidRPr="00F67DA3" w:rsidRDefault="005A5E7D" w:rsidP="005A5E7D">
      <w:r w:rsidRPr="00F67DA3">
        <w:t>Se de</w:t>
      </w:r>
      <w:r>
        <w:t xml:space="preserve">scribe de la siguiente manera: </w:t>
      </w:r>
      <w:r w:rsidRPr="00F67DA3">
        <w:t>Este subíndice mide cómo interactúan los gobiernos con la economía, afectando su desempeño de manera directa e indirecta. El subíndice consta de tres ejes que miden el impacto de las políticas e instituciones de gobierno en la competitividad de los mercados. Los tres ejes son:</w:t>
      </w:r>
    </w:p>
    <w:p w:rsidR="005A5E7D" w:rsidRPr="00F67DA3" w:rsidRDefault="005A5E7D" w:rsidP="005A5E7D">
      <w:pPr>
        <w:spacing w:after="120"/>
        <w:ind w:firstLine="0"/>
        <w:contextualSpacing/>
        <w:rPr>
          <w:rFonts w:eastAsia="Calibri"/>
          <w:szCs w:val="24"/>
        </w:rPr>
      </w:pPr>
      <w:r w:rsidRPr="00F67DA3">
        <w:rPr>
          <w:rFonts w:eastAsia="Calibri"/>
          <w:szCs w:val="24"/>
        </w:rPr>
        <w:t xml:space="preserve">(1) el costo de hacer negocios, asociado a trámites e interacción con autoridades; </w:t>
      </w:r>
    </w:p>
    <w:p w:rsidR="005A5E7D" w:rsidRPr="00F67DA3" w:rsidRDefault="005A5E7D" w:rsidP="005A5E7D">
      <w:pPr>
        <w:spacing w:after="120"/>
        <w:ind w:firstLine="0"/>
        <w:contextualSpacing/>
        <w:rPr>
          <w:rFonts w:eastAsia="Calibri"/>
          <w:szCs w:val="24"/>
        </w:rPr>
      </w:pPr>
      <w:r w:rsidRPr="00F67DA3">
        <w:rPr>
          <w:rFonts w:eastAsia="Calibri"/>
          <w:szCs w:val="24"/>
        </w:rPr>
        <w:t>(2) la calidad de la regulación sectorial y promoción de la competencia y,</w:t>
      </w:r>
    </w:p>
    <w:p w:rsidR="005A5E7D" w:rsidRPr="00F67DA3" w:rsidRDefault="005A5E7D" w:rsidP="005A5E7D">
      <w:pPr>
        <w:spacing w:after="120"/>
        <w:ind w:firstLine="0"/>
        <w:contextualSpacing/>
        <w:rPr>
          <w:rFonts w:eastAsia="Calibri"/>
          <w:szCs w:val="24"/>
        </w:rPr>
      </w:pPr>
      <w:r w:rsidRPr="00F67DA3">
        <w:rPr>
          <w:rFonts w:eastAsia="Calibri"/>
          <w:szCs w:val="24"/>
        </w:rPr>
        <w:t>(3) la suficiencia y eficiencia del gasto público.</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Aprovechamiento de las relaciones internacionales</w:t>
      </w:r>
    </w:p>
    <w:p w:rsidR="005A5E7D" w:rsidRPr="00F67DA3" w:rsidRDefault="005A5E7D" w:rsidP="005A5E7D">
      <w:r w:rsidRPr="00F67DA3">
        <w:t>Se describe de la sigui</w:t>
      </w:r>
      <w:r>
        <w:t xml:space="preserve">ente manera: </w:t>
      </w:r>
      <w:r w:rsidRPr="00F67DA3">
        <w:t>Este subíndice califica en qué medida los países capitalizan su relación con el exterior para ser más competitivos. Evalúa temas como el turismo internacional, el comercio exterior y los flujos de capitales a través de indicadores que reflejan tanto el volumen de los flujos como las barreras que enfrentan.</w:t>
      </w:r>
    </w:p>
    <w:p w:rsidR="005A5E7D" w:rsidRPr="00F67DA3" w:rsidRDefault="005A5E7D" w:rsidP="005A5E7D">
      <w:pPr>
        <w:spacing w:after="120"/>
        <w:ind w:left="540" w:firstLine="0"/>
        <w:contextualSpacing/>
        <w:rPr>
          <w:rFonts w:eastAsia="Calibri"/>
          <w:i/>
          <w:szCs w:val="24"/>
          <w:u w:val="single"/>
        </w:rPr>
      </w:pPr>
      <w:r w:rsidRPr="00F67DA3">
        <w:rPr>
          <w:rFonts w:eastAsia="Calibri"/>
          <w:i/>
          <w:szCs w:val="24"/>
          <w:u w:val="single"/>
        </w:rPr>
        <w:t>Innovación y sofisticación en los sectores económicos.</w:t>
      </w:r>
    </w:p>
    <w:p w:rsidR="005A5E7D" w:rsidRPr="00F67DA3" w:rsidRDefault="005A5E7D" w:rsidP="005A5E7D">
      <w:r w:rsidRPr="00F67DA3">
        <w:t>Se de</w:t>
      </w:r>
      <w:r>
        <w:t xml:space="preserve">scribe de la siguiente manera: </w:t>
      </w:r>
      <w:r w:rsidRPr="00F67DA3">
        <w:t>Este subíndice califica la capacidad de los países para competir con éxito en la economía global, particularmente en sectores de alto valor agregado intensivos en conocimiento y tecnología de punta. El subíndice evalúa temas como el nivel de sofisticación de las economías de los países y su capacidad para generar valor a través de la innovación y el avance tecnológico. </w:t>
      </w:r>
    </w:p>
    <w:p w:rsidR="005A5E7D" w:rsidRPr="00F67DA3" w:rsidRDefault="005A5E7D" w:rsidP="005A5E7D">
      <w:r w:rsidRPr="00F67DA3">
        <w:t>El índice completo se encuentra en el siguiente enlace, a partir de la página 149.</w:t>
      </w:r>
    </w:p>
    <w:p w:rsidR="005A5E7D" w:rsidRPr="00475EDB" w:rsidRDefault="008964A4" w:rsidP="005A5E7D">
      <w:pPr>
        <w:spacing w:after="120"/>
        <w:ind w:firstLine="0"/>
        <w:contextualSpacing/>
        <w:rPr>
          <w:rFonts w:eastAsia="Calibri"/>
          <w:szCs w:val="24"/>
        </w:rPr>
      </w:pPr>
      <w:hyperlink r:id="rId174" w:history="1">
        <w:r w:rsidR="005A5E7D" w:rsidRPr="00475EDB">
          <w:rPr>
            <w:rFonts w:eastAsia="Calibri"/>
            <w:szCs w:val="24"/>
          </w:rPr>
          <w:t>http://imco.org.mx/wp-content/uploads/internacional/ICI2013-completo.pdf</w:t>
        </w:r>
      </w:hyperlink>
      <w:r w:rsidR="005A5E7D" w:rsidRPr="00475EDB">
        <w:rPr>
          <w:rFonts w:eastAsia="Calibri"/>
          <w:szCs w:val="24"/>
        </w:rPr>
        <w:t xml:space="preserve"> </w:t>
      </w:r>
      <w:r w:rsidR="005A5E7D" w:rsidRPr="00475EDB">
        <w:rPr>
          <w:rFonts w:eastAsia="Calibri"/>
          <w:szCs w:val="24"/>
        </w:rPr>
        <w:tab/>
      </w:r>
    </w:p>
    <w:p w:rsidR="005A5E7D" w:rsidRPr="00F67DA3" w:rsidRDefault="005A5E7D" w:rsidP="005A5E7D">
      <w:pPr>
        <w:ind w:firstLine="0"/>
      </w:pPr>
      <w:r w:rsidRPr="00F67DA3">
        <w:t>Puerto Rico tampoco aparece en este índice. El mismo está concentrado en 46 economías de gran escala, de tamaño similar al de México. Aunque mencionan sus 10 subíndices, no detallan cuáles son las variables que inciden en cada uno de ellos.</w:t>
      </w:r>
    </w:p>
    <w:p w:rsidR="001F32F7" w:rsidRDefault="001F32F7" w:rsidP="001F32F7">
      <w:pPr>
        <w:spacing w:after="200" w:line="240" w:lineRule="auto"/>
        <w:ind w:firstLine="0"/>
        <w:jc w:val="left"/>
        <w:sectPr w:rsidR="001F32F7">
          <w:headerReference w:type="default" r:id="rId175"/>
          <w:pgSz w:w="12240" w:h="15840"/>
          <w:pgMar w:top="1440" w:right="1440" w:bottom="1440" w:left="1440" w:gutter="0"/>
          <w:titlePg/>
          <w:docGrid w:linePitch="360"/>
        </w:sectPr>
      </w:pPr>
    </w:p>
    <w:p w:rsidR="005A5E7D" w:rsidRPr="001F32F7" w:rsidRDefault="005A5E7D" w:rsidP="001F32F7">
      <w:pPr>
        <w:pStyle w:val="Heading1"/>
        <w:rPr>
          <w:iCs/>
          <w:color w:val="7F7F7F"/>
          <w:spacing w:val="15"/>
          <w:kern w:val="1"/>
          <w:sz w:val="16"/>
          <w:szCs w:val="24"/>
          <w:lang w:eastAsia="ar-SA"/>
        </w:rPr>
      </w:pPr>
      <w:bookmarkStart w:id="93" w:name="_Toc384769783"/>
      <w:r w:rsidRPr="00816F19">
        <w:t>Capítulo 6:</w:t>
      </w:r>
      <w:r>
        <w:t xml:space="preserve"> </w:t>
      </w:r>
      <w:r w:rsidRPr="00D97A60">
        <w:t>El debate sobre la estadidad como vehículo de convergencia en crecimiento económico</w:t>
      </w:r>
      <w:bookmarkEnd w:id="93"/>
    </w:p>
    <w:p w:rsidR="005A5E7D" w:rsidRPr="00C10869" w:rsidRDefault="005A5E7D" w:rsidP="005A5E7D">
      <w:pPr>
        <w:spacing w:line="240" w:lineRule="auto"/>
        <w:jc w:val="right"/>
        <w:rPr>
          <w:b/>
          <w:i/>
          <w:lang w:eastAsia="ar-SA"/>
        </w:rPr>
      </w:pPr>
      <w:r w:rsidRPr="00C10869">
        <w:rPr>
          <w:b/>
          <w:i/>
          <w:lang w:eastAsia="ar-SA"/>
        </w:rPr>
        <w:t>Indira Luciano Montalvo</w:t>
      </w:r>
    </w:p>
    <w:p w:rsidR="005A5E7D" w:rsidRDefault="005A5E7D" w:rsidP="005A5E7D">
      <w:pPr>
        <w:spacing w:line="240" w:lineRule="auto"/>
        <w:jc w:val="right"/>
        <w:rPr>
          <w:i/>
          <w:lang w:eastAsia="ar-SA"/>
        </w:rPr>
      </w:pPr>
      <w:r>
        <w:rPr>
          <w:i/>
          <w:lang w:eastAsia="ar-SA"/>
        </w:rPr>
        <w:t>Departamento de Economía</w:t>
      </w:r>
    </w:p>
    <w:p w:rsidR="005A5E7D" w:rsidRDefault="005A5E7D" w:rsidP="005A5E7D">
      <w:pPr>
        <w:spacing w:line="240" w:lineRule="auto"/>
        <w:jc w:val="right"/>
        <w:rPr>
          <w:i/>
          <w:lang w:eastAsia="ar-SA"/>
        </w:rPr>
      </w:pPr>
      <w:r>
        <w:rPr>
          <w:i/>
          <w:lang w:eastAsia="ar-SA"/>
        </w:rPr>
        <w:t>Universidad de Puerto Rico</w:t>
      </w:r>
    </w:p>
    <w:p w:rsidR="005A5E7D" w:rsidRPr="002A236E" w:rsidRDefault="005A5E7D" w:rsidP="005A5E7D">
      <w:pPr>
        <w:spacing w:after="240" w:line="240" w:lineRule="auto"/>
        <w:jc w:val="right"/>
        <w:rPr>
          <w:i/>
          <w:lang w:eastAsia="ar-SA"/>
        </w:rPr>
      </w:pPr>
      <w:r>
        <w:rPr>
          <w:i/>
          <w:lang w:eastAsia="ar-SA"/>
        </w:rPr>
        <w:t>Recinto de Río Piedras</w:t>
      </w:r>
    </w:p>
    <w:p w:rsidR="005A5E7D" w:rsidRPr="00FE7FCE" w:rsidRDefault="005A5E7D" w:rsidP="005A5E7D">
      <w:pPr>
        <w:pStyle w:val="Heading2"/>
        <w:numPr>
          <w:ilvl w:val="0"/>
          <w:numId w:val="11"/>
        </w:numPr>
        <w:ind w:left="426" w:hanging="426"/>
      </w:pPr>
      <w:bookmarkStart w:id="94" w:name="_Toc384769784"/>
      <w:r w:rsidRPr="00FE7FCE">
        <w:t>Introducción</w:t>
      </w:r>
      <w:bookmarkEnd w:id="94"/>
    </w:p>
    <w:p w:rsidR="005A5E7D" w:rsidRDefault="005A5E7D" w:rsidP="005A5E7D">
      <w:pPr>
        <w:spacing w:line="240" w:lineRule="auto"/>
      </w:pPr>
    </w:p>
    <w:p w:rsidR="005A5E7D" w:rsidRDefault="005A5E7D" w:rsidP="005A5E7D">
      <w:r w:rsidRPr="00ED05E9">
        <w:t>El tema de la convergencia es uno bastante discutido en el caso de Puerto Rico y Estados Unidos, pero más bien de manera informal.</w:t>
      </w:r>
      <w:r>
        <w:t xml:space="preserve"> </w:t>
      </w:r>
      <w:r w:rsidRPr="00ED05E9">
        <w:t>Son muy pocos los trabajos fo</w:t>
      </w:r>
      <w:r>
        <w:t>rmales o académicos publicados co</w:t>
      </w:r>
      <w:r w:rsidRPr="00ED05E9">
        <w:t>n relación al tema.</w:t>
      </w:r>
      <w:r>
        <w:t xml:space="preserve"> </w:t>
      </w:r>
      <w:r w:rsidRPr="00ED05E9">
        <w:t>Sin embargo, es importante mencionar que existe una gran cantidad de trabajos en los que se estudia</w:t>
      </w:r>
      <w:r>
        <w:t>n</w:t>
      </w:r>
      <w:r w:rsidRPr="00ED05E9">
        <w:t xml:space="preserve"> los ciclos económicos de Puerto Rico y se vinculan a los de Estados Unidos, reconociendo la relación política y económica entre ambos países.</w:t>
      </w:r>
    </w:p>
    <w:p w:rsidR="005A5E7D" w:rsidRDefault="005A5E7D" w:rsidP="005A5E7D">
      <w:r w:rsidRPr="00ED05E9">
        <w:t>Estos trabajos sirven de aproximación al tema de la convergencia, ya que analizan la variable crecimiento en ambos países y las vinculan.</w:t>
      </w:r>
      <w:r>
        <w:t xml:space="preserve"> </w:t>
      </w:r>
      <w:r w:rsidRPr="00ED05E9">
        <w:t>Sin embargo, el tema de la convergencia estudia otros aspectos además del cre</w:t>
      </w:r>
      <w:r>
        <w:t>cimiento: el ingreso per cápita y</w:t>
      </w:r>
      <w:r w:rsidRPr="00ED05E9">
        <w:t xml:space="preserve"> su cambio</w:t>
      </w:r>
      <w:r>
        <w:t>,</w:t>
      </w:r>
      <w:r w:rsidRPr="00ED05E9">
        <w:t xml:space="preserve"> y las implicaciones en el nivel de vida y el bienestar de la población.</w:t>
      </w:r>
      <w:r>
        <w:t xml:space="preserve"> </w:t>
      </w:r>
      <w:r w:rsidRPr="00ED05E9">
        <w:t>Estos elementos adquieren mayor importancia en el caso de Puerto Rico</w:t>
      </w:r>
      <w:r>
        <w:t>,</w:t>
      </w:r>
      <w:r w:rsidRPr="00ED05E9">
        <w:t xml:space="preserve"> cuando se relaciona a un posible cambio de estatus político y las implicaciones que esto pueda tener en la convergencia con Estados Unidos y en el bienestar de los puertorriqueños.</w:t>
      </w:r>
    </w:p>
    <w:p w:rsidR="005A5E7D" w:rsidRPr="00ED05E9" w:rsidRDefault="005A5E7D" w:rsidP="005A5E7D">
      <w:r w:rsidRPr="00ED05E9">
        <w:t>El objetivo de este capítulo es estudiar la convergencia de la economía de Puerto Rico relacionada a Estados Unidos, investigar los determinantes del crecimiento y si se genera un cambio en los mismos a partir de un cambio en el estatus político hacia la estadidad.</w:t>
      </w:r>
      <w:r>
        <w:t xml:space="preserve"> </w:t>
      </w:r>
      <w:r w:rsidRPr="00ED05E9">
        <w:t xml:space="preserve">Para cumplir con </w:t>
      </w:r>
      <w:r>
        <w:t>dicho</w:t>
      </w:r>
      <w:r w:rsidRPr="00ED05E9">
        <w:t xml:space="preserve"> objetivo, se eval</w:t>
      </w:r>
      <w:r>
        <w:t>uaro</w:t>
      </w:r>
      <w:r w:rsidRPr="00ED05E9">
        <w:t>n los distintos marcos teóricos que sirven de guía para el análisis del caso de la c</w:t>
      </w:r>
      <w:r>
        <w:t xml:space="preserve">onvergencia de Puerto Rico con </w:t>
      </w:r>
      <w:r w:rsidRPr="00ED05E9">
        <w:t>Estados Unidos.</w:t>
      </w:r>
      <w:r>
        <w:t xml:space="preserve"> </w:t>
      </w:r>
      <w:r w:rsidRPr="00ED05E9">
        <w:t>Además, se revisa</w:t>
      </w:r>
      <w:r>
        <w:t>ro</w:t>
      </w:r>
      <w:r w:rsidRPr="00ED05E9">
        <w:t>n los estudios aplicados, especialmente a los estados de Estados Unidos y a Puerto Rico.</w:t>
      </w:r>
      <w:r>
        <w:t xml:space="preserve"> </w:t>
      </w:r>
      <w:r w:rsidRPr="00ED05E9">
        <w:t>También, se identifica</w:t>
      </w:r>
      <w:r>
        <w:t>ro</w:t>
      </w:r>
      <w:r w:rsidRPr="00ED05E9">
        <w:t>n las metodologías prevalec</w:t>
      </w:r>
      <w:r>
        <w:t>ientes para el estudio del tema</w:t>
      </w:r>
      <w:r w:rsidRPr="00ED05E9">
        <w:t xml:space="preserve"> y se determina</w:t>
      </w:r>
      <w:r>
        <w:t>ro</w:t>
      </w:r>
      <w:r w:rsidRPr="00ED05E9">
        <w:t>n las variables que inciden en la convergencia que aplican al caso de Puerto Rico.</w:t>
      </w:r>
    </w:p>
    <w:p w:rsidR="005A5E7D" w:rsidRPr="00ED05E9" w:rsidRDefault="005A5E7D" w:rsidP="005A5E7D">
      <w:r w:rsidRPr="00ED05E9">
        <w:t xml:space="preserve">Una vez identificados los elementos anteriores, </w:t>
      </w:r>
      <w:r>
        <w:t>fue</w:t>
      </w:r>
      <w:r w:rsidRPr="00ED05E9">
        <w:t xml:space="preserve"> necesario investigar cómo cambiarían en el contexto de un cambio de estatus político hacia la estadidad. Analizar si, por un lado, la estadidad sienta las bases para que ocurra una co</w:t>
      </w:r>
      <w:r>
        <w:t xml:space="preserve">nvergencia entre Puerto Rico y </w:t>
      </w:r>
      <w:r w:rsidRPr="00ED05E9">
        <w:t>Estados Unidos.</w:t>
      </w:r>
      <w:r>
        <w:t xml:space="preserve"> </w:t>
      </w:r>
      <w:r w:rsidRPr="00ED05E9">
        <w:t>Si, por otro lado, es una condición necesaria pero no suficiente para garantizar la convergencia.</w:t>
      </w:r>
      <w:r>
        <w:t xml:space="preserve"> O</w:t>
      </w:r>
      <w:r w:rsidRPr="00ED05E9">
        <w:t xml:space="preserve"> si no es una condición necesaria ni suficiente para encaminar a la economía de Puerto Rico a una senda de crecimiento económico de un país desarrollado</w:t>
      </w:r>
      <w:r>
        <w:t>,</w:t>
      </w:r>
      <w:r w:rsidRPr="00ED05E9">
        <w:t xml:space="preserve"> y lograr el nivel de ingreso deseable y una mejoría en el bienestar de la población. </w:t>
      </w:r>
    </w:p>
    <w:p w:rsidR="005A5E7D" w:rsidRDefault="005A5E7D" w:rsidP="005A5E7D">
      <w:r>
        <w:t>Para lograrl</w:t>
      </w:r>
      <w:r w:rsidRPr="00ED05E9">
        <w:t>o, este capítulo se divide en ocho secciones.</w:t>
      </w:r>
      <w:r>
        <w:t xml:space="preserve"> </w:t>
      </w:r>
      <w:r w:rsidRPr="00ED05E9">
        <w:t>Primero, se hace una revisión de literatura respecto al marco teórico que incluye el enfoque neoclásico tradicional y las aportaciones de las nuevas teorías del crecimiento.</w:t>
      </w:r>
      <w:r>
        <w:t xml:space="preserve"> </w:t>
      </w:r>
      <w:r w:rsidRPr="00ED05E9">
        <w:t>También, se incluye una discusión de trabajos aplicados y su contribución al desarrollo metodológico.</w:t>
      </w:r>
      <w:r>
        <w:t xml:space="preserve"> Luego</w:t>
      </w:r>
      <w:r w:rsidRPr="00ED05E9">
        <w:t xml:space="preserve"> se revisan y discuten los trabajos aplicados al caso de Puerto rico, considerando inicialmente los estudios de los ciclos económicos de la Isla y su vínculo con los de Estados Unidos.</w:t>
      </w:r>
      <w:r>
        <w:t xml:space="preserve"> </w:t>
      </w:r>
      <w:r w:rsidRPr="00ED05E9">
        <w:t xml:space="preserve">En tercer lugar, se compara a Puerto Rico con </w:t>
      </w:r>
      <w:r>
        <w:t>Estados Unidos y sus estados, para lo cual se llevó</w:t>
      </w:r>
      <w:r w:rsidRPr="00ED05E9">
        <w:t xml:space="preserve"> a cabo una revisión de la literatura respecto a la convergen</w:t>
      </w:r>
      <w:r>
        <w:t xml:space="preserve">cia regional e interestatal en </w:t>
      </w:r>
      <w:r w:rsidRPr="00ED05E9">
        <w:t>Estados Unidos.</w:t>
      </w:r>
      <w:r>
        <w:t xml:space="preserve"> </w:t>
      </w:r>
      <w:r w:rsidRPr="00ED05E9">
        <w:t xml:space="preserve">Luego, se </w:t>
      </w:r>
      <w:r>
        <w:t>llevó a cabo un análisis cualitativo en el que se identificaron las variables críticas para la convergencia y se evaluaron frente a un cambio en estatus hacia la estadidad</w:t>
      </w:r>
      <w:r w:rsidRPr="00ED05E9">
        <w:t>.</w:t>
      </w:r>
      <w:r>
        <w:t xml:space="preserve"> </w:t>
      </w:r>
      <w:r w:rsidRPr="00ED05E9">
        <w:t>Por último, se presentan las conclusione</w:t>
      </w:r>
      <w:r>
        <w:t>s y las referencias utilizadas.</w:t>
      </w:r>
    </w:p>
    <w:p w:rsidR="005A5E7D" w:rsidRPr="00ED05E9" w:rsidRDefault="005A5E7D" w:rsidP="005A5E7D">
      <w:pPr>
        <w:spacing w:line="240" w:lineRule="auto"/>
      </w:pPr>
    </w:p>
    <w:p w:rsidR="005A5E7D" w:rsidRPr="00D97A60" w:rsidRDefault="005A5E7D" w:rsidP="00CB3560">
      <w:pPr>
        <w:pStyle w:val="Heading2"/>
        <w:numPr>
          <w:ilvl w:val="0"/>
          <w:numId w:val="40"/>
        </w:numPr>
        <w:ind w:left="540" w:hanging="450"/>
        <w:jc w:val="both"/>
      </w:pPr>
      <w:bookmarkStart w:id="95" w:name="_Toc384769785"/>
      <w:r>
        <w:t>Discusión teórica sobr</w:t>
      </w:r>
      <w:r w:rsidRPr="00D97A60">
        <w:t>e la convergencia</w:t>
      </w:r>
      <w:bookmarkEnd w:id="95"/>
    </w:p>
    <w:p w:rsidR="005A5E7D" w:rsidRDefault="005A5E7D" w:rsidP="005A5E7D">
      <w:pPr>
        <w:spacing w:line="240" w:lineRule="auto"/>
      </w:pPr>
    </w:p>
    <w:p w:rsidR="005A5E7D" w:rsidRPr="00ED05E9" w:rsidRDefault="005A5E7D" w:rsidP="005A5E7D">
      <w:r>
        <w:t>A</w:t>
      </w:r>
      <w:r w:rsidRPr="00ED05E9">
        <w:t xml:space="preserve"> nivel mundial</w:t>
      </w:r>
      <w:r>
        <w:t>, l</w:t>
      </w:r>
      <w:r w:rsidRPr="00ED05E9">
        <w:t>os países pasaron por una trayectoria acelerada de crecimiento a partir de los procesos de industrialización, que llevaron a un aumento significativo del ingreso con repercusiones importantes en el nivel de vida y bienestar de la población.</w:t>
      </w:r>
      <w:r>
        <w:t xml:space="preserve"> </w:t>
      </w:r>
      <w:r w:rsidRPr="00ED05E9">
        <w:t xml:space="preserve">Luego, desde la década de los setenta del </w:t>
      </w:r>
      <w:r>
        <w:t>s</w:t>
      </w:r>
      <w:r w:rsidRPr="00ED05E9">
        <w:t>iglo XX, se evidenció una disminución de la productividad de los factores que frenó ese crecimiento acelerado.</w:t>
      </w:r>
      <w:r>
        <w:t xml:space="preserve"> </w:t>
      </w:r>
      <w:r w:rsidRPr="00ED05E9">
        <w:t>En los años noventa, se volvió a experimentar tasas de crecimiento más altas dado un aumento en la productividad.</w:t>
      </w:r>
      <w:r>
        <w:t xml:space="preserve"> </w:t>
      </w:r>
      <w:r w:rsidRPr="00ED05E9">
        <w:t>Sin embargo, a pesar de que el ingreso mundial promedio es mucho mayor actualmente que a inicios del siglo pasado, existe mucha diferencia entre los países en términos de su ingreso y nivel de vida.</w:t>
      </w:r>
      <w:r>
        <w:t xml:space="preserve"> Son estas diferencias</w:t>
      </w:r>
      <w:r w:rsidRPr="00ED05E9">
        <w:t xml:space="preserve"> las que </w:t>
      </w:r>
      <w:r>
        <w:t>dan paso al interés en estudiar</w:t>
      </w:r>
      <w:r w:rsidRPr="00ED05E9">
        <w:t xml:space="preserve"> los determinantes del crecimiento económico, las influencias que puede tener en el bienestar de la población y si es real una convergencia en el largo plazo.</w:t>
      </w:r>
      <w:r>
        <w:t xml:space="preserve"> </w:t>
      </w:r>
      <w:r w:rsidRPr="00ED05E9">
        <w:t>Se hace preocupante</w:t>
      </w:r>
      <w:r>
        <w:t>,</w:t>
      </w:r>
      <w:r w:rsidRPr="00ED05E9">
        <w:t xml:space="preserve"> entonces</w:t>
      </w:r>
      <w:r>
        <w:t>,</w:t>
      </w:r>
      <w:r w:rsidRPr="00ED05E9">
        <w:t xml:space="preserve"> que durante las últimas décadas no exista una tendencia clara hacia una mayor convergencia o divergencia a nivel mundial (Romer, 2006). </w:t>
      </w:r>
    </w:p>
    <w:p w:rsidR="005A5E7D" w:rsidRDefault="005A5E7D" w:rsidP="005A5E7D">
      <w:r w:rsidRPr="00ED05E9">
        <w:t>Para llevar a cabo una discusión que ayude a entender los determinantes del crecimiento y el concepto de convergencia, es necesario revisar los lineamientos de la teoría neoclásica, especialmente el modelo de Solow (1956).</w:t>
      </w:r>
      <w:r>
        <w:t xml:space="preserve"> </w:t>
      </w:r>
      <w:r w:rsidRPr="00ED05E9">
        <w:t>Luego, se hace una revisión de otros enfoques en la discusión del crecimiento económico que conforman lo que se conoce como las nuevas teorías de crecimiento.</w:t>
      </w:r>
      <w:r>
        <w:t xml:space="preserve"> </w:t>
      </w:r>
      <w:r w:rsidRPr="00ED05E9">
        <w:t>Aunque estas teorías no tratan el tema de la convergencia directamente, su desarrollo tiene implicaciones importantes para su análisis.</w:t>
      </w:r>
    </w:p>
    <w:p w:rsidR="00793A6E" w:rsidRDefault="00793A6E" w:rsidP="005A5E7D"/>
    <w:p w:rsidR="005A5E7D" w:rsidRPr="00816F19" w:rsidRDefault="005A5E7D" w:rsidP="009B59BB">
      <w:pPr>
        <w:pStyle w:val="Heading3"/>
      </w:pPr>
      <w:bookmarkStart w:id="96" w:name="_Toc384769786"/>
      <w:r>
        <w:t>B.1</w:t>
      </w:r>
      <w:r>
        <w:tab/>
      </w:r>
      <w:r w:rsidRPr="00816F19">
        <w:t>¿Qué es la convergencia?</w:t>
      </w:r>
      <w:bookmarkEnd w:id="96"/>
    </w:p>
    <w:p w:rsidR="005A5E7D" w:rsidRDefault="005A5E7D" w:rsidP="005A5E7D">
      <w:pPr>
        <w:spacing w:line="240" w:lineRule="auto"/>
      </w:pPr>
    </w:p>
    <w:p w:rsidR="005A5E7D" w:rsidRPr="00ED05E9" w:rsidRDefault="005A5E7D" w:rsidP="005A5E7D">
      <w:r w:rsidRPr="00ED05E9">
        <w:t>Converg</w:t>
      </w:r>
      <w:r>
        <w:t>e</w:t>
      </w:r>
      <w:r w:rsidRPr="00ED05E9">
        <w:t>r es cuando se dirige o se unen dos caminos o sendas a un mismo punto.</w:t>
      </w:r>
      <w:r>
        <w:t xml:space="preserve"> Matemáticamente hablando,</w:t>
      </w:r>
      <w:r w:rsidRPr="00ED05E9">
        <w:t xml:space="preserve"> es aproximarse a un límite.</w:t>
      </w:r>
      <w:r>
        <w:t xml:space="preserve"> </w:t>
      </w:r>
      <w:r w:rsidRPr="00ED05E9">
        <w:t>En términos económicos, es un concepto que se utiliza para hacer referencia al camino o senda de crecimiento económico que siguen los países, clasificándolos en países ricos y pobres o desarrollados y en vías de desarrollo.</w:t>
      </w:r>
    </w:p>
    <w:p w:rsidR="005A5E7D" w:rsidRPr="00ED05E9" w:rsidRDefault="005A5E7D" w:rsidP="005A5E7D">
      <w:r w:rsidRPr="00ED05E9">
        <w:t>La hipótesis principal respecto a la convergencia establece que los países pobres crecen a un ritmo más acelerado que los países ricos, lo cual causa que en el largo plazo se mantengan en la misma senda de crecimiento e, incluso, se encuentren o lleguen al mismo nivel de crecimiento (o punto de equilibrio).</w:t>
      </w:r>
      <w:r>
        <w:t xml:space="preserve"> </w:t>
      </w:r>
      <w:r w:rsidRPr="00ED05E9">
        <w:t>Esta hipótesis es establecida por la teoría neoclásica y fundamenta el crecimiento económico en la acumulación de capital.</w:t>
      </w:r>
    </w:p>
    <w:p w:rsidR="005A5E7D" w:rsidRPr="00ED05E9" w:rsidRDefault="005A5E7D" w:rsidP="005A5E7D">
      <w:r w:rsidRPr="00ED05E9">
        <w:t>Otra variable comúnmente utilizada para el análisis de la convergencia es el ingreso per cápita de los países.</w:t>
      </w:r>
      <w:r>
        <w:t xml:space="preserve"> </w:t>
      </w:r>
      <w:r w:rsidRPr="00ED05E9">
        <w:t>Suponiendo de la misma manera que, en el corto plazo</w:t>
      </w:r>
      <w:r>
        <w:t>,</w:t>
      </w:r>
      <w:r w:rsidRPr="00ED05E9">
        <w:t xml:space="preserve"> existen diferencias en los niveles de ingreso de los países pobres y los países ricos, pero que en el largo plazo la difere</w:t>
      </w:r>
      <w:r>
        <w:t>ncia en el ritmo de crecimiento</w:t>
      </w:r>
      <w:r w:rsidRPr="00ED05E9">
        <w:t xml:space="preserve"> causará que ambos tipos de países sigan la misma senda de crecimiento, llegando así al mismo ingreso per cápita.</w:t>
      </w:r>
    </w:p>
    <w:p w:rsidR="005A5E7D" w:rsidRPr="00ED05E9" w:rsidRDefault="005A5E7D" w:rsidP="005A5E7D">
      <w:r w:rsidRPr="00ED05E9">
        <w:t>Entonces, ¿por qué existe una diferencia en el ritm</w:t>
      </w:r>
      <w:r>
        <w:t xml:space="preserve">o de crecimiento de los países? </w:t>
      </w:r>
      <w:r w:rsidRPr="00ED05E9">
        <w:t>Según los neoclásicos, los países ricos y los pobres crecen a un ritmo distinto porque hay rendimientos decrecientes de los factores de producción.</w:t>
      </w:r>
      <w:r>
        <w:t xml:space="preserve"> </w:t>
      </w:r>
      <w:r w:rsidRPr="00ED05E9">
        <w:t xml:space="preserve">El </w:t>
      </w:r>
      <w:r>
        <w:t xml:space="preserve">hecho de </w:t>
      </w:r>
      <w:r w:rsidRPr="00ED05E9">
        <w:t xml:space="preserve">que un factor de producción o recurso de un país presente rendimientos decrecientes significa que rinde menos a medida que se va aumentando su cantidad a través del tiempo, manteniendo la cantidad de los otros factores constantes. Recordando que los neoclásicos establecen que la acumulación de capital es el determinante principal del crecimiento económico, cuando un país va acumulando capital rinde menos a través del tiempo, lo que provoca que su crecimiento </w:t>
      </w:r>
      <w:r>
        <w:t xml:space="preserve">se </w:t>
      </w:r>
      <w:r w:rsidRPr="00ED05E9">
        <w:t>vaya desacelerando.</w:t>
      </w:r>
      <w:r>
        <w:t xml:space="preserve"> </w:t>
      </w:r>
      <w:r w:rsidRPr="00ED05E9">
        <w:t>Esta es la razón principal por la que los países desarrollados crecen a un ritmo menos acelerado que los países en vías de desarrollo.</w:t>
      </w:r>
      <w:r>
        <w:t xml:space="preserve"> </w:t>
      </w:r>
      <w:r w:rsidRPr="00ED05E9">
        <w:t>A pesar de la diferencia en el ritmo de crecimiento, tanto países desarrollados como los países en vías de desarrollo seguirán la misma senda de crecimiento</w:t>
      </w:r>
      <w:r>
        <w:t xml:space="preserve"> y</w:t>
      </w:r>
      <w:r w:rsidRPr="00ED05E9">
        <w:t xml:space="preserve"> llega</w:t>
      </w:r>
      <w:r>
        <w:t>rán</w:t>
      </w:r>
      <w:r w:rsidRPr="00ED05E9">
        <w:t xml:space="preserve"> al mismo nivel de ingreso en el largo plazo.</w:t>
      </w:r>
    </w:p>
    <w:p w:rsidR="005A5E7D" w:rsidRDefault="005A5E7D" w:rsidP="005A5E7D">
      <w:r w:rsidRPr="00ED05E9">
        <w:t>Se puede decir que la discusión teórica principal respecto a la convergencia se enfoca en la comparación de los niveles de ingreso y el crecimiento económico de los países desarrollados y los países en vías de desarrollo.</w:t>
      </w:r>
      <w:r>
        <w:t xml:space="preserve"> </w:t>
      </w:r>
      <w:r w:rsidRPr="00ED05E9">
        <w:t>Además, son importantes las consideraciones respecto al bienestar; es decir, las consecuencias que el ritmo de crecimiento pueda tener en el nivel de vida y bienestar de la población.</w:t>
      </w:r>
    </w:p>
    <w:p w:rsidR="005A5E7D" w:rsidRDefault="005A5E7D" w:rsidP="005A5E7D">
      <w:r w:rsidRPr="00ED05E9">
        <w:t>La escuela de pensamiento neoclásica es la que aborda el tema de la convergencia de manera directa.</w:t>
      </w:r>
      <w:r>
        <w:t xml:space="preserve"> </w:t>
      </w:r>
      <w:r w:rsidRPr="00ED05E9">
        <w:t>Son los que establecen la hipótesis principal discutida anteriormente.</w:t>
      </w:r>
      <w:r>
        <w:t xml:space="preserve"> </w:t>
      </w:r>
      <w:r w:rsidRPr="00ED05E9">
        <w:t>Sin embargo, las nuevas teorías del crecimiento discuten de manera indir</w:t>
      </w:r>
      <w:r>
        <w:t>ecta el tema de la convergencia.</w:t>
      </w:r>
      <w:r w:rsidRPr="00ED05E9">
        <w:t xml:space="preserve"> </w:t>
      </w:r>
      <w:r>
        <w:t>Pon</w:t>
      </w:r>
      <w:r w:rsidRPr="00ED05E9">
        <w:t>en énfasis en los determinantes del crecimiento económico de un país</w:t>
      </w:r>
      <w:r>
        <w:t xml:space="preserve"> y</w:t>
      </w:r>
      <w:r w:rsidRPr="00ED05E9">
        <w:t xml:space="preserve"> reconoc</w:t>
      </w:r>
      <w:r>
        <w:t>en</w:t>
      </w:r>
      <w:r w:rsidRPr="00ED05E9">
        <w:t xml:space="preserve"> que son estos determinantes los que en última instancia importan al momento de analizar las posibilidades y las metas de crecimiento de un país, ya sea desarrollado o en vías de desarrollo. </w:t>
      </w:r>
    </w:p>
    <w:p w:rsidR="005A5E7D" w:rsidRDefault="005A5E7D" w:rsidP="005A5E7D">
      <w:r w:rsidRPr="00ED05E9">
        <w:t>El debate teórico ocurre entre el desarrollo teórico neoclásico y el de las nuevas teorías del crecimiento.</w:t>
      </w:r>
      <w:r>
        <w:t xml:space="preserve"> </w:t>
      </w:r>
      <w:r w:rsidRPr="00ED05E9">
        <w:t>Los trabajos aplicados</w:t>
      </w:r>
      <w:r>
        <w:t>,</w:t>
      </w:r>
      <w:r w:rsidRPr="00ED05E9">
        <w:t xml:space="preserve"> además de generar discusión respecto a las diferentes interpretaciones de lo que es la convergencia, también dan paso a un debate respecto a los métodos utilizados para su medición y análisis.</w:t>
      </w:r>
      <w:r>
        <w:t xml:space="preserve"> A continuación</w:t>
      </w:r>
      <w:r w:rsidRPr="00ED05E9">
        <w:t xml:space="preserve"> se discuten las aportaciones teóricas de ambas vertientes y las implicaciones de la discusión metodológica.</w:t>
      </w:r>
    </w:p>
    <w:p w:rsidR="00793A6E" w:rsidRDefault="00793A6E" w:rsidP="005A5E7D"/>
    <w:p w:rsidR="005A5E7D" w:rsidRPr="00816F19" w:rsidRDefault="005A5E7D" w:rsidP="009B59BB">
      <w:pPr>
        <w:pStyle w:val="Heading3"/>
      </w:pPr>
      <w:bookmarkStart w:id="97" w:name="_Toc384769787"/>
      <w:r>
        <w:t>B.2</w:t>
      </w:r>
      <w:r>
        <w:tab/>
      </w:r>
      <w:r w:rsidRPr="00816F19">
        <w:t>Enfoque neoclásico de crecimiento económico y convergencia</w:t>
      </w:r>
      <w:bookmarkEnd w:id="97"/>
    </w:p>
    <w:p w:rsidR="005A5E7D" w:rsidRDefault="005A5E7D" w:rsidP="005A5E7D">
      <w:pPr>
        <w:spacing w:line="240" w:lineRule="auto"/>
      </w:pPr>
    </w:p>
    <w:p w:rsidR="005A5E7D" w:rsidRDefault="005A5E7D" w:rsidP="005A5E7D">
      <w:r w:rsidRPr="00ED05E9">
        <w:t>Como se mencionó anteriormente, la teoría neoclásica estudia el tema de la convergencia de manera directa.</w:t>
      </w:r>
      <w:r>
        <w:t xml:space="preserve"> </w:t>
      </w:r>
      <w:r w:rsidRPr="00ED05E9">
        <w:t xml:space="preserve">El modelo </w:t>
      </w:r>
      <w:r>
        <w:t xml:space="preserve">de crecimiento de Solow (1956; </w:t>
      </w:r>
      <w:r w:rsidRPr="00ED05E9">
        <w:t>y Swan, 1956), conocido también como el modelo de Solow-Swan</w:t>
      </w:r>
      <w:r>
        <w:t>,</w:t>
      </w:r>
      <w:r w:rsidRPr="00ED05E9">
        <w:t xml:space="preserve"> es el punto de partida de la mayor parte de los análisis de crecimiento económico (Romer, 2006).</w:t>
      </w:r>
      <w:r>
        <w:t xml:space="preserve"> Por eso</w:t>
      </w:r>
      <w:r w:rsidRPr="00ED05E9">
        <w:t xml:space="preserve"> es importante comenzar la discusión teórica con los planteamientos de este modelo.</w:t>
      </w:r>
    </w:p>
    <w:p w:rsidR="005A5E7D" w:rsidRDefault="005A5E7D" w:rsidP="005A5E7D">
      <w:r w:rsidRPr="00ED05E9">
        <w:t>El modelo de Solow estudia el crecimiento económico a partir de la acumulación de capital.</w:t>
      </w:r>
      <w:r>
        <w:t xml:space="preserve"> </w:t>
      </w:r>
      <w:r w:rsidRPr="00ED05E9">
        <w:t xml:space="preserve">Sin embargo, reconoce que </w:t>
      </w:r>
      <w:r>
        <w:t>est</w:t>
      </w:r>
      <w:r w:rsidRPr="00ED05E9">
        <w:t>a acumulación por sí sola no provoca el crecimiento acelerado en la producción y que otros factores pueden incidir sobre e</w:t>
      </w:r>
      <w:r>
        <w:t>ll</w:t>
      </w:r>
      <w:r w:rsidRPr="00ED05E9">
        <w:t>a.</w:t>
      </w:r>
      <w:r>
        <w:t xml:space="preserve"> </w:t>
      </w:r>
      <w:r w:rsidRPr="00ED05E9">
        <w:t>El progreso tec</w:t>
      </w:r>
      <w:r>
        <w:t>nológico resalta como uno de es</w:t>
      </w:r>
      <w:r w:rsidRPr="00ED05E9">
        <w:t>os factores, aunque se mantiene como una variable exógena al modelo.</w:t>
      </w:r>
    </w:p>
    <w:p w:rsidR="005A5E7D" w:rsidRDefault="005A5E7D" w:rsidP="005A5E7D">
      <w:r w:rsidRPr="00ED05E9">
        <w:t>La función principal del modelo de Solow es la siguiente:</w:t>
      </w:r>
    </w:p>
    <w:p w:rsidR="005A5E7D" w:rsidRPr="005B5FEE" w:rsidRDefault="005A5E7D" w:rsidP="005A5E7D">
      <w:pPr>
        <w:rPr>
          <w:lang w:val="en-US"/>
        </w:rPr>
      </w:pPr>
      <w:r>
        <w:tab/>
      </w:r>
      <w:r>
        <w:tab/>
      </w:r>
      <w:r w:rsidRPr="005B5FEE">
        <w:rPr>
          <w:szCs w:val="24"/>
          <w:lang w:val="en-US"/>
        </w:rPr>
        <w:t>Y</w:t>
      </w:r>
      <w:r w:rsidRPr="005B5FEE">
        <w:rPr>
          <w:szCs w:val="24"/>
          <w:vertAlign w:val="subscript"/>
          <w:lang w:val="en-US"/>
        </w:rPr>
        <w:t>t</w:t>
      </w:r>
      <w:r w:rsidRPr="005B5FEE">
        <w:rPr>
          <w:szCs w:val="24"/>
          <w:lang w:val="en-US"/>
        </w:rPr>
        <w:t xml:space="preserve"> = f(K</w:t>
      </w:r>
      <w:r w:rsidRPr="005B5FEE">
        <w:rPr>
          <w:szCs w:val="24"/>
          <w:vertAlign w:val="subscript"/>
          <w:lang w:val="en-US"/>
        </w:rPr>
        <w:t>t</w:t>
      </w:r>
      <w:r w:rsidRPr="005B5FEE">
        <w:rPr>
          <w:szCs w:val="24"/>
          <w:lang w:val="en-US"/>
        </w:rPr>
        <w:t>, A</w:t>
      </w:r>
      <w:r w:rsidRPr="005B5FEE">
        <w:rPr>
          <w:szCs w:val="24"/>
          <w:vertAlign w:val="subscript"/>
          <w:lang w:val="en-US"/>
        </w:rPr>
        <w:t>t</w:t>
      </w:r>
      <w:r w:rsidRPr="005B5FEE">
        <w:rPr>
          <w:szCs w:val="24"/>
          <w:lang w:val="en-US"/>
        </w:rPr>
        <w:t>L</w:t>
      </w:r>
      <w:r w:rsidRPr="005B5FEE">
        <w:rPr>
          <w:szCs w:val="24"/>
          <w:vertAlign w:val="subscript"/>
          <w:lang w:val="en-US"/>
        </w:rPr>
        <w:t>t</w:t>
      </w:r>
      <w:r w:rsidRPr="005B5FEE">
        <w:rPr>
          <w:szCs w:val="24"/>
          <w:lang w:val="en-US"/>
        </w:rPr>
        <w:t>)</w:t>
      </w:r>
    </w:p>
    <w:p w:rsidR="005A5E7D" w:rsidRPr="005B5FEE" w:rsidRDefault="005A5E7D" w:rsidP="005A5E7D">
      <w:pPr>
        <w:pStyle w:val="ColorfulList-Accent11"/>
        <w:ind w:left="1440"/>
        <w:rPr>
          <w:szCs w:val="24"/>
          <w:lang w:val="en-US"/>
        </w:rPr>
      </w:pPr>
      <w:r w:rsidRPr="005B5FEE">
        <w:rPr>
          <w:szCs w:val="24"/>
          <w:lang w:val="en-US"/>
        </w:rPr>
        <w:t>donde:</w:t>
      </w:r>
    </w:p>
    <w:p w:rsidR="005A5E7D" w:rsidRPr="00ED05E9" w:rsidRDefault="005A5E7D" w:rsidP="005A5E7D">
      <w:pPr>
        <w:pStyle w:val="ColorfulList-Accent11"/>
        <w:ind w:left="1440"/>
        <w:rPr>
          <w:szCs w:val="24"/>
        </w:rPr>
      </w:pPr>
      <w:r w:rsidRPr="00ED05E9">
        <w:rPr>
          <w:szCs w:val="24"/>
        </w:rPr>
        <w:t>El subíndice t se refiere al tiempo;</w:t>
      </w:r>
    </w:p>
    <w:p w:rsidR="005A5E7D" w:rsidRPr="00ED05E9" w:rsidRDefault="005A5E7D" w:rsidP="005A5E7D">
      <w:pPr>
        <w:pStyle w:val="ColorfulList-Accent11"/>
        <w:ind w:left="1440"/>
        <w:rPr>
          <w:szCs w:val="24"/>
        </w:rPr>
      </w:pPr>
      <w:r w:rsidRPr="00ED05E9">
        <w:rPr>
          <w:szCs w:val="24"/>
        </w:rPr>
        <w:t>Y es la producción;</w:t>
      </w:r>
    </w:p>
    <w:p w:rsidR="005A5E7D" w:rsidRPr="00ED05E9" w:rsidRDefault="005A5E7D" w:rsidP="005A5E7D">
      <w:pPr>
        <w:pStyle w:val="ColorfulList-Accent11"/>
        <w:ind w:left="1440"/>
        <w:rPr>
          <w:szCs w:val="24"/>
        </w:rPr>
      </w:pPr>
      <w:r w:rsidRPr="00ED05E9">
        <w:rPr>
          <w:szCs w:val="24"/>
        </w:rPr>
        <w:t>K es el capital;</w:t>
      </w:r>
    </w:p>
    <w:p w:rsidR="005A5E7D" w:rsidRPr="00ED05E9" w:rsidRDefault="005A5E7D" w:rsidP="005A5E7D">
      <w:pPr>
        <w:pStyle w:val="ColorfulList-Accent11"/>
        <w:ind w:left="1440"/>
        <w:rPr>
          <w:szCs w:val="24"/>
        </w:rPr>
      </w:pPr>
      <w:r w:rsidRPr="00ED05E9">
        <w:rPr>
          <w:szCs w:val="24"/>
        </w:rPr>
        <w:t>L es el trabajo;</w:t>
      </w:r>
    </w:p>
    <w:p w:rsidR="005A5E7D" w:rsidRPr="00ED05E9" w:rsidRDefault="005A5E7D" w:rsidP="005A5E7D">
      <w:pPr>
        <w:pStyle w:val="ColorfulList-Accent11"/>
        <w:ind w:left="1440"/>
        <w:rPr>
          <w:szCs w:val="24"/>
        </w:rPr>
      </w:pPr>
      <w:r w:rsidRPr="00ED05E9">
        <w:rPr>
          <w:szCs w:val="24"/>
        </w:rPr>
        <w:t>A es la tecnología</w:t>
      </w:r>
    </w:p>
    <w:p w:rsidR="005A5E7D" w:rsidRPr="00ED05E9" w:rsidRDefault="005A5E7D" w:rsidP="005A5E7D">
      <w:pPr>
        <w:pStyle w:val="ColorfulList-Accent11"/>
        <w:ind w:left="1440"/>
        <w:rPr>
          <w:szCs w:val="24"/>
        </w:rPr>
      </w:pPr>
      <w:r w:rsidRPr="00ED05E9">
        <w:rPr>
          <w:szCs w:val="24"/>
        </w:rPr>
        <w:t>y AL es el trabajo efectivo o la eficacia del trabajo.</w:t>
      </w:r>
    </w:p>
    <w:p w:rsidR="005A5E7D" w:rsidRDefault="005A5E7D" w:rsidP="005A5E7D">
      <w:r w:rsidRPr="00ED05E9">
        <w:t>Lo que quiere decir que el nivel de producción de un país cambiará a través del tiempo según lo hagan el trabajo, el capital y la tecnología.</w:t>
      </w:r>
      <w:r>
        <w:t xml:space="preserve"> </w:t>
      </w:r>
      <w:r w:rsidRPr="00ED05E9">
        <w:t>Es necesario notar que al estar A multiplicado por L, se hace referencia al efecto que la tecnología puede tener en el trabajo.</w:t>
      </w:r>
      <w:r>
        <w:t xml:space="preserve"> </w:t>
      </w:r>
      <w:r w:rsidRPr="00ED05E9">
        <w:t>Según Solow, esto último es lo que adquiere mayor importancia al explicar el crecimiento de un país, y que la acumulación de capital solo explica una pequeña proporción del cambio en la producción. Pero, el modelo no especifica bien qué es eso de la eficacia del trabajo, siendo esta una de las críticas principales.</w:t>
      </w:r>
      <w:r>
        <w:t xml:space="preserve"> </w:t>
      </w:r>
      <w:r w:rsidRPr="00ED05E9">
        <w:t>Algunas interpretaciones a esta variable es que representa el conocimiento y la educación</w:t>
      </w:r>
      <w:r>
        <w:t>,</w:t>
      </w:r>
      <w:r w:rsidRPr="00ED05E9">
        <w:t xml:space="preserve"> vinculada a los trabajadores y la capacidad que estos poseen de aplicarlo a los procesos de producción.</w:t>
      </w:r>
    </w:p>
    <w:p w:rsidR="005A5E7D" w:rsidRDefault="005A5E7D" w:rsidP="005A5E7D">
      <w:r w:rsidRPr="00ED05E9">
        <w:t>Este modelo es uno que describe el comportamiento de la producción y sus determinantes en una economía grande.</w:t>
      </w:r>
      <w:r>
        <w:t xml:space="preserve"> </w:t>
      </w:r>
      <w:r w:rsidRPr="00ED05E9">
        <w:t>La hipótesis básica supone rendimientos constantes en los factores de producción para una economía grande, a diferencia de una economía pequeña donde los rendimientos son crecientes.</w:t>
      </w:r>
      <w:r>
        <w:t xml:space="preserve"> </w:t>
      </w:r>
      <w:r w:rsidRPr="00ED05E9">
        <w:t>Esta hipótesis es clave al analizar el tema de la convergencia, ya que tiene implicaciones importantes respecto a la senda de crecimiento de un país según sus características.</w:t>
      </w:r>
    </w:p>
    <w:p w:rsidR="005A5E7D" w:rsidRDefault="005A5E7D" w:rsidP="005A5E7D">
      <w:r w:rsidRPr="00ED05E9">
        <w:t>Cuando la economía es pequeña o se encuentra en vías de desarrollo, el nivel de especialización es mayor, por lo que un cambio en la cantidad de los factores de producción (trabajo y capital, en este caso) suele provocar un cambio de mayor proporción en la producción.</w:t>
      </w:r>
      <w:r>
        <w:t xml:space="preserve"> </w:t>
      </w:r>
      <w:r w:rsidRPr="00ED05E9">
        <w:t>A diferencia de las economías más desarrolladas</w:t>
      </w:r>
      <w:r>
        <w:t>,</w:t>
      </w:r>
      <w:r w:rsidRPr="00ED05E9">
        <w:t xml:space="preserve"> en las que las ganancias de la especialización ya se han agotado y un cambio en los factores resulta en un cambio de la producción en la misma proporción.</w:t>
      </w:r>
    </w:p>
    <w:p w:rsidR="005A5E7D" w:rsidRDefault="005A5E7D" w:rsidP="005A5E7D">
      <w:r w:rsidRPr="00ED05E9">
        <w:t>Esto significa que los rendimientos marginales son decrecientes</w:t>
      </w:r>
      <w:r>
        <w:t>,</w:t>
      </w:r>
      <w:r w:rsidRPr="00ED05E9">
        <w:t xml:space="preserve"> según la economía se vaya desarrollando.</w:t>
      </w:r>
      <w:r>
        <w:t xml:space="preserve"> </w:t>
      </w:r>
      <w:r w:rsidRPr="00ED05E9">
        <w:t>Es decir</w:t>
      </w:r>
      <w:r>
        <w:t>,</w:t>
      </w:r>
      <w:r w:rsidRPr="00ED05E9">
        <w:t xml:space="preserve"> que existe una relación entre el nivel de desarrollo de una economía y los rendimientos de los factores</w:t>
      </w:r>
      <w:r>
        <w:t>;</w:t>
      </w:r>
      <w:r w:rsidRPr="00ED05E9">
        <w:t xml:space="preserve"> habrá rendimientos marginales decrecientes.</w:t>
      </w:r>
      <w:r>
        <w:t xml:space="preserve"> </w:t>
      </w:r>
      <w:r w:rsidRPr="00ED05E9">
        <w:t>Mientras menos desarrollada esté una economía más rendirán sus factores de producción, provocando un crecimiento más acelerado que en países más desarrollados.</w:t>
      </w:r>
      <w:r>
        <w:t xml:space="preserve"> </w:t>
      </w:r>
      <w:r w:rsidRPr="00ED05E9">
        <w:t>Por lo tanto, mientras más desarrollada sea una economía, menor será su tasa de crecimiento, llegando a lo que se conoce como un estado estacionario.</w:t>
      </w:r>
    </w:p>
    <w:p w:rsidR="005A5E7D" w:rsidRDefault="005A5E7D" w:rsidP="005A5E7D">
      <w:r w:rsidRPr="00B12326">
        <w:t>Aunque el modelo de Solow es una gran simplificación de la realidad, t</w:t>
      </w:r>
      <w:r>
        <w:t>iene implicaciones importantes co</w:t>
      </w:r>
      <w:r w:rsidRPr="00B12326">
        <w:t>n relación al tema de la convergencia.</w:t>
      </w:r>
      <w:r>
        <w:t xml:space="preserve"> U</w:t>
      </w:r>
      <w:r w:rsidRPr="00B12326">
        <w:t>na economía converge hacia una senda de crecimiento sostenido</w:t>
      </w:r>
      <w:r>
        <w:t>, n</w:t>
      </w:r>
      <w:r w:rsidRPr="00B12326">
        <w:t xml:space="preserve">o importa cuáles sean </w:t>
      </w:r>
      <w:r>
        <w:t>su</w:t>
      </w:r>
      <w:r w:rsidRPr="00B12326">
        <w:t xml:space="preserve">s </w:t>
      </w:r>
      <w:r>
        <w:t>condiciones iniciales</w:t>
      </w:r>
      <w:r w:rsidRPr="00B12326">
        <w:t>.</w:t>
      </w:r>
      <w:r>
        <w:t xml:space="preserve"> </w:t>
      </w:r>
      <w:r w:rsidRPr="00B12326">
        <w:t>Según Romer (2006)</w:t>
      </w:r>
      <w:r>
        <w:t>,</w:t>
      </w:r>
      <w:r w:rsidRPr="00B12326">
        <w:t xml:space="preserve"> esta senda de crecimiento sostenido parece explicar muy bien el comportamiento de grandes economías industrializadas como es el caso de Estados Unidos.</w:t>
      </w:r>
      <w:r>
        <w:t xml:space="preserve"> </w:t>
      </w:r>
      <w:r w:rsidRPr="00B12326">
        <w:t>Además de que los países se mantienen en algún punto en su senda de crecimiento estacionario y tenderán a converger, también se podría deducir que la cantidad de capital y la difusión de la tecnología (asociada a la eficacia del trabajo) determinarán las desigualdades entre países y su convergencia en el largo plazo.</w:t>
      </w:r>
    </w:p>
    <w:p w:rsidR="00793A6E" w:rsidRPr="00B12326" w:rsidRDefault="00793A6E" w:rsidP="005A5E7D"/>
    <w:p w:rsidR="005A5E7D" w:rsidRPr="00816F19" w:rsidRDefault="005A5E7D" w:rsidP="009B59BB">
      <w:pPr>
        <w:pStyle w:val="Heading3"/>
      </w:pPr>
      <w:bookmarkStart w:id="98" w:name="_Toc384769788"/>
      <w:r>
        <w:t>B.3</w:t>
      </w:r>
      <w:r>
        <w:tab/>
      </w:r>
      <w:r w:rsidRPr="00816F19">
        <w:t>Nuevas teorías de crecimiento</w:t>
      </w:r>
      <w:bookmarkEnd w:id="98"/>
    </w:p>
    <w:p w:rsidR="005A5E7D" w:rsidRDefault="005A5E7D" w:rsidP="005A5E7D">
      <w:pPr>
        <w:spacing w:line="240" w:lineRule="auto"/>
      </w:pPr>
    </w:p>
    <w:p w:rsidR="005A5E7D" w:rsidRDefault="005A5E7D" w:rsidP="005A5E7D">
      <w:r w:rsidRPr="00ED05E9">
        <w:t>En la década de los ochenta, fue aumentando la insatisfacción con la explicación del crecimiento a partir de variables exógenas, y es en este contexto que surgen otras posibles explicaciones al problema del crecimiento (Argandoña, Gámez y Mochón, 1997).</w:t>
      </w:r>
      <w:r>
        <w:t xml:space="preserve"> </w:t>
      </w:r>
      <w:r w:rsidRPr="00ED05E9">
        <w:t xml:space="preserve">Los nuevos modelos </w:t>
      </w:r>
      <w:r>
        <w:t>“</w:t>
      </w:r>
      <w:r w:rsidRPr="00ED05E9">
        <w:t>endogenizan</w:t>
      </w:r>
      <w:r>
        <w:t>”</w:t>
      </w:r>
      <w:r w:rsidRPr="00ED05E9">
        <w:t xml:space="preserve"> la acumulación de capital, al i</w:t>
      </w:r>
      <w:r>
        <w:t xml:space="preserve">gual que otras variables que </w:t>
      </w:r>
      <w:r w:rsidRPr="00ED05E9">
        <w:t>pueden considerar</w:t>
      </w:r>
      <w:r>
        <w:t>se</w:t>
      </w:r>
      <w:r w:rsidRPr="00ED05E9">
        <w:t xml:space="preserve"> como determinantes de la producción y su cambio a través del tiempo, a diferencia del modelo de Solow donde el progreso tecnológico es exógeno.</w:t>
      </w:r>
    </w:p>
    <w:p w:rsidR="005A5E7D" w:rsidRDefault="005A5E7D" w:rsidP="005A5E7D">
      <w:r w:rsidRPr="00ED05E9">
        <w:t>Las nuevas teorías de crecimiento no están asociadas directamente con el análisis de la convergencia, su análisis va dirigido a los determinantes del crecimiento.</w:t>
      </w:r>
      <w:r>
        <w:t xml:space="preserve"> </w:t>
      </w:r>
      <w:r w:rsidRPr="00ED05E9">
        <w:t>De esta manera, se presta más atención a estos determinantes que al crecimiento mismo.</w:t>
      </w:r>
      <w:r>
        <w:t xml:space="preserve"> </w:t>
      </w:r>
      <w:r w:rsidRPr="00ED05E9">
        <w:t>Otra diferencia básica entre estos modelos y los modelos neoclásicos es que no suponen rendimientos decrecientes en el capital a largo plazo.</w:t>
      </w:r>
      <w:r>
        <w:t xml:space="preserve"> </w:t>
      </w:r>
      <w:r w:rsidRPr="00ED05E9">
        <w:t xml:space="preserve">Entonces, los </w:t>
      </w:r>
      <w:r>
        <w:t>modelos de crecimiento endógeno</w:t>
      </w:r>
      <w:r w:rsidRPr="00ED05E9">
        <w:t xml:space="preserve"> “no predicen la existencia de convergencia económica entre países” (Argandoña, Gámez y Mochón, 1997, 375).</w:t>
      </w:r>
    </w:p>
    <w:p w:rsidR="005A5E7D" w:rsidRPr="009D60A2" w:rsidRDefault="005A5E7D" w:rsidP="005A5E7D">
      <w:r w:rsidRPr="009D60A2">
        <w:t>Las nuevas teorías de crecimiento resaltan la importancia de los determinantes del crecimiento en el estudio de la convergencia.</w:t>
      </w:r>
      <w:r>
        <w:t xml:space="preserve"> </w:t>
      </w:r>
      <w:r w:rsidRPr="009D60A2">
        <w:t>No es suficiente acumular capital para generar crecimiento económico, hay otras variables que adquieren importancia en el análisis del crecimiento, y, por lo tanto, en el de la convergencia.</w:t>
      </w:r>
      <w:r>
        <w:t xml:space="preserve"> </w:t>
      </w:r>
      <w:r w:rsidRPr="009D60A2">
        <w:t>La siguiente lista es un ejemplo de estas variables:</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Conocimiento</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Capital humano</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Recursos naturales</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 xml:space="preserve">Comercio </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 xml:space="preserve">Migración </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 xml:space="preserve">Instituciones </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 xml:space="preserve">Estabilidad política </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 xml:space="preserve">Impuestos y subsidios </w:t>
      </w:r>
    </w:p>
    <w:p w:rsidR="005A5E7D" w:rsidRPr="00ED05E9" w:rsidRDefault="005A5E7D" w:rsidP="005A5E7D">
      <w:pPr>
        <w:pStyle w:val="ColorfulList-Accent11"/>
        <w:numPr>
          <w:ilvl w:val="2"/>
          <w:numId w:val="2"/>
        </w:numPr>
        <w:tabs>
          <w:tab w:val="clear" w:pos="2160"/>
          <w:tab w:val="num" w:pos="993"/>
        </w:tabs>
        <w:spacing w:line="360" w:lineRule="auto"/>
        <w:ind w:left="993" w:hanging="284"/>
        <w:rPr>
          <w:szCs w:val="24"/>
        </w:rPr>
      </w:pPr>
      <w:r w:rsidRPr="00ED05E9">
        <w:rPr>
          <w:szCs w:val="24"/>
        </w:rPr>
        <w:t xml:space="preserve">Política macroeconómica </w:t>
      </w:r>
    </w:p>
    <w:p w:rsidR="005A5E7D" w:rsidRPr="00ED05E9" w:rsidRDefault="005A5E7D" w:rsidP="005A5E7D">
      <w:pPr>
        <w:pStyle w:val="ColorfulList-Accent11"/>
        <w:numPr>
          <w:ilvl w:val="2"/>
          <w:numId w:val="2"/>
        </w:numPr>
        <w:tabs>
          <w:tab w:val="clear" w:pos="2160"/>
          <w:tab w:val="num" w:pos="993"/>
        </w:tabs>
        <w:spacing w:after="120" w:line="360" w:lineRule="auto"/>
        <w:ind w:left="993" w:hanging="284"/>
        <w:rPr>
          <w:szCs w:val="24"/>
        </w:rPr>
      </w:pPr>
      <w:r w:rsidRPr="00ED05E9">
        <w:rPr>
          <w:szCs w:val="24"/>
        </w:rPr>
        <w:t>Cambio estructur</w:t>
      </w:r>
      <w:r>
        <w:rPr>
          <w:szCs w:val="24"/>
        </w:rPr>
        <w:t>al y diversificación productiva.</w:t>
      </w:r>
    </w:p>
    <w:p w:rsidR="005A5E7D" w:rsidRDefault="005A5E7D" w:rsidP="005A5E7D">
      <w:r w:rsidRPr="00ED05E9">
        <w:t>El desarrollo de las nuevas teorías de crecimiento y sus aplicaciones dieron paso a distintas interpretaciones del c</w:t>
      </w:r>
      <w:r>
        <w:t>oncepto convergencia, lo cual se explica</w:t>
      </w:r>
      <w:r w:rsidRPr="00ED05E9">
        <w:t xml:space="preserve"> a continuación.</w:t>
      </w:r>
    </w:p>
    <w:p w:rsidR="00793A6E" w:rsidRPr="00ED05E9" w:rsidRDefault="00793A6E" w:rsidP="005A5E7D"/>
    <w:p w:rsidR="005A5E7D" w:rsidRPr="00DE4852" w:rsidRDefault="005A5E7D" w:rsidP="009B59BB">
      <w:pPr>
        <w:pStyle w:val="Heading3"/>
      </w:pPr>
      <w:bookmarkStart w:id="99" w:name="_Toc384769789"/>
      <w:r>
        <w:t>B.4</w:t>
      </w:r>
      <w:r>
        <w:tab/>
      </w:r>
      <w:r w:rsidRPr="00DE4852">
        <w:t>Interpretaciones de convergencia según los trabajos aplicados</w:t>
      </w:r>
      <w:bookmarkEnd w:id="99"/>
    </w:p>
    <w:p w:rsidR="005A5E7D" w:rsidRDefault="005A5E7D" w:rsidP="005A5E7D">
      <w:pPr>
        <w:spacing w:line="240" w:lineRule="auto"/>
      </w:pPr>
    </w:p>
    <w:p w:rsidR="005A5E7D" w:rsidRPr="00ED05E9" w:rsidRDefault="005A5E7D" w:rsidP="005A5E7D">
      <w:r w:rsidRPr="00ED05E9">
        <w:t>Son siete las categorías en las que, repetidamente en la literatura, suelen agruparse las interpretaciones conceptuales de la convergencia a través de los trabajos aplicados.</w:t>
      </w:r>
      <w:r>
        <w:t xml:space="preserve"> </w:t>
      </w:r>
      <w:r w:rsidRPr="00ED05E9">
        <w:t>Islam (2003) expone y explica las siete categorías de la siguiente manera:</w:t>
      </w:r>
    </w:p>
    <w:p w:rsidR="005A5E7D" w:rsidRPr="00ED05E9" w:rsidRDefault="005A5E7D" w:rsidP="005A5E7D">
      <w:pPr>
        <w:pStyle w:val="ColorfulList-Accent11"/>
        <w:numPr>
          <w:ilvl w:val="3"/>
          <w:numId w:val="1"/>
        </w:numPr>
        <w:ind w:left="1080"/>
        <w:rPr>
          <w:szCs w:val="24"/>
        </w:rPr>
      </w:pPr>
      <w:r w:rsidRPr="00ED05E9">
        <w:rPr>
          <w:b/>
          <w:bCs/>
          <w:szCs w:val="24"/>
        </w:rPr>
        <w:t>Convergencia dentro de una economía vs. entre economías</w:t>
      </w:r>
      <w:r w:rsidRPr="00ED05E9">
        <w:rPr>
          <w:szCs w:val="24"/>
        </w:rPr>
        <w:t xml:space="preserve"> (Solow, 1970): Surge del enfoque neoclásico discutido anteriormente. Los rendimientos decrecientes y la sustitución de factores permiten que la economía logre un equilibrio dinámico estable en el largo plazo.</w:t>
      </w:r>
    </w:p>
    <w:p w:rsidR="005A5E7D" w:rsidRPr="00ED05E9" w:rsidRDefault="005A5E7D" w:rsidP="005A5E7D">
      <w:pPr>
        <w:pStyle w:val="ColorfulList-Accent11"/>
        <w:numPr>
          <w:ilvl w:val="3"/>
          <w:numId w:val="1"/>
        </w:numPr>
        <w:ind w:left="1080"/>
        <w:rPr>
          <w:szCs w:val="24"/>
        </w:rPr>
      </w:pPr>
      <w:r w:rsidRPr="00ED05E9">
        <w:rPr>
          <w:b/>
          <w:bCs/>
          <w:szCs w:val="24"/>
        </w:rPr>
        <w:t>Convergencia en términos de la tasa de crecimiento vs. el nivel de ingreso</w:t>
      </w:r>
      <w:r w:rsidRPr="00ED05E9">
        <w:rPr>
          <w:szCs w:val="24"/>
        </w:rPr>
        <w:t>: El progreso tecnológico compartido permite una convergencia entre economías, tanto en su tasa de crecimiento como en su nivel de ingreso (mismo enfoque neoclásico).</w:t>
      </w:r>
    </w:p>
    <w:p w:rsidR="005A5E7D" w:rsidRPr="00ED05E9" w:rsidRDefault="005A5E7D" w:rsidP="005A5E7D">
      <w:pPr>
        <w:pStyle w:val="ColorfulList-Accent11"/>
        <w:numPr>
          <w:ilvl w:val="3"/>
          <w:numId w:val="1"/>
        </w:numPr>
        <w:ind w:left="1080"/>
        <w:rPr>
          <w:szCs w:val="24"/>
        </w:rPr>
      </w:pPr>
      <w:r w:rsidRPr="00ED05E9">
        <w:rPr>
          <w:b/>
          <w:bCs/>
          <w:szCs w:val="24"/>
        </w:rPr>
        <w:t>Convergencia beta vs. alpha</w:t>
      </w:r>
      <w:r w:rsidRPr="00ED05E9">
        <w:rPr>
          <w:szCs w:val="24"/>
        </w:rPr>
        <w:t>:</w:t>
      </w:r>
    </w:p>
    <w:p w:rsidR="005A5E7D" w:rsidRPr="00184131" w:rsidRDefault="005A5E7D" w:rsidP="005A5E7D">
      <w:pPr>
        <w:pStyle w:val="ColorfulList-Accent11"/>
        <w:ind w:left="1080" w:firstLine="0"/>
        <w:rPr>
          <w:szCs w:val="24"/>
        </w:rPr>
      </w:pPr>
      <w:r w:rsidRPr="00FD7F66">
        <w:rPr>
          <w:b/>
          <w:szCs w:val="24"/>
        </w:rPr>
        <w:t>Beta:</w:t>
      </w:r>
      <w:r>
        <w:rPr>
          <w:szCs w:val="24"/>
        </w:rPr>
        <w:t xml:space="preserve"> Los </w:t>
      </w:r>
      <w:r w:rsidRPr="00184131">
        <w:rPr>
          <w:szCs w:val="24"/>
        </w:rPr>
        <w:t>países pobres tienen un crecimiento mayor porque poseen una productividad marginal del capital mayor. Se refiere a una regresión en la que el coeficiente del ingreso inicial (Beta), recoge la correlación negativa entre el ingreso in</w:t>
      </w:r>
      <w:r w:rsidR="00873F5E">
        <w:rPr>
          <w:szCs w:val="24"/>
        </w:rPr>
        <w:t>i</w:t>
      </w:r>
      <w:r w:rsidRPr="00184131">
        <w:rPr>
          <w:szCs w:val="24"/>
        </w:rPr>
        <w:t>cial y la tasa de crecimiento.</w:t>
      </w:r>
    </w:p>
    <w:p w:rsidR="005A5E7D" w:rsidRPr="00ED05E9" w:rsidRDefault="005A5E7D" w:rsidP="005A5E7D">
      <w:pPr>
        <w:pStyle w:val="ColorfulList-Accent11"/>
        <w:ind w:left="1080" w:firstLine="0"/>
      </w:pPr>
      <w:r w:rsidRPr="00FD7F66">
        <w:rPr>
          <w:b/>
          <w:szCs w:val="24"/>
        </w:rPr>
        <w:t>Alfa</w:t>
      </w:r>
      <w:r w:rsidRPr="00FD7F66">
        <w:rPr>
          <w:b/>
        </w:rPr>
        <w:t>:</w:t>
      </w:r>
      <w:r>
        <w:t xml:space="preserve"> C</w:t>
      </w:r>
      <w:r w:rsidRPr="00ED05E9">
        <w:t>on la desviación estándar se estudia la dinámica de dispersión del nivel de ingreso o del crecimiento</w:t>
      </w:r>
      <w:r>
        <w:t xml:space="preserve"> </w:t>
      </w:r>
      <w:r w:rsidRPr="00ED05E9">
        <w:t>(Quaa, 1993 y Friedman, 1994).</w:t>
      </w:r>
    </w:p>
    <w:p w:rsidR="005A5E7D" w:rsidRPr="00ED05E9" w:rsidRDefault="005A5E7D" w:rsidP="005A5E7D">
      <w:pPr>
        <w:pStyle w:val="ColorfulList-Accent11"/>
        <w:numPr>
          <w:ilvl w:val="3"/>
          <w:numId w:val="1"/>
        </w:numPr>
        <w:ind w:left="1080"/>
        <w:rPr>
          <w:szCs w:val="24"/>
        </w:rPr>
      </w:pPr>
      <w:r w:rsidRPr="00ED05E9">
        <w:rPr>
          <w:b/>
          <w:bCs/>
          <w:szCs w:val="24"/>
        </w:rPr>
        <w:t>Convergencia absoluta vs. condicional</w:t>
      </w:r>
      <w:r w:rsidRPr="001C3177">
        <w:rPr>
          <w:bCs/>
          <w:szCs w:val="24"/>
        </w:rPr>
        <w:t>:</w:t>
      </w:r>
      <w:r w:rsidRPr="00ED05E9">
        <w:rPr>
          <w:szCs w:val="24"/>
        </w:rPr>
        <w:t xml:space="preserve"> </w:t>
      </w:r>
    </w:p>
    <w:p w:rsidR="005A5E7D" w:rsidRPr="00ED05E9" w:rsidRDefault="005A5E7D" w:rsidP="005A5E7D">
      <w:pPr>
        <w:pStyle w:val="ColorfulList-Accent11"/>
        <w:ind w:left="1080" w:firstLine="0"/>
        <w:rPr>
          <w:szCs w:val="24"/>
        </w:rPr>
      </w:pPr>
      <w:r w:rsidRPr="001C3177">
        <w:rPr>
          <w:b/>
          <w:szCs w:val="24"/>
        </w:rPr>
        <w:t>Absoluta:</w:t>
      </w:r>
      <w:r>
        <w:rPr>
          <w:szCs w:val="24"/>
        </w:rPr>
        <w:t xml:space="preserve"> L</w:t>
      </w:r>
      <w:r w:rsidRPr="00ED05E9">
        <w:rPr>
          <w:szCs w:val="24"/>
        </w:rPr>
        <w:t>a senda de crecimiento del ingreso de las economías depende de las mismas variables, por lo que en el largo plazo llegarán al mismo nivel de ingreso.</w:t>
      </w:r>
    </w:p>
    <w:p w:rsidR="005A5E7D" w:rsidRPr="00ED05E9" w:rsidRDefault="005A5E7D" w:rsidP="005A5E7D">
      <w:pPr>
        <w:pStyle w:val="ColorfulList-Accent11"/>
        <w:ind w:left="1080" w:firstLine="0"/>
        <w:rPr>
          <w:szCs w:val="24"/>
        </w:rPr>
      </w:pPr>
      <w:r w:rsidRPr="001C3177">
        <w:rPr>
          <w:b/>
          <w:szCs w:val="24"/>
        </w:rPr>
        <w:t>Condicional:</w:t>
      </w:r>
      <w:r w:rsidRPr="00ED05E9">
        <w:rPr>
          <w:szCs w:val="24"/>
        </w:rPr>
        <w:t xml:space="preserve"> </w:t>
      </w:r>
      <w:r>
        <w:rPr>
          <w:szCs w:val="24"/>
        </w:rPr>
        <w:t>E</w:t>
      </w:r>
      <w:r w:rsidRPr="00ED05E9">
        <w:rPr>
          <w:szCs w:val="24"/>
        </w:rPr>
        <w:t>xiste diferencia entre países en las sendas de crecimiento del ingreso y las variables que las determinan pueden variar, por lo que no necesariamente se llega al mismo nivel de ingreso en el largo plazo.</w:t>
      </w:r>
    </w:p>
    <w:p w:rsidR="005A5E7D" w:rsidRPr="00ED05E9" w:rsidRDefault="005A5E7D" w:rsidP="005A5E7D">
      <w:pPr>
        <w:pStyle w:val="ColorfulList-Accent11"/>
        <w:numPr>
          <w:ilvl w:val="3"/>
          <w:numId w:val="1"/>
        </w:numPr>
        <w:ind w:left="1080"/>
        <w:rPr>
          <w:szCs w:val="24"/>
        </w:rPr>
      </w:pPr>
      <w:r w:rsidRPr="00ED05E9">
        <w:rPr>
          <w:b/>
          <w:bCs/>
          <w:szCs w:val="24"/>
        </w:rPr>
        <w:t>Convergencia global vs. local o de club</w:t>
      </w:r>
      <w:r w:rsidRPr="00ED05E9">
        <w:rPr>
          <w:szCs w:val="24"/>
        </w:rPr>
        <w:t>:</w:t>
      </w:r>
      <w:r>
        <w:rPr>
          <w:szCs w:val="24"/>
        </w:rPr>
        <w:t xml:space="preserve"> (Ba</w:t>
      </w:r>
      <w:r w:rsidRPr="00ED05E9">
        <w:rPr>
          <w:szCs w:val="24"/>
        </w:rPr>
        <w:t>umol, 1986; Durlauf y Johnson, 1995; Garlor, 1996)</w:t>
      </w:r>
    </w:p>
    <w:p w:rsidR="005A5E7D" w:rsidRPr="00ED05E9" w:rsidRDefault="005A5E7D" w:rsidP="005A5E7D">
      <w:pPr>
        <w:pStyle w:val="ColorfulList-Accent11"/>
        <w:ind w:left="1080" w:firstLine="0"/>
        <w:rPr>
          <w:szCs w:val="24"/>
        </w:rPr>
      </w:pPr>
      <w:r w:rsidRPr="00B34955">
        <w:rPr>
          <w:b/>
          <w:szCs w:val="24"/>
        </w:rPr>
        <w:t>Global:</w:t>
      </w:r>
      <w:r>
        <w:rPr>
          <w:szCs w:val="24"/>
        </w:rPr>
        <w:t xml:space="preserve"> U</w:t>
      </w:r>
      <w:r w:rsidRPr="00ED05E9">
        <w:rPr>
          <w:szCs w:val="24"/>
        </w:rPr>
        <w:t>nicidad del equilibrio, los países convergen h</w:t>
      </w:r>
      <w:r>
        <w:rPr>
          <w:szCs w:val="24"/>
        </w:rPr>
        <w:t>acia el mismo nivel de ingreso.</w:t>
      </w:r>
    </w:p>
    <w:p w:rsidR="005A5E7D" w:rsidRPr="00ED05E9" w:rsidRDefault="005A5E7D" w:rsidP="005A5E7D">
      <w:pPr>
        <w:pStyle w:val="ColorfulList-Accent11"/>
        <w:ind w:left="1080" w:firstLine="0"/>
        <w:rPr>
          <w:szCs w:val="24"/>
        </w:rPr>
      </w:pPr>
      <w:r w:rsidRPr="00B34955">
        <w:rPr>
          <w:b/>
          <w:szCs w:val="24"/>
        </w:rPr>
        <w:t>Club:</w:t>
      </w:r>
      <w:r w:rsidRPr="00ED05E9">
        <w:rPr>
          <w:szCs w:val="24"/>
        </w:rPr>
        <w:t xml:space="preserve"> </w:t>
      </w:r>
      <w:r>
        <w:rPr>
          <w:szCs w:val="24"/>
        </w:rPr>
        <w:t>E</w:t>
      </w:r>
      <w:r w:rsidRPr="00ED05E9">
        <w:rPr>
          <w:szCs w:val="24"/>
        </w:rPr>
        <w:t>xistencia de equilibrios múltiples, alguno puede ser compartido por varias economías que posean las mismas características. No necesariamente todos los países convergen al mismo nivel de ingreso, aunque lo pueden hacer por grupos o clubes.</w:t>
      </w:r>
    </w:p>
    <w:p w:rsidR="005A5E7D" w:rsidRPr="00ED05E9" w:rsidRDefault="005A5E7D" w:rsidP="005A5E7D">
      <w:pPr>
        <w:pStyle w:val="ColorfulList-Accent11"/>
        <w:numPr>
          <w:ilvl w:val="3"/>
          <w:numId w:val="1"/>
        </w:numPr>
        <w:ind w:left="1080"/>
        <w:rPr>
          <w:szCs w:val="24"/>
        </w:rPr>
      </w:pPr>
      <w:r w:rsidRPr="00ED05E9">
        <w:rPr>
          <w:b/>
          <w:bCs/>
          <w:szCs w:val="24"/>
        </w:rPr>
        <w:t>Convergencia de ingreso vs. productividad total del factor</w:t>
      </w:r>
      <w:r>
        <w:rPr>
          <w:szCs w:val="24"/>
        </w:rPr>
        <w:t xml:space="preserve">: </w:t>
      </w:r>
      <w:r w:rsidRPr="00ED05E9">
        <w:rPr>
          <w:szCs w:val="24"/>
        </w:rPr>
        <w:t>(Dowrick y Nguyen, 1989; Dougherty y Jorgenson, 1996 y 1997; Wolff, 1991; Dollar y Wolff, 1994): Los países se acercan en términos de la productividad total de los factores, así convergen.</w:t>
      </w:r>
    </w:p>
    <w:p w:rsidR="005A5E7D" w:rsidRPr="00ED05E9" w:rsidRDefault="005A5E7D" w:rsidP="005A5E7D">
      <w:pPr>
        <w:pStyle w:val="ColorfulList-Accent11"/>
        <w:numPr>
          <w:ilvl w:val="3"/>
          <w:numId w:val="1"/>
        </w:numPr>
        <w:ind w:left="1080"/>
        <w:rPr>
          <w:szCs w:val="24"/>
        </w:rPr>
      </w:pPr>
      <w:r w:rsidRPr="00ED05E9">
        <w:rPr>
          <w:b/>
          <w:bCs/>
          <w:szCs w:val="24"/>
        </w:rPr>
        <w:t>Convergencia determinística vs. estocástica</w:t>
      </w:r>
      <w:r w:rsidRPr="00ED05E9">
        <w:rPr>
          <w:szCs w:val="24"/>
        </w:rPr>
        <w:t>: Tiene que ver con el uso de series de tiempo para analizar la convergencia entre países.</w:t>
      </w:r>
    </w:p>
    <w:p w:rsidR="005A5E7D" w:rsidRPr="00B34955" w:rsidRDefault="005A5E7D" w:rsidP="005A5E7D">
      <w:pPr>
        <w:pStyle w:val="ColorfulList-Accent11"/>
        <w:spacing w:line="240" w:lineRule="auto"/>
        <w:ind w:left="1440"/>
        <w:rPr>
          <w:sz w:val="16"/>
          <w:szCs w:val="24"/>
        </w:rPr>
      </w:pPr>
    </w:p>
    <w:p w:rsidR="005A5E7D" w:rsidRDefault="005A5E7D" w:rsidP="005A5E7D">
      <w:r w:rsidRPr="00ED05E9">
        <w:t>En los trabajos aplicados, la convergencia condicionada</w:t>
      </w:r>
      <w:r>
        <w:t xml:space="preserve"> hallada en los países pobres</w:t>
      </w:r>
      <w:r w:rsidRPr="00ED05E9">
        <w:t xml:space="preserve"> implica que cada país tiene su senda de crecimiento.</w:t>
      </w:r>
      <w:r>
        <w:t xml:space="preserve"> </w:t>
      </w:r>
      <w:r w:rsidRPr="00ED05E9">
        <w:t>Esto hace que adquiera importancia estudiar los determinantes</w:t>
      </w:r>
      <w:r>
        <w:t xml:space="preserve"> </w:t>
      </w:r>
      <w:r w:rsidRPr="00ED05E9">
        <w:t>de la senda de crecimiento.</w:t>
      </w:r>
      <w:r>
        <w:t xml:space="preserve"> </w:t>
      </w:r>
      <w:r w:rsidRPr="00ED05E9">
        <w:t>En este contexto, cobra importancia el enfoque asociado a las nuevas t</w:t>
      </w:r>
      <w:r>
        <w:t xml:space="preserve">eorías de crecimiento </w:t>
      </w:r>
      <w:r w:rsidRPr="00ED05E9">
        <w:t>(Islam, 2003)</w:t>
      </w:r>
      <w:r>
        <w:t>.</w:t>
      </w:r>
    </w:p>
    <w:p w:rsidR="005A5E7D" w:rsidRDefault="005A5E7D" w:rsidP="005A5E7D">
      <w:r w:rsidRPr="00ED05E9">
        <w:t>Por otro lado, Rodrik (2011) resalta la importancia del cambio estructural y la diversificación</w:t>
      </w:r>
      <w:r>
        <w:t xml:space="preserve"> </w:t>
      </w:r>
      <w:r w:rsidRPr="00ED05E9">
        <w:t>de la economía para el crecimiento y la convergencia.</w:t>
      </w:r>
      <w:r>
        <w:t xml:space="preserve"> </w:t>
      </w:r>
      <w:r w:rsidRPr="00ED05E9">
        <w:t>Añade que existe convergencia absoluta en sectores específicos, y que en esos sectores es que está la clave para el crecimiento.</w:t>
      </w:r>
      <w:r>
        <w:t xml:space="preserve"> </w:t>
      </w:r>
      <w:r w:rsidRPr="00ED05E9">
        <w:t>Por lo tanto, un país que quiera generar crecimiento, aumentar el nivel de ingreso y mejorar el nivel de vida de la población, deberá identificar las características</w:t>
      </w:r>
      <w:r>
        <w:t xml:space="preserve"> </w:t>
      </w:r>
      <w:r w:rsidRPr="00ED05E9">
        <w:t>de su estructura productiva que le permitan diversificarla de manera tal que consiga estos objetivos.</w:t>
      </w:r>
      <w:r>
        <w:t xml:space="preserve"> </w:t>
      </w:r>
      <w:r w:rsidRPr="00ED05E9">
        <w:t>En este contexto, la política económica juega un papel importante para lograr esos cambios y encaminar a la economía a una senda de crecimiento sostenido.</w:t>
      </w:r>
    </w:p>
    <w:p w:rsidR="00793A6E" w:rsidRPr="00ED05E9" w:rsidRDefault="00793A6E" w:rsidP="005A5E7D"/>
    <w:p w:rsidR="005A5E7D" w:rsidRPr="00816F19" w:rsidRDefault="005A5E7D" w:rsidP="009B59BB">
      <w:pPr>
        <w:pStyle w:val="Heading3"/>
      </w:pPr>
      <w:bookmarkStart w:id="100" w:name="_Toc384769790"/>
      <w:r>
        <w:t>B.5</w:t>
      </w:r>
      <w:r>
        <w:tab/>
      </w:r>
      <w:r w:rsidRPr="00816F19">
        <w:t>Método de análisis en los trabajos aplicados y su vínculo con el desarrollo teórico</w:t>
      </w:r>
      <w:bookmarkEnd w:id="100"/>
    </w:p>
    <w:p w:rsidR="005A5E7D" w:rsidRDefault="005A5E7D" w:rsidP="005A5E7D">
      <w:pPr>
        <w:spacing w:line="240" w:lineRule="auto"/>
      </w:pPr>
    </w:p>
    <w:p w:rsidR="005A5E7D" w:rsidRDefault="005A5E7D" w:rsidP="005A5E7D">
      <w:r w:rsidRPr="00ED05E9">
        <w:t>Existe una relación entre el desarrollo de los distintos enfoques teóricos presentados en la sección anterior y el de los métodos utilizados para el estudio de la convergencia. El desarrollo metodológico ha contribuido a fortalecer los planteamientos teóricos a partir de los trabajos aplicados.</w:t>
      </w:r>
    </w:p>
    <w:p w:rsidR="005A5E7D" w:rsidRPr="00ED05E9" w:rsidRDefault="005A5E7D" w:rsidP="005A5E7D">
      <w:r w:rsidRPr="00ED05E9">
        <w:t>Los distintos métodos utilizados para el análisis de la convergencia son:</w:t>
      </w:r>
    </w:p>
    <w:p w:rsidR="005A5E7D" w:rsidRPr="00ED05E9" w:rsidRDefault="005A5E7D" w:rsidP="005A5E7D">
      <w:pPr>
        <w:pStyle w:val="ColorfulList-Accent11"/>
        <w:numPr>
          <w:ilvl w:val="0"/>
          <w:numId w:val="5"/>
        </w:numPr>
        <w:spacing w:line="360" w:lineRule="auto"/>
        <w:ind w:left="1134"/>
        <w:rPr>
          <w:szCs w:val="24"/>
        </w:rPr>
      </w:pPr>
      <w:r>
        <w:rPr>
          <w:szCs w:val="24"/>
        </w:rPr>
        <w:t>corte seccional;</w:t>
      </w:r>
    </w:p>
    <w:p w:rsidR="005A5E7D" w:rsidRPr="00ED05E9" w:rsidRDefault="005A5E7D" w:rsidP="005A5E7D">
      <w:pPr>
        <w:pStyle w:val="ColorfulList-Accent11"/>
        <w:numPr>
          <w:ilvl w:val="0"/>
          <w:numId w:val="5"/>
        </w:numPr>
        <w:spacing w:line="360" w:lineRule="auto"/>
        <w:ind w:left="1134"/>
        <w:rPr>
          <w:szCs w:val="24"/>
        </w:rPr>
      </w:pPr>
      <w:r>
        <w:rPr>
          <w:szCs w:val="24"/>
        </w:rPr>
        <w:t>d</w:t>
      </w:r>
      <w:r w:rsidRPr="00ED05E9">
        <w:rPr>
          <w:szCs w:val="24"/>
        </w:rPr>
        <w:t>atos de panel</w:t>
      </w:r>
      <w:r>
        <w:rPr>
          <w:szCs w:val="24"/>
        </w:rPr>
        <w:t>;</w:t>
      </w:r>
    </w:p>
    <w:p w:rsidR="005A5E7D" w:rsidRPr="00ED05E9" w:rsidRDefault="005A5E7D" w:rsidP="005A5E7D">
      <w:pPr>
        <w:pStyle w:val="ColorfulList-Accent11"/>
        <w:numPr>
          <w:ilvl w:val="0"/>
          <w:numId w:val="5"/>
        </w:numPr>
        <w:spacing w:line="360" w:lineRule="auto"/>
        <w:ind w:left="1134"/>
        <w:rPr>
          <w:szCs w:val="24"/>
        </w:rPr>
      </w:pPr>
      <w:r>
        <w:rPr>
          <w:szCs w:val="24"/>
        </w:rPr>
        <w:t>series de tiempo; y</w:t>
      </w:r>
    </w:p>
    <w:p w:rsidR="005A5E7D" w:rsidRPr="00ED05E9" w:rsidRDefault="005A5E7D" w:rsidP="005A5E7D">
      <w:pPr>
        <w:pStyle w:val="ColorfulList-Accent11"/>
        <w:numPr>
          <w:ilvl w:val="0"/>
          <w:numId w:val="5"/>
        </w:numPr>
        <w:spacing w:line="360" w:lineRule="auto"/>
        <w:ind w:left="1134"/>
        <w:rPr>
          <w:szCs w:val="24"/>
        </w:rPr>
      </w:pPr>
      <w:r>
        <w:rPr>
          <w:szCs w:val="24"/>
        </w:rPr>
        <w:t>análisis de distribución.</w:t>
      </w:r>
    </w:p>
    <w:p w:rsidR="005A5E7D" w:rsidRPr="00B34955" w:rsidRDefault="005A5E7D" w:rsidP="005A5E7D">
      <w:pPr>
        <w:spacing w:line="240" w:lineRule="auto"/>
        <w:rPr>
          <w:sz w:val="16"/>
        </w:rPr>
      </w:pPr>
    </w:p>
    <w:p w:rsidR="005A5E7D" w:rsidRPr="00ED05E9" w:rsidRDefault="005A5E7D" w:rsidP="005A5E7D">
      <w:r w:rsidRPr="00ED05E9">
        <w:t>Incluso, cada uno de estos métodos mantiene una relación con enfoques teóricos específicos.</w:t>
      </w:r>
      <w:r>
        <w:t xml:space="preserve"> </w:t>
      </w:r>
      <w:r w:rsidRPr="00ED05E9">
        <w:t>A continuación</w:t>
      </w:r>
      <w:r>
        <w:t>,</w:t>
      </w:r>
      <w:r w:rsidRPr="00ED05E9">
        <w:t xml:space="preserve"> se muestra un ejemplo de la relación que mantienen:</w:t>
      </w:r>
    </w:p>
    <w:p w:rsidR="005A5E7D" w:rsidRDefault="005A5E7D" w:rsidP="00CB3560">
      <w:pPr>
        <w:pStyle w:val="ColorfulList-Accent11"/>
        <w:numPr>
          <w:ilvl w:val="0"/>
          <w:numId w:val="39"/>
        </w:numPr>
        <w:spacing w:line="360" w:lineRule="auto"/>
        <w:ind w:left="1134" w:hanging="425"/>
        <w:rPr>
          <w:szCs w:val="24"/>
        </w:rPr>
      </w:pPr>
      <w:r w:rsidRPr="00B34955">
        <w:rPr>
          <w:b/>
          <w:szCs w:val="24"/>
        </w:rPr>
        <w:t>Corte seccional y datos de panel:</w:t>
      </w:r>
      <w:r w:rsidRPr="00ED05E9">
        <w:rPr>
          <w:szCs w:val="24"/>
        </w:rPr>
        <w:t xml:space="preserve"> suelen utilizarse en todos los enfoques teóricos.</w:t>
      </w:r>
    </w:p>
    <w:p w:rsidR="005A5E7D" w:rsidRDefault="005A5E7D" w:rsidP="00CB3560">
      <w:pPr>
        <w:pStyle w:val="ColorfulList-Accent11"/>
        <w:numPr>
          <w:ilvl w:val="0"/>
          <w:numId w:val="39"/>
        </w:numPr>
        <w:spacing w:before="120" w:line="360" w:lineRule="auto"/>
        <w:ind w:left="1134" w:hanging="425"/>
        <w:rPr>
          <w:szCs w:val="24"/>
        </w:rPr>
      </w:pPr>
      <w:r w:rsidRPr="00B34955">
        <w:rPr>
          <w:b/>
          <w:szCs w:val="24"/>
        </w:rPr>
        <w:t>Series de tiempo</w:t>
      </w:r>
      <w:r w:rsidRPr="0075749D">
        <w:rPr>
          <w:szCs w:val="24"/>
        </w:rPr>
        <w:t>: convergencia dentro de una economía vs</w:t>
      </w:r>
      <w:r>
        <w:rPr>
          <w:szCs w:val="24"/>
        </w:rPr>
        <w:t>.</w:t>
      </w:r>
      <w:r w:rsidRPr="0075749D">
        <w:rPr>
          <w:szCs w:val="24"/>
        </w:rPr>
        <w:t xml:space="preserve"> convergencia entre economías; convergencia en términos de la tasa de crecimiento vs</w:t>
      </w:r>
      <w:r>
        <w:rPr>
          <w:szCs w:val="24"/>
        </w:rPr>
        <w:t>.</w:t>
      </w:r>
      <w:r w:rsidRPr="0075749D">
        <w:rPr>
          <w:szCs w:val="24"/>
        </w:rPr>
        <w:t xml:space="preserve"> el nivel de ingreso; convergencia beta vs</w:t>
      </w:r>
      <w:r>
        <w:rPr>
          <w:szCs w:val="24"/>
        </w:rPr>
        <w:t>.</w:t>
      </w:r>
      <w:r w:rsidRPr="0075749D">
        <w:rPr>
          <w:szCs w:val="24"/>
        </w:rPr>
        <w:t xml:space="preserve"> alfa; y convergencia absoluta vs</w:t>
      </w:r>
      <w:r>
        <w:rPr>
          <w:szCs w:val="24"/>
        </w:rPr>
        <w:t>.</w:t>
      </w:r>
      <w:r w:rsidRPr="0075749D">
        <w:rPr>
          <w:szCs w:val="24"/>
        </w:rPr>
        <w:t xml:space="preserve"> condicional.</w:t>
      </w:r>
    </w:p>
    <w:p w:rsidR="005A5E7D" w:rsidRDefault="005A5E7D" w:rsidP="00CB3560">
      <w:pPr>
        <w:pStyle w:val="ColorfulList-Accent11"/>
        <w:numPr>
          <w:ilvl w:val="0"/>
          <w:numId w:val="39"/>
        </w:numPr>
        <w:spacing w:before="120" w:after="120" w:line="360" w:lineRule="auto"/>
        <w:ind w:left="1134" w:hanging="425"/>
        <w:rPr>
          <w:szCs w:val="24"/>
        </w:rPr>
      </w:pPr>
      <w:r w:rsidRPr="00B34955">
        <w:rPr>
          <w:b/>
          <w:szCs w:val="24"/>
        </w:rPr>
        <w:t>Análisis de distribución:</w:t>
      </w:r>
      <w:r>
        <w:rPr>
          <w:szCs w:val="24"/>
        </w:rPr>
        <w:t xml:space="preserve"> convergencia beta vs. alfa.</w:t>
      </w:r>
    </w:p>
    <w:p w:rsidR="005A5E7D" w:rsidRDefault="005A5E7D" w:rsidP="005A5E7D">
      <w:r>
        <w:t>A pesar de que han surgido distintos enfoques respecto al tema de la convergencia y métodos asociados, se puede hablar de un consenso en ciertas áreas. Según Islam (2003), se puede comprobar de los trabajos aplicados que la convergencia beta es l</w:t>
      </w:r>
      <w:r w:rsidRPr="00ED05E9">
        <w:t>a más robusta</w:t>
      </w:r>
      <w:r>
        <w:t>; que e</w:t>
      </w:r>
      <w:r w:rsidRPr="00ED05E9">
        <w:t xml:space="preserve">n </w:t>
      </w:r>
      <w:r>
        <w:t xml:space="preserve">las </w:t>
      </w:r>
      <w:r w:rsidRPr="00ED05E9">
        <w:t>economías desarrolladas suele haber convergencia absoluta</w:t>
      </w:r>
      <w:r>
        <w:t>; que l</w:t>
      </w:r>
      <w:r w:rsidRPr="00ED05E9">
        <w:t>a convergencia alfa es cierta cuando hay convergencia beta</w:t>
      </w:r>
      <w:r>
        <w:t>; y que e</w:t>
      </w:r>
      <w:r w:rsidRPr="00ED05E9">
        <w:t>l método de series de tiempo es asociado con la convergencia condicionada.</w:t>
      </w:r>
    </w:p>
    <w:p w:rsidR="005A5E7D" w:rsidRPr="00ED05E9" w:rsidRDefault="005A5E7D" w:rsidP="005A5E7D">
      <w:r w:rsidRPr="00ED05E9">
        <w:t>El debate más intenso</w:t>
      </w:r>
      <w:r>
        <w:t xml:space="preserve"> que surge de la literatura aplicada es con</w:t>
      </w:r>
      <w:r w:rsidRPr="00ED05E9">
        <w:t xml:space="preserve"> relación al valor de los parámetros; es decir al valor de la tasa de convergencia o la elasticidad de la producción respecto al capital, que son los parámetros comúnmente anal</w:t>
      </w:r>
      <w:r>
        <w:t>izados</w:t>
      </w:r>
      <w:r w:rsidRPr="00ED05E9">
        <w:t>.</w:t>
      </w:r>
      <w:r>
        <w:t xml:space="preserve"> Kane (2001) señala que el uso del método puede definir los resultados de la investigación e incluso generar distintos hallazgos para el mismo caso de estudio.</w:t>
      </w:r>
    </w:p>
    <w:p w:rsidR="005A5E7D" w:rsidRPr="00B34955" w:rsidRDefault="005A5E7D" w:rsidP="005A5E7D">
      <w:pPr>
        <w:pStyle w:val="ColorfulList-Accent11"/>
        <w:spacing w:line="240" w:lineRule="auto"/>
        <w:ind w:left="1440"/>
        <w:rPr>
          <w:sz w:val="16"/>
          <w:szCs w:val="24"/>
        </w:rPr>
      </w:pPr>
    </w:p>
    <w:p w:rsidR="005A5E7D" w:rsidRDefault="005A5E7D" w:rsidP="005A5E7D">
      <w:pPr>
        <w:pStyle w:val="Heading2"/>
        <w:ind w:left="426" w:hanging="426"/>
      </w:pPr>
      <w:bookmarkStart w:id="101" w:name="_Toc384769791"/>
      <w:r w:rsidRPr="00312C8C">
        <w:t xml:space="preserve">Pertinencia del tema </w:t>
      </w:r>
      <w:r>
        <w:t xml:space="preserve">de la convergencia para el tema </w:t>
      </w:r>
      <w:r w:rsidRPr="00312C8C">
        <w:t>del estatus</w:t>
      </w:r>
      <w:bookmarkEnd w:id="101"/>
    </w:p>
    <w:p w:rsidR="005A5E7D" w:rsidRDefault="005A5E7D" w:rsidP="005A5E7D">
      <w:pPr>
        <w:spacing w:line="240" w:lineRule="auto"/>
      </w:pPr>
    </w:p>
    <w:p w:rsidR="005A5E7D" w:rsidRDefault="005A5E7D" w:rsidP="005A5E7D">
      <w:r>
        <w:t>La discusión del vínculo entre la convergencia de Puerto Rico con Estados Unidos, y el tema del estatus político no se ha reflejado en los trabajos formales o académicos. Solo existen tres trabajos que de manera directa abordan el tema de la convergencia, y son los de Lefort los que incluyen el tema del estatus. Sin embargo, las variables de crecimiento y estatus político de Puerto Rico son vinculadas en la literatura de los ciclos económicos. En esa área temática, existe una variedad de artículos que pueden servir de base o introducción al análisis de la convergencia en Puerto Rico. Es por esto, que se inicia esta sección con una revisión de dicha literatura. Luego, se discuten los trabajos de convergencia aplicados al caso de Puerto Rico.</w:t>
      </w:r>
    </w:p>
    <w:p w:rsidR="00793A6E" w:rsidRPr="009B41CA" w:rsidRDefault="00793A6E" w:rsidP="005A5E7D"/>
    <w:p w:rsidR="005A5E7D" w:rsidRPr="00816F19" w:rsidRDefault="005A5E7D" w:rsidP="009B59BB">
      <w:pPr>
        <w:pStyle w:val="Heading3"/>
      </w:pPr>
      <w:bookmarkStart w:id="102" w:name="_Toc384769792"/>
      <w:r>
        <w:t>C.1</w:t>
      </w:r>
      <w:r>
        <w:tab/>
      </w:r>
      <w:r w:rsidRPr="00816F19">
        <w:t>Los ciclos económicos de Puerto Rico</w:t>
      </w:r>
      <w:bookmarkEnd w:id="102"/>
    </w:p>
    <w:p w:rsidR="005A5E7D" w:rsidRDefault="005A5E7D" w:rsidP="005A5E7D">
      <w:pPr>
        <w:spacing w:line="240" w:lineRule="auto"/>
      </w:pPr>
    </w:p>
    <w:p w:rsidR="005A5E7D" w:rsidRPr="006B5D14" w:rsidRDefault="005A5E7D" w:rsidP="005A5E7D">
      <w:r w:rsidRPr="006B5D14">
        <w:t>Un tema importante que nos permite evaluar la convergencia son los ciclos económicos. Los ciclos económicos son las desviaciones o fluctuaciones en la actividad económica a través del tiempo. Se distinguen dos fases importantes dentro de los ciclos económicos: las expansiones y las recesiones. Las expansiones son aquellos períodos en los que la actividad económica</w:t>
      </w:r>
      <w:r>
        <w:t xml:space="preserve"> </w:t>
      </w:r>
      <w:r w:rsidRPr="006B5D14">
        <w:t xml:space="preserve">aumenta, manifestada a través de las tasas de crecimiento del </w:t>
      </w:r>
      <w:r>
        <w:t>p</w:t>
      </w:r>
      <w:r w:rsidRPr="006B5D14">
        <w:t xml:space="preserve">roducto </w:t>
      </w:r>
      <w:r>
        <w:t>b</w:t>
      </w:r>
      <w:r w:rsidRPr="006B5D14">
        <w:t xml:space="preserve">ruto. Por el contrario, las recesiones son aquellas en las que esta misma actividad disminuye por dos o más trimestres consecutivos. La duración de la contracción se mide desde el pico del ciclo hasta el valle, momento donde inicia la recuperación económica y expansión. </w:t>
      </w:r>
    </w:p>
    <w:p w:rsidR="005A5E7D" w:rsidRPr="006B5D14" w:rsidRDefault="005A5E7D" w:rsidP="005A5E7D">
      <w:r w:rsidRPr="006B5D14">
        <w:t>Los ciclos económicos proporcionan evidencia robusta acerca de los cambios en la actividad económica y permite</w:t>
      </w:r>
      <w:r>
        <w:t>n</w:t>
      </w:r>
      <w:r w:rsidRPr="006B5D14">
        <w:t xml:space="preserve"> compararlos con otros países o regiones alrededor del mundo. Dado que la estabilidad macroeconómica es uno de los determinantes bási</w:t>
      </w:r>
      <w:r>
        <w:t xml:space="preserve">cos del crecimiento económico, </w:t>
      </w:r>
      <w:r w:rsidRPr="006B5D14">
        <w:t xml:space="preserve">experimentar fluctuaciones negativas profundas y prolongadas no sienta las bases para un proceso de convergencia. </w:t>
      </w:r>
    </w:p>
    <w:p w:rsidR="005A5E7D" w:rsidRPr="006B5D14" w:rsidRDefault="005A5E7D" w:rsidP="005A5E7D">
      <w:r w:rsidRPr="006B5D14">
        <w:t xml:space="preserve">A nivel de ciclos económicos, la convergencia es posible cuando las contracciones son breves y muy poco profundas. De esta manera, las economías que se encuentran con velocidades menores de convergencia pueden acercarse más rápidamente a aquellas con ingresos mayores. En cambio, si las recesiones se prolongan y difunden en la economía, el proceso de divergencia se acentúa y la convergencia se dilata. </w:t>
      </w:r>
    </w:p>
    <w:p w:rsidR="005A5E7D" w:rsidRDefault="005A5E7D" w:rsidP="005A5E7D">
      <w:r w:rsidRPr="006B5D14">
        <w:t>Por lo tanto, se presenta la discusión en torno a este tema que se ha desarrollado para el caso de Puerto Rico con Estados Unidos.</w:t>
      </w:r>
      <w:r>
        <w:t xml:space="preserve"> </w:t>
      </w:r>
      <w:r w:rsidRPr="006B5D14">
        <w:t xml:space="preserve">De esta manera, se podrá conocer si la política económica </w:t>
      </w:r>
      <w:r>
        <w:t>implantada</w:t>
      </w:r>
      <w:r w:rsidRPr="006B5D14">
        <w:t xml:space="preserve"> en Estados Unidos tiene efecto</w:t>
      </w:r>
      <w:r>
        <w:t>s</w:t>
      </w:r>
      <w:r w:rsidRPr="006B5D14">
        <w:t xml:space="preserve"> en la economía </w:t>
      </w:r>
      <w:r>
        <w:t>de la Isla</w:t>
      </w:r>
      <w:r w:rsidRPr="006B5D14">
        <w:t>, de qué manera responde la economía de Puerto Rico a las fluctuaciones en los ciclos económicos estadounidenses</w:t>
      </w:r>
      <w:r>
        <w:t>,</w:t>
      </w:r>
      <w:r w:rsidRPr="006B5D14">
        <w:t xml:space="preserve"> y cuán profundas han sido para Estados Unidos y Puerto Rico.</w:t>
      </w:r>
    </w:p>
    <w:p w:rsidR="005A5E7D" w:rsidRPr="006B5D14" w:rsidRDefault="005A5E7D" w:rsidP="005A5E7D">
      <w:r w:rsidRPr="006B5D14">
        <w:t xml:space="preserve">Para evaluar los ciclos económicos entre Puerto Rico y Estados Unidos, se seleccionó el </w:t>
      </w:r>
      <w:r>
        <w:t>p</w:t>
      </w:r>
      <w:r w:rsidRPr="006B5D14">
        <w:t xml:space="preserve">roducto </w:t>
      </w:r>
      <w:r>
        <w:t>n</w:t>
      </w:r>
      <w:r w:rsidRPr="006B5D14">
        <w:t xml:space="preserve">acional </w:t>
      </w:r>
      <w:r>
        <w:t>b</w:t>
      </w:r>
      <w:r w:rsidRPr="006B5D14">
        <w:t xml:space="preserve">ruto (PNB) como medida de crecimiento económico. Esto se </w:t>
      </w:r>
      <w:r>
        <w:t>debe a que</w:t>
      </w:r>
      <w:r w:rsidRPr="006B5D14">
        <w:t xml:space="preserve"> entre 1976 y el 2006</w:t>
      </w:r>
      <w:r>
        <w:t xml:space="preserve"> estuvo en vigor la sección 936,</w:t>
      </w:r>
      <w:r w:rsidRPr="006B5D14">
        <w:t xml:space="preserve"> que permitía remitir las ganancias de las subsidiarias en Puerto Rico a las corporaciones matrices con exenciones al pago de impuestos. Por lo tanto, el </w:t>
      </w:r>
      <w:r>
        <w:t xml:space="preserve">producto interno bruto (PIB) refleja el </w:t>
      </w:r>
      <w:r w:rsidRPr="000B5300">
        <w:rPr>
          <w:i/>
        </w:rPr>
        <w:t>shock</w:t>
      </w:r>
      <w:r w:rsidRPr="006B5D14">
        <w:t xml:space="preserve"> de este incentivo a la economía </w:t>
      </w:r>
      <w:r>
        <w:t>de la Isla</w:t>
      </w:r>
      <w:r w:rsidRPr="006B5D14">
        <w:t xml:space="preserve"> y el PNB puede minimizar</w:t>
      </w:r>
      <w:r>
        <w:t>lo</w:t>
      </w:r>
      <w:r w:rsidRPr="006B5D14">
        <w:t>.</w:t>
      </w:r>
    </w:p>
    <w:p w:rsidR="005A5E7D" w:rsidRPr="006B5D14" w:rsidRDefault="005A5E7D" w:rsidP="005A5E7D">
      <w:r w:rsidRPr="006B5D14">
        <w:t xml:space="preserve">Utilizando los datos del Banco Mundial para el </w:t>
      </w:r>
      <w:r>
        <w:t>p</w:t>
      </w:r>
      <w:r w:rsidRPr="006B5D14">
        <w:t xml:space="preserve">roducto </w:t>
      </w:r>
      <w:r>
        <w:t>n</w:t>
      </w:r>
      <w:r w:rsidRPr="006B5D14">
        <w:t xml:space="preserve">acional </w:t>
      </w:r>
      <w:r>
        <w:t>b</w:t>
      </w:r>
      <w:r w:rsidRPr="006B5D14">
        <w:t xml:space="preserve">ruto (PNB) de Puerto Rico y Estados Unidos a partir de 1972, se construyó la siguiente gráfica para ilustrar los ciclos económicos y evaluar así la respuesta de la economía de Puerto Rico a las fluctuaciones económicas en Estados Unidos. </w:t>
      </w:r>
    </w:p>
    <w:p w:rsidR="005A5E7D" w:rsidRPr="00E44190" w:rsidRDefault="005A5E7D" w:rsidP="005A5E7D">
      <w:pPr>
        <w:pStyle w:val="ColorfulList-Accent11"/>
        <w:keepNext/>
        <w:spacing w:line="240" w:lineRule="auto"/>
        <w:ind w:left="1080"/>
        <w:jc w:val="center"/>
        <w:rPr>
          <w:b/>
          <w:sz w:val="16"/>
          <w:szCs w:val="24"/>
        </w:rPr>
      </w:pPr>
      <w:r w:rsidRPr="0080668B">
        <w:rPr>
          <w:b/>
          <w:szCs w:val="24"/>
        </w:rPr>
        <w:t xml:space="preserve"> </w:t>
      </w:r>
    </w:p>
    <w:p w:rsidR="005A5E7D" w:rsidRPr="00873F5E" w:rsidRDefault="0095547C" w:rsidP="005A5E7D">
      <w:pPr>
        <w:pStyle w:val="ColorfulList-Accent11"/>
        <w:spacing w:line="360" w:lineRule="auto"/>
        <w:ind w:left="0" w:firstLine="0"/>
        <w:jc w:val="center"/>
        <w:rPr>
          <w:b/>
          <w:szCs w:val="24"/>
        </w:rPr>
      </w:pPr>
      <w:r>
        <w:rPr>
          <w:b/>
          <w:noProof/>
          <w:szCs w:val="24"/>
          <w:lang w:val="en-US"/>
        </w:rPr>
        <w:drawing>
          <wp:inline distT="0" distB="0" distL="0" distR="0">
            <wp:extent cx="5819140" cy="2890520"/>
            <wp:effectExtent l="0" t="0" r="10160" b="24130"/>
            <wp:docPr id="2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5A5E7D" w:rsidRPr="005B5FEE" w:rsidRDefault="005A5E7D" w:rsidP="005A5E7D">
      <w:pPr>
        <w:spacing w:line="240" w:lineRule="auto"/>
        <w:ind w:left="720" w:firstLine="360"/>
        <w:rPr>
          <w:sz w:val="18"/>
          <w:szCs w:val="18"/>
          <w:lang w:val="en-US"/>
        </w:rPr>
      </w:pPr>
      <w:r w:rsidRPr="00C43290">
        <w:rPr>
          <w:b/>
          <w:sz w:val="18"/>
          <w:szCs w:val="18"/>
          <w:lang w:val="en-US"/>
        </w:rPr>
        <w:t>Fuente</w:t>
      </w:r>
      <w:r w:rsidRPr="00FD7F66">
        <w:rPr>
          <w:b/>
          <w:sz w:val="18"/>
          <w:szCs w:val="18"/>
          <w:lang w:val="en-US"/>
        </w:rPr>
        <w:t>:</w:t>
      </w:r>
      <w:r w:rsidRPr="00C43290">
        <w:rPr>
          <w:sz w:val="18"/>
          <w:szCs w:val="18"/>
          <w:lang w:val="en-US"/>
        </w:rPr>
        <w:t xml:space="preserve"> Banco</w:t>
      </w:r>
      <w:r w:rsidRPr="005B5FEE">
        <w:rPr>
          <w:sz w:val="18"/>
          <w:szCs w:val="18"/>
          <w:lang w:val="en-US"/>
        </w:rPr>
        <w:t xml:space="preserve"> Mundial (2014) </w:t>
      </w:r>
      <w:r w:rsidRPr="005B5FEE">
        <w:rPr>
          <w:i/>
          <w:sz w:val="18"/>
          <w:szCs w:val="18"/>
          <w:lang w:val="en-US"/>
        </w:rPr>
        <w:t>World Development Indicators</w:t>
      </w:r>
      <w:r w:rsidRPr="005B5FEE">
        <w:rPr>
          <w:sz w:val="18"/>
          <w:szCs w:val="18"/>
          <w:lang w:val="en-US"/>
        </w:rPr>
        <w:t>.</w:t>
      </w:r>
    </w:p>
    <w:p w:rsidR="005A5E7D" w:rsidRPr="006B5D14" w:rsidRDefault="005A5E7D" w:rsidP="005A5E7D">
      <w:pPr>
        <w:ind w:left="720" w:firstLine="360"/>
        <w:rPr>
          <w:szCs w:val="24"/>
        </w:rPr>
      </w:pPr>
      <w:r w:rsidRPr="00FD7F66">
        <w:rPr>
          <w:b/>
          <w:sz w:val="18"/>
          <w:szCs w:val="18"/>
        </w:rPr>
        <w:t>Recuperado de:</w:t>
      </w:r>
      <w:r w:rsidRPr="006B5D14">
        <w:rPr>
          <w:sz w:val="18"/>
          <w:szCs w:val="18"/>
        </w:rPr>
        <w:t xml:space="preserve"> http://databank.worldbank.org/data/views/reports/tableview.aspx</w:t>
      </w:r>
    </w:p>
    <w:p w:rsidR="005A5E7D" w:rsidRDefault="005A5E7D" w:rsidP="005A5E7D">
      <w:pPr>
        <w:spacing w:line="240" w:lineRule="auto"/>
      </w:pPr>
    </w:p>
    <w:p w:rsidR="005A5E7D" w:rsidRPr="006B5D14" w:rsidRDefault="005A5E7D" w:rsidP="005A5E7D">
      <w:r w:rsidRPr="006B5D14">
        <w:t xml:space="preserve">Como se muestra en esta serie de tiempo, los ciclos económicos de Puerto Rico experimentan </w:t>
      </w:r>
      <w:r>
        <w:t>algún rezago co</w:t>
      </w:r>
      <w:r w:rsidRPr="006B5D14">
        <w:t>n relación a los ciclos económicos de Estados Unidos.</w:t>
      </w:r>
      <w:r>
        <w:t xml:space="preserve"> </w:t>
      </w:r>
      <w:r w:rsidRPr="006B5D14">
        <w:t xml:space="preserve">Entre 1997 y 2004 </w:t>
      </w:r>
      <w:r>
        <w:t>las</w:t>
      </w:r>
      <w:r w:rsidRPr="006B5D14">
        <w:t xml:space="preserve"> fluctuaciones no son coincidentes con los ciclos económicos estadounidenses; sin embargo, este período concuerda con la eliminación de la sección 936 entre 1996 y 2006, así como con la decadencia</w:t>
      </w:r>
      <w:r>
        <w:t xml:space="preserve"> del sector farmacéutico en la I</w:t>
      </w:r>
      <w:r w:rsidRPr="006B5D14">
        <w:t>sla.</w:t>
      </w:r>
      <w:r>
        <w:t xml:space="preserve"> </w:t>
      </w:r>
      <w:r w:rsidRPr="006B5D14">
        <w:t xml:space="preserve">Al finalizar este período, los ciclos económicos de Puerto Rico vuelven a ser rezagados en relación con Estados Unidos. </w:t>
      </w:r>
    </w:p>
    <w:p w:rsidR="005A5E7D" w:rsidRPr="006B5D14" w:rsidRDefault="005A5E7D" w:rsidP="005A5E7D">
      <w:r w:rsidRPr="006B5D14">
        <w:t>Alameda (2004) llevó a cabo un análisis sobre qué porcentaje de los ciclo</w:t>
      </w:r>
      <w:r>
        <w:t xml:space="preserve">s económicos de cada estado de </w:t>
      </w:r>
      <w:r w:rsidRPr="006B5D14">
        <w:t xml:space="preserve">Estados Unidos </w:t>
      </w:r>
      <w:r>
        <w:t>se</w:t>
      </w:r>
      <w:r w:rsidRPr="006B5D14">
        <w:t xml:space="preserve"> explica</w:t>
      </w:r>
      <w:r>
        <w:t>ba</w:t>
      </w:r>
      <w:r w:rsidRPr="006B5D14">
        <w:t xml:space="preserve"> por las fluctuaciones en el ciclo económico nacional.</w:t>
      </w:r>
      <w:r>
        <w:t xml:space="preserve"> A</w:t>
      </w:r>
      <w:r w:rsidRPr="006B5D14">
        <w:t xml:space="preserve">ñadió a Puerto Rico, a fin de conocer el impacto en la economía </w:t>
      </w:r>
      <w:r>
        <w:t>de la Isla</w:t>
      </w:r>
      <w:r w:rsidRPr="006B5D14">
        <w:t>.</w:t>
      </w:r>
      <w:r>
        <w:t xml:space="preserve"> </w:t>
      </w:r>
      <w:r w:rsidRPr="006B5D14">
        <w:t>Puerto Rico ocupó el octavo lugar en este análisis de enlace cíclico. De acuerdo con el autor, las fluctuaciones en los ciclos económicos de Estados Unidos explican el 33% de las fluctuaciones en los ciclos económicos de Puerto Rico.</w:t>
      </w:r>
    </w:p>
    <w:p w:rsidR="00793A6E" w:rsidRDefault="005A5E7D" w:rsidP="005A5E7D">
      <w:r w:rsidRPr="006B5D14">
        <w:t>Otro aspecto importante que se debe destacar es la profundidad de los ciclos económicos de Puerto Rico.</w:t>
      </w:r>
      <w:r>
        <w:t xml:space="preserve"> </w:t>
      </w:r>
      <w:r w:rsidRPr="006B5D14">
        <w:t xml:space="preserve">La tasa de crecimiento del PNB muestra mayor volatilidad en el ciclo económico de Puerto Rico; siendo mayores las veces en las que </w:t>
      </w:r>
      <w:r>
        <w:t>la tasa</w:t>
      </w:r>
      <w:r w:rsidRPr="006B5D14">
        <w:t xml:space="preserve"> es negativa y por períodos más prolongados. </w:t>
      </w:r>
    </w:p>
    <w:p w:rsidR="00793A6E" w:rsidRDefault="00793A6E">
      <w:pPr>
        <w:spacing w:line="240" w:lineRule="auto"/>
        <w:ind w:firstLine="0"/>
        <w:jc w:val="left"/>
      </w:pPr>
      <w:r>
        <w:br w:type="page"/>
      </w:r>
    </w:p>
    <w:p w:rsidR="005A5E7D" w:rsidRPr="006B5D14" w:rsidRDefault="005A5E7D" w:rsidP="005A5E7D"/>
    <w:p w:rsidR="005A5E7D" w:rsidRDefault="005A5E7D" w:rsidP="005A5E7D">
      <w:pPr>
        <w:pStyle w:val="ColorfulList-Accent11"/>
        <w:keepNext/>
        <w:spacing w:line="240" w:lineRule="auto"/>
        <w:ind w:left="1080" w:firstLine="0"/>
        <w:jc w:val="center"/>
        <w:rPr>
          <w:b/>
          <w:szCs w:val="24"/>
        </w:rPr>
      </w:pPr>
      <w:r w:rsidRPr="006B5D14">
        <w:rPr>
          <w:b/>
          <w:szCs w:val="24"/>
        </w:rPr>
        <w:t>Contracciones en el ciclo económico de Puerto Rico a partir de 1972</w:t>
      </w:r>
    </w:p>
    <w:p w:rsidR="005A5E7D" w:rsidRPr="00FD7F66" w:rsidRDefault="005A5E7D" w:rsidP="005A5E7D">
      <w:pPr>
        <w:pStyle w:val="ColorfulList-Accent11"/>
        <w:keepNext/>
        <w:spacing w:line="240" w:lineRule="auto"/>
        <w:ind w:left="1080"/>
        <w:rPr>
          <w:b/>
          <w:sz w:val="16"/>
          <w:szCs w:val="24"/>
        </w:rPr>
      </w:pP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8"/>
        <w:gridCol w:w="1862"/>
        <w:gridCol w:w="1800"/>
      </w:tblGrid>
      <w:tr w:rsidR="005A5E7D" w:rsidRPr="006C2E2C">
        <w:tc>
          <w:tcPr>
            <w:tcW w:w="1918" w:type="dxa"/>
            <w:shd w:val="clear" w:color="auto" w:fill="auto"/>
          </w:tcPr>
          <w:p w:rsidR="005A5E7D" w:rsidRPr="00FD7F66" w:rsidRDefault="005A5E7D" w:rsidP="005A5E7D">
            <w:pPr>
              <w:ind w:firstLine="0"/>
              <w:rPr>
                <w:rFonts w:eastAsia="Calibri"/>
                <w:b/>
                <w:sz w:val="16"/>
                <w:szCs w:val="24"/>
              </w:rPr>
            </w:pPr>
          </w:p>
          <w:p w:rsidR="005A5E7D" w:rsidRPr="006C2E2C" w:rsidRDefault="005A5E7D" w:rsidP="005A5E7D">
            <w:pPr>
              <w:ind w:firstLine="0"/>
              <w:rPr>
                <w:rFonts w:eastAsia="Calibri"/>
                <w:b/>
                <w:sz w:val="22"/>
                <w:szCs w:val="24"/>
              </w:rPr>
            </w:pPr>
            <w:r w:rsidRPr="006C2E2C">
              <w:rPr>
                <w:rFonts w:eastAsia="Calibri"/>
                <w:b/>
                <w:sz w:val="22"/>
                <w:szCs w:val="24"/>
              </w:rPr>
              <w:t>Punto máximo</w:t>
            </w:r>
          </w:p>
        </w:tc>
        <w:tc>
          <w:tcPr>
            <w:tcW w:w="1862" w:type="dxa"/>
            <w:shd w:val="clear" w:color="auto" w:fill="auto"/>
          </w:tcPr>
          <w:p w:rsidR="005A5E7D" w:rsidRPr="00FD7F66" w:rsidRDefault="005A5E7D" w:rsidP="005A5E7D">
            <w:pPr>
              <w:ind w:firstLine="72"/>
              <w:rPr>
                <w:rFonts w:eastAsia="Calibri"/>
                <w:b/>
                <w:sz w:val="16"/>
                <w:szCs w:val="24"/>
              </w:rPr>
            </w:pPr>
          </w:p>
          <w:p w:rsidR="005A5E7D" w:rsidRPr="006C2E2C" w:rsidRDefault="005A5E7D" w:rsidP="005A5E7D">
            <w:pPr>
              <w:ind w:firstLine="72"/>
              <w:rPr>
                <w:rFonts w:eastAsia="Calibri"/>
                <w:b/>
                <w:sz w:val="22"/>
                <w:szCs w:val="24"/>
              </w:rPr>
            </w:pPr>
            <w:r w:rsidRPr="006C2E2C">
              <w:rPr>
                <w:rFonts w:eastAsia="Calibri"/>
                <w:b/>
                <w:sz w:val="22"/>
                <w:szCs w:val="24"/>
              </w:rPr>
              <w:t>Punto mínimo</w:t>
            </w:r>
          </w:p>
        </w:tc>
        <w:tc>
          <w:tcPr>
            <w:tcW w:w="1800" w:type="dxa"/>
            <w:shd w:val="clear" w:color="auto" w:fill="auto"/>
          </w:tcPr>
          <w:p w:rsidR="005A5E7D" w:rsidRPr="006C2E2C" w:rsidRDefault="005A5E7D" w:rsidP="005A5E7D">
            <w:pPr>
              <w:ind w:firstLine="0"/>
              <w:jc w:val="center"/>
              <w:rPr>
                <w:rFonts w:eastAsia="Calibri"/>
                <w:b/>
                <w:sz w:val="22"/>
                <w:szCs w:val="24"/>
              </w:rPr>
            </w:pPr>
            <w:r w:rsidRPr="006C2E2C">
              <w:rPr>
                <w:rFonts w:eastAsia="Calibri"/>
                <w:b/>
                <w:sz w:val="22"/>
                <w:szCs w:val="24"/>
              </w:rPr>
              <w:t>Duración</w:t>
            </w:r>
          </w:p>
          <w:p w:rsidR="005A5E7D" w:rsidRPr="006C2E2C" w:rsidRDefault="005A5E7D" w:rsidP="005A5E7D">
            <w:pPr>
              <w:ind w:firstLine="0"/>
              <w:jc w:val="center"/>
              <w:rPr>
                <w:rFonts w:eastAsia="Calibri"/>
                <w:b/>
                <w:sz w:val="22"/>
                <w:szCs w:val="24"/>
              </w:rPr>
            </w:pPr>
            <w:r w:rsidRPr="006C2E2C">
              <w:rPr>
                <w:rFonts w:eastAsia="Calibri"/>
                <w:b/>
                <w:sz w:val="22"/>
                <w:szCs w:val="24"/>
              </w:rPr>
              <w:t>(en meses)</w:t>
            </w:r>
          </w:p>
        </w:tc>
      </w:tr>
      <w:tr w:rsidR="005A5E7D" w:rsidRPr="006C2E2C">
        <w:tc>
          <w:tcPr>
            <w:tcW w:w="1918"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enero 1974</w:t>
            </w:r>
          </w:p>
        </w:tc>
        <w:tc>
          <w:tcPr>
            <w:tcW w:w="1862" w:type="dxa"/>
            <w:shd w:val="clear" w:color="auto" w:fill="auto"/>
          </w:tcPr>
          <w:p w:rsidR="005A5E7D" w:rsidRPr="006C2E2C" w:rsidRDefault="005A5E7D" w:rsidP="005A5E7D">
            <w:pPr>
              <w:ind w:firstLine="72"/>
              <w:rPr>
                <w:rFonts w:eastAsia="Calibri"/>
                <w:sz w:val="22"/>
                <w:szCs w:val="24"/>
              </w:rPr>
            </w:pPr>
            <w:r w:rsidRPr="006C2E2C">
              <w:rPr>
                <w:rFonts w:eastAsia="Calibri"/>
                <w:sz w:val="22"/>
                <w:szCs w:val="24"/>
              </w:rPr>
              <w:t>junio 1975</w:t>
            </w:r>
          </w:p>
        </w:tc>
        <w:tc>
          <w:tcPr>
            <w:tcW w:w="1800"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17</w:t>
            </w:r>
          </w:p>
        </w:tc>
      </w:tr>
      <w:tr w:rsidR="005A5E7D" w:rsidRPr="006C2E2C">
        <w:tc>
          <w:tcPr>
            <w:tcW w:w="1918"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enero 1980</w:t>
            </w:r>
          </w:p>
        </w:tc>
        <w:tc>
          <w:tcPr>
            <w:tcW w:w="1862" w:type="dxa"/>
            <w:shd w:val="clear" w:color="auto" w:fill="auto"/>
          </w:tcPr>
          <w:p w:rsidR="005A5E7D" w:rsidRPr="006C2E2C" w:rsidRDefault="005A5E7D" w:rsidP="005A5E7D">
            <w:pPr>
              <w:ind w:firstLine="72"/>
              <w:rPr>
                <w:rFonts w:eastAsia="Calibri"/>
                <w:sz w:val="22"/>
                <w:szCs w:val="24"/>
              </w:rPr>
            </w:pPr>
            <w:r w:rsidRPr="006C2E2C">
              <w:rPr>
                <w:rFonts w:eastAsia="Calibri"/>
                <w:sz w:val="22"/>
                <w:szCs w:val="24"/>
              </w:rPr>
              <w:t>septiembre 1982</w:t>
            </w:r>
          </w:p>
        </w:tc>
        <w:tc>
          <w:tcPr>
            <w:tcW w:w="1800"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32</w:t>
            </w:r>
          </w:p>
        </w:tc>
      </w:tr>
      <w:tr w:rsidR="005A5E7D" w:rsidRPr="006C2E2C">
        <w:tc>
          <w:tcPr>
            <w:tcW w:w="1918"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octubre 1984</w:t>
            </w:r>
          </w:p>
        </w:tc>
        <w:tc>
          <w:tcPr>
            <w:tcW w:w="1862" w:type="dxa"/>
            <w:shd w:val="clear" w:color="auto" w:fill="auto"/>
          </w:tcPr>
          <w:p w:rsidR="005A5E7D" w:rsidRPr="006C2E2C" w:rsidRDefault="005A5E7D" w:rsidP="005A5E7D">
            <w:pPr>
              <w:ind w:firstLine="72"/>
              <w:rPr>
                <w:rFonts w:eastAsia="Calibri"/>
                <w:sz w:val="22"/>
                <w:szCs w:val="24"/>
              </w:rPr>
            </w:pPr>
            <w:r w:rsidRPr="006C2E2C">
              <w:rPr>
                <w:rFonts w:eastAsia="Calibri"/>
                <w:sz w:val="22"/>
                <w:szCs w:val="24"/>
              </w:rPr>
              <w:t>agosto 1985</w:t>
            </w:r>
          </w:p>
        </w:tc>
        <w:tc>
          <w:tcPr>
            <w:tcW w:w="1800"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10</w:t>
            </w:r>
          </w:p>
        </w:tc>
      </w:tr>
      <w:tr w:rsidR="005A5E7D" w:rsidRPr="006C2E2C">
        <w:tc>
          <w:tcPr>
            <w:tcW w:w="1918"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julio 1990</w:t>
            </w:r>
          </w:p>
        </w:tc>
        <w:tc>
          <w:tcPr>
            <w:tcW w:w="1862" w:type="dxa"/>
            <w:shd w:val="clear" w:color="auto" w:fill="auto"/>
          </w:tcPr>
          <w:p w:rsidR="005A5E7D" w:rsidRPr="006C2E2C" w:rsidRDefault="005A5E7D" w:rsidP="005A5E7D">
            <w:pPr>
              <w:ind w:firstLine="72"/>
              <w:rPr>
                <w:rFonts w:eastAsia="Calibri"/>
                <w:sz w:val="22"/>
                <w:szCs w:val="24"/>
              </w:rPr>
            </w:pPr>
            <w:r w:rsidRPr="006C2E2C">
              <w:rPr>
                <w:rFonts w:eastAsia="Calibri"/>
                <w:sz w:val="22"/>
                <w:szCs w:val="24"/>
              </w:rPr>
              <w:t>abril 1991</w:t>
            </w:r>
          </w:p>
        </w:tc>
        <w:tc>
          <w:tcPr>
            <w:tcW w:w="1800"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9</w:t>
            </w:r>
          </w:p>
        </w:tc>
      </w:tr>
      <w:tr w:rsidR="005A5E7D" w:rsidRPr="006C2E2C">
        <w:tc>
          <w:tcPr>
            <w:tcW w:w="1918"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agosto 2000</w:t>
            </w:r>
          </w:p>
        </w:tc>
        <w:tc>
          <w:tcPr>
            <w:tcW w:w="1862" w:type="dxa"/>
            <w:shd w:val="clear" w:color="auto" w:fill="auto"/>
          </w:tcPr>
          <w:p w:rsidR="005A5E7D" w:rsidRPr="006C2E2C" w:rsidRDefault="005A5E7D" w:rsidP="005A5E7D">
            <w:pPr>
              <w:ind w:firstLine="72"/>
              <w:rPr>
                <w:rFonts w:eastAsia="Calibri"/>
                <w:sz w:val="22"/>
                <w:szCs w:val="24"/>
              </w:rPr>
            </w:pPr>
            <w:r w:rsidRPr="006C2E2C">
              <w:rPr>
                <w:rFonts w:eastAsia="Calibri"/>
                <w:sz w:val="22"/>
                <w:szCs w:val="24"/>
              </w:rPr>
              <w:t>diciembre 2001</w:t>
            </w:r>
          </w:p>
        </w:tc>
        <w:tc>
          <w:tcPr>
            <w:tcW w:w="1800"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16</w:t>
            </w:r>
          </w:p>
        </w:tc>
      </w:tr>
      <w:tr w:rsidR="005A5E7D" w:rsidRPr="006C2E2C">
        <w:tc>
          <w:tcPr>
            <w:tcW w:w="1918"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octubre 2007</w:t>
            </w:r>
          </w:p>
        </w:tc>
        <w:tc>
          <w:tcPr>
            <w:tcW w:w="1862" w:type="dxa"/>
            <w:shd w:val="clear" w:color="auto" w:fill="auto"/>
          </w:tcPr>
          <w:p w:rsidR="005A5E7D" w:rsidRPr="006C2E2C" w:rsidRDefault="005A5E7D" w:rsidP="005A5E7D">
            <w:pPr>
              <w:ind w:firstLine="72"/>
              <w:rPr>
                <w:rFonts w:eastAsia="Calibri"/>
                <w:sz w:val="22"/>
                <w:szCs w:val="24"/>
              </w:rPr>
            </w:pPr>
            <w:r w:rsidRPr="006C2E2C">
              <w:rPr>
                <w:rFonts w:eastAsia="Calibri"/>
                <w:sz w:val="22"/>
                <w:szCs w:val="24"/>
              </w:rPr>
              <w:t>agosto 2011</w:t>
            </w:r>
          </w:p>
        </w:tc>
        <w:tc>
          <w:tcPr>
            <w:tcW w:w="1800"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46</w:t>
            </w:r>
          </w:p>
        </w:tc>
      </w:tr>
      <w:tr w:rsidR="005A5E7D" w:rsidRPr="006C2E2C">
        <w:tc>
          <w:tcPr>
            <w:tcW w:w="1918"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noviembre 2012</w:t>
            </w:r>
          </w:p>
        </w:tc>
        <w:tc>
          <w:tcPr>
            <w:tcW w:w="1862" w:type="dxa"/>
            <w:shd w:val="clear" w:color="auto" w:fill="auto"/>
          </w:tcPr>
          <w:p w:rsidR="005A5E7D" w:rsidRPr="006C2E2C" w:rsidRDefault="005A5E7D" w:rsidP="005A5E7D">
            <w:pPr>
              <w:ind w:firstLine="72"/>
              <w:rPr>
                <w:rFonts w:eastAsia="Calibri"/>
                <w:sz w:val="22"/>
                <w:szCs w:val="24"/>
              </w:rPr>
            </w:pPr>
            <w:r w:rsidRPr="006C2E2C">
              <w:rPr>
                <w:rFonts w:eastAsia="Calibri"/>
                <w:sz w:val="22"/>
                <w:szCs w:val="24"/>
              </w:rPr>
              <w:t>Presente</w:t>
            </w:r>
          </w:p>
        </w:tc>
        <w:tc>
          <w:tcPr>
            <w:tcW w:w="1800"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w:t>
            </w:r>
          </w:p>
        </w:tc>
      </w:tr>
      <w:tr w:rsidR="005A5E7D" w:rsidRPr="00FD7F66">
        <w:tc>
          <w:tcPr>
            <w:tcW w:w="3780" w:type="dxa"/>
            <w:gridSpan w:val="2"/>
            <w:shd w:val="clear" w:color="auto" w:fill="auto"/>
          </w:tcPr>
          <w:p w:rsidR="005A5E7D" w:rsidRPr="00FD7F66" w:rsidRDefault="005A5E7D" w:rsidP="005A5E7D">
            <w:pPr>
              <w:ind w:firstLine="72"/>
              <w:rPr>
                <w:rFonts w:eastAsia="Calibri"/>
                <w:b/>
                <w:sz w:val="22"/>
                <w:szCs w:val="24"/>
              </w:rPr>
            </w:pPr>
            <w:r w:rsidRPr="00FD7F66">
              <w:rPr>
                <w:rFonts w:eastAsia="Calibri"/>
                <w:b/>
                <w:sz w:val="22"/>
                <w:szCs w:val="24"/>
              </w:rPr>
              <w:t>Promedio</w:t>
            </w:r>
          </w:p>
        </w:tc>
        <w:tc>
          <w:tcPr>
            <w:tcW w:w="1800" w:type="dxa"/>
            <w:shd w:val="clear" w:color="auto" w:fill="auto"/>
          </w:tcPr>
          <w:p w:rsidR="005A5E7D" w:rsidRPr="00FD7F66" w:rsidRDefault="005A5E7D" w:rsidP="005A5E7D">
            <w:pPr>
              <w:jc w:val="center"/>
              <w:rPr>
                <w:rFonts w:eastAsia="Calibri"/>
                <w:b/>
                <w:sz w:val="22"/>
                <w:szCs w:val="24"/>
              </w:rPr>
            </w:pPr>
            <w:r w:rsidRPr="00FD7F66">
              <w:rPr>
                <w:rFonts w:eastAsia="Calibri"/>
                <w:b/>
                <w:sz w:val="22"/>
                <w:szCs w:val="24"/>
              </w:rPr>
              <w:t>21.67</w:t>
            </w:r>
          </w:p>
        </w:tc>
      </w:tr>
      <w:tr w:rsidR="005A5E7D" w:rsidRPr="006C2E2C">
        <w:tc>
          <w:tcPr>
            <w:tcW w:w="3780" w:type="dxa"/>
            <w:gridSpan w:val="2"/>
            <w:shd w:val="clear" w:color="auto" w:fill="auto"/>
          </w:tcPr>
          <w:p w:rsidR="005A5E7D" w:rsidRPr="00FD7F66" w:rsidRDefault="005A5E7D" w:rsidP="005A5E7D">
            <w:pPr>
              <w:ind w:firstLine="72"/>
              <w:rPr>
                <w:rFonts w:eastAsia="Calibri"/>
                <w:b/>
                <w:sz w:val="22"/>
                <w:szCs w:val="24"/>
              </w:rPr>
            </w:pPr>
            <w:r w:rsidRPr="00FD7F66">
              <w:rPr>
                <w:rFonts w:eastAsia="Calibri"/>
                <w:b/>
                <w:sz w:val="22"/>
                <w:szCs w:val="24"/>
              </w:rPr>
              <w:t>Mediana</w:t>
            </w:r>
          </w:p>
        </w:tc>
        <w:tc>
          <w:tcPr>
            <w:tcW w:w="1800" w:type="dxa"/>
            <w:shd w:val="clear" w:color="auto" w:fill="auto"/>
          </w:tcPr>
          <w:p w:rsidR="005A5E7D" w:rsidRPr="00FD7F66" w:rsidRDefault="005A5E7D" w:rsidP="005A5E7D">
            <w:pPr>
              <w:jc w:val="center"/>
              <w:rPr>
                <w:rFonts w:eastAsia="Calibri"/>
                <w:b/>
                <w:sz w:val="22"/>
                <w:szCs w:val="24"/>
              </w:rPr>
            </w:pPr>
            <w:r w:rsidRPr="00FD7F66">
              <w:rPr>
                <w:rFonts w:eastAsia="Calibri"/>
                <w:b/>
                <w:sz w:val="22"/>
                <w:szCs w:val="24"/>
              </w:rPr>
              <w:t>16.5</w:t>
            </w:r>
          </w:p>
        </w:tc>
      </w:tr>
      <w:tr w:rsidR="005A5E7D" w:rsidRPr="006C2E2C">
        <w:tc>
          <w:tcPr>
            <w:tcW w:w="3780" w:type="dxa"/>
            <w:gridSpan w:val="2"/>
            <w:shd w:val="clear" w:color="auto" w:fill="auto"/>
          </w:tcPr>
          <w:p w:rsidR="005A5E7D" w:rsidRPr="00FD7F66" w:rsidRDefault="005A5E7D" w:rsidP="005A5E7D">
            <w:pPr>
              <w:ind w:firstLine="72"/>
              <w:rPr>
                <w:rFonts w:eastAsia="Calibri"/>
                <w:b/>
                <w:sz w:val="22"/>
                <w:szCs w:val="24"/>
              </w:rPr>
            </w:pPr>
            <w:r w:rsidRPr="00FD7F66">
              <w:rPr>
                <w:rFonts w:eastAsia="Calibri"/>
                <w:b/>
                <w:sz w:val="22"/>
                <w:szCs w:val="24"/>
              </w:rPr>
              <w:t>Desviación estándar</w:t>
            </w:r>
          </w:p>
        </w:tc>
        <w:tc>
          <w:tcPr>
            <w:tcW w:w="1800" w:type="dxa"/>
            <w:shd w:val="clear" w:color="auto" w:fill="auto"/>
          </w:tcPr>
          <w:p w:rsidR="005A5E7D" w:rsidRPr="00FD7F66" w:rsidRDefault="005A5E7D" w:rsidP="005A5E7D">
            <w:pPr>
              <w:jc w:val="center"/>
              <w:rPr>
                <w:rFonts w:eastAsia="Calibri"/>
                <w:b/>
                <w:sz w:val="22"/>
                <w:szCs w:val="24"/>
              </w:rPr>
            </w:pPr>
            <w:r w:rsidRPr="00FD7F66">
              <w:rPr>
                <w:rFonts w:eastAsia="Calibri"/>
                <w:b/>
                <w:sz w:val="22"/>
                <w:szCs w:val="24"/>
              </w:rPr>
              <w:t>14.49</w:t>
            </w:r>
          </w:p>
        </w:tc>
      </w:tr>
    </w:tbl>
    <w:p w:rsidR="005A5E7D" w:rsidRPr="006B5D14" w:rsidRDefault="005A5E7D" w:rsidP="005A5E7D">
      <w:pPr>
        <w:pStyle w:val="ColorfulList-Accent11"/>
        <w:spacing w:before="120" w:line="240" w:lineRule="auto"/>
        <w:ind w:left="2520" w:firstLine="0"/>
        <w:rPr>
          <w:sz w:val="18"/>
          <w:szCs w:val="18"/>
        </w:rPr>
      </w:pPr>
      <w:r w:rsidRPr="00FD7F66">
        <w:rPr>
          <w:b/>
          <w:sz w:val="18"/>
          <w:szCs w:val="18"/>
        </w:rPr>
        <w:t>Fuente:</w:t>
      </w:r>
      <w:r w:rsidRPr="006B5D14">
        <w:rPr>
          <w:sz w:val="18"/>
          <w:szCs w:val="18"/>
        </w:rPr>
        <w:t xml:space="preserve"> Junta de Planificación de Puerto Rico (2013). Ciclos Económicos.</w:t>
      </w:r>
    </w:p>
    <w:p w:rsidR="005A5E7D" w:rsidRPr="006B5D14" w:rsidRDefault="005A5E7D" w:rsidP="005A5E7D">
      <w:pPr>
        <w:pStyle w:val="ColorfulList-Accent11"/>
        <w:ind w:left="2160" w:firstLine="360"/>
        <w:rPr>
          <w:sz w:val="18"/>
          <w:szCs w:val="18"/>
        </w:rPr>
      </w:pPr>
      <w:r w:rsidRPr="000B5300">
        <w:rPr>
          <w:b/>
          <w:sz w:val="18"/>
          <w:szCs w:val="18"/>
        </w:rPr>
        <w:t>Recuperado de:</w:t>
      </w:r>
      <w:r w:rsidRPr="006B5D14">
        <w:rPr>
          <w:sz w:val="18"/>
          <w:szCs w:val="18"/>
        </w:rPr>
        <w:t xml:space="preserve"> http://www.jp.gobierno.pr/</w:t>
      </w:r>
    </w:p>
    <w:p w:rsidR="005A5E7D" w:rsidRPr="006B5D14" w:rsidRDefault="005A5E7D" w:rsidP="005A5E7D">
      <w:pPr>
        <w:pStyle w:val="ColorfulList-Accent11"/>
        <w:keepNext/>
        <w:spacing w:line="240" w:lineRule="auto"/>
        <w:ind w:left="1080"/>
        <w:rPr>
          <w:b/>
          <w:szCs w:val="24"/>
        </w:rPr>
      </w:pPr>
    </w:p>
    <w:p w:rsidR="005A5E7D" w:rsidRDefault="005A5E7D" w:rsidP="005A5E7D">
      <w:pPr>
        <w:pStyle w:val="ColorfulList-Accent11"/>
        <w:keepNext/>
        <w:spacing w:line="240" w:lineRule="auto"/>
        <w:ind w:left="1080" w:firstLine="0"/>
        <w:rPr>
          <w:b/>
          <w:szCs w:val="24"/>
        </w:rPr>
      </w:pPr>
      <w:r w:rsidRPr="006B5D14">
        <w:rPr>
          <w:b/>
          <w:szCs w:val="24"/>
        </w:rPr>
        <w:t>Contracciones en el ciclo económico de Estados Unidos a partir de 1972</w:t>
      </w:r>
    </w:p>
    <w:p w:rsidR="005A5E7D" w:rsidRPr="00B11DD2" w:rsidRDefault="005A5E7D" w:rsidP="005A5E7D">
      <w:pPr>
        <w:pStyle w:val="ColorfulList-Accent11"/>
        <w:keepNext/>
        <w:spacing w:line="240" w:lineRule="auto"/>
        <w:ind w:left="1080" w:firstLine="0"/>
        <w:rPr>
          <w:b/>
          <w:sz w:val="16"/>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890"/>
        <w:gridCol w:w="1468"/>
      </w:tblGrid>
      <w:tr w:rsidR="005A5E7D" w:rsidRPr="006C2E2C">
        <w:tc>
          <w:tcPr>
            <w:tcW w:w="1890" w:type="dxa"/>
            <w:shd w:val="clear" w:color="auto" w:fill="auto"/>
          </w:tcPr>
          <w:p w:rsidR="005A5E7D" w:rsidRPr="006C2E2C" w:rsidRDefault="005A5E7D" w:rsidP="005A5E7D">
            <w:pPr>
              <w:ind w:firstLine="0"/>
              <w:rPr>
                <w:rFonts w:eastAsia="Calibri"/>
                <w:b/>
                <w:sz w:val="22"/>
                <w:szCs w:val="24"/>
              </w:rPr>
            </w:pPr>
            <w:r w:rsidRPr="006C2E2C">
              <w:rPr>
                <w:rFonts w:eastAsia="Calibri"/>
                <w:b/>
                <w:sz w:val="22"/>
                <w:szCs w:val="24"/>
              </w:rPr>
              <w:t>Punto máximo</w:t>
            </w:r>
          </w:p>
        </w:tc>
        <w:tc>
          <w:tcPr>
            <w:tcW w:w="1890" w:type="dxa"/>
            <w:shd w:val="clear" w:color="auto" w:fill="auto"/>
          </w:tcPr>
          <w:p w:rsidR="005A5E7D" w:rsidRPr="006C2E2C" w:rsidRDefault="005A5E7D" w:rsidP="005A5E7D">
            <w:pPr>
              <w:ind w:firstLine="0"/>
              <w:rPr>
                <w:rFonts w:eastAsia="Calibri"/>
                <w:b/>
                <w:sz w:val="22"/>
                <w:szCs w:val="24"/>
              </w:rPr>
            </w:pPr>
            <w:r w:rsidRPr="006C2E2C">
              <w:rPr>
                <w:rFonts w:eastAsia="Calibri"/>
                <w:b/>
                <w:sz w:val="22"/>
                <w:szCs w:val="24"/>
              </w:rPr>
              <w:t>Punto mínimo</w:t>
            </w:r>
          </w:p>
        </w:tc>
        <w:tc>
          <w:tcPr>
            <w:tcW w:w="1468" w:type="dxa"/>
            <w:shd w:val="clear" w:color="auto" w:fill="auto"/>
          </w:tcPr>
          <w:p w:rsidR="005A5E7D" w:rsidRPr="006C2E2C" w:rsidRDefault="005A5E7D" w:rsidP="005A5E7D">
            <w:pPr>
              <w:ind w:firstLine="0"/>
              <w:rPr>
                <w:rFonts w:eastAsia="Calibri"/>
                <w:b/>
                <w:sz w:val="22"/>
                <w:szCs w:val="24"/>
              </w:rPr>
            </w:pPr>
            <w:r w:rsidRPr="006C2E2C">
              <w:rPr>
                <w:rFonts w:eastAsia="Calibri"/>
                <w:b/>
                <w:sz w:val="22"/>
                <w:szCs w:val="24"/>
              </w:rPr>
              <w:t>Duración</w:t>
            </w:r>
          </w:p>
          <w:p w:rsidR="005A5E7D" w:rsidRPr="006C2E2C" w:rsidRDefault="005A5E7D" w:rsidP="005A5E7D">
            <w:pPr>
              <w:ind w:firstLine="0"/>
              <w:rPr>
                <w:rFonts w:eastAsia="Calibri"/>
                <w:b/>
                <w:sz w:val="22"/>
                <w:szCs w:val="24"/>
              </w:rPr>
            </w:pPr>
            <w:r w:rsidRPr="006C2E2C">
              <w:rPr>
                <w:rFonts w:eastAsia="Calibri"/>
                <w:b/>
                <w:sz w:val="22"/>
                <w:szCs w:val="24"/>
              </w:rPr>
              <w:t>(en meses)</w:t>
            </w:r>
          </w:p>
        </w:tc>
      </w:tr>
      <w:tr w:rsidR="005A5E7D" w:rsidRPr="006C2E2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noviembre 1973</w:t>
            </w:r>
          </w:p>
        </w:t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marzo 1975</w:t>
            </w:r>
          </w:p>
        </w:tc>
        <w:tc>
          <w:tcPr>
            <w:tcW w:w="1468"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16</w:t>
            </w:r>
          </w:p>
        </w:tc>
      </w:tr>
      <w:tr w:rsidR="005A5E7D" w:rsidRPr="006C2E2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enero 1980</w:t>
            </w:r>
          </w:p>
        </w:t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julio 1980</w:t>
            </w:r>
          </w:p>
        </w:tc>
        <w:tc>
          <w:tcPr>
            <w:tcW w:w="1468"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6</w:t>
            </w:r>
          </w:p>
        </w:tc>
      </w:tr>
      <w:tr w:rsidR="005A5E7D" w:rsidRPr="006C2E2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julio 1981</w:t>
            </w:r>
          </w:p>
        </w:t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noviembre 1982</w:t>
            </w:r>
          </w:p>
        </w:tc>
        <w:tc>
          <w:tcPr>
            <w:tcW w:w="1468"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16</w:t>
            </w:r>
          </w:p>
        </w:tc>
      </w:tr>
      <w:tr w:rsidR="005A5E7D" w:rsidRPr="006C2E2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julio 1990</w:t>
            </w:r>
          </w:p>
        </w:t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marzo 1991</w:t>
            </w:r>
          </w:p>
        </w:tc>
        <w:tc>
          <w:tcPr>
            <w:tcW w:w="1468"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8</w:t>
            </w:r>
          </w:p>
        </w:tc>
      </w:tr>
      <w:tr w:rsidR="005A5E7D" w:rsidRPr="006C2E2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marzo 2001</w:t>
            </w:r>
          </w:p>
        </w:t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noviembre 2001</w:t>
            </w:r>
          </w:p>
        </w:tc>
        <w:tc>
          <w:tcPr>
            <w:tcW w:w="1468"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8</w:t>
            </w:r>
          </w:p>
        </w:tc>
      </w:tr>
      <w:tr w:rsidR="005A5E7D" w:rsidRPr="006C2E2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diciembre 2007</w:t>
            </w:r>
          </w:p>
        </w:tc>
        <w:tc>
          <w:tcPr>
            <w:tcW w:w="1890" w:type="dxa"/>
            <w:shd w:val="clear" w:color="auto" w:fill="auto"/>
          </w:tcPr>
          <w:p w:rsidR="005A5E7D" w:rsidRPr="006C2E2C" w:rsidRDefault="005A5E7D" w:rsidP="005A5E7D">
            <w:pPr>
              <w:ind w:firstLine="0"/>
              <w:rPr>
                <w:rFonts w:eastAsia="Calibri"/>
                <w:sz w:val="22"/>
                <w:szCs w:val="24"/>
              </w:rPr>
            </w:pPr>
            <w:r w:rsidRPr="006C2E2C">
              <w:rPr>
                <w:rFonts w:eastAsia="Calibri"/>
                <w:sz w:val="22"/>
                <w:szCs w:val="24"/>
              </w:rPr>
              <w:t>junio 2009</w:t>
            </w:r>
          </w:p>
        </w:tc>
        <w:tc>
          <w:tcPr>
            <w:tcW w:w="1468" w:type="dxa"/>
            <w:shd w:val="clear" w:color="auto" w:fill="auto"/>
          </w:tcPr>
          <w:p w:rsidR="005A5E7D" w:rsidRPr="006C2E2C" w:rsidRDefault="005A5E7D" w:rsidP="005A5E7D">
            <w:pPr>
              <w:jc w:val="center"/>
              <w:rPr>
                <w:rFonts w:eastAsia="Calibri"/>
                <w:sz w:val="22"/>
                <w:szCs w:val="24"/>
              </w:rPr>
            </w:pPr>
            <w:r w:rsidRPr="006C2E2C">
              <w:rPr>
                <w:rFonts w:eastAsia="Calibri"/>
                <w:sz w:val="22"/>
                <w:szCs w:val="24"/>
              </w:rPr>
              <w:t>18</w:t>
            </w:r>
          </w:p>
        </w:tc>
      </w:tr>
      <w:tr w:rsidR="005A5E7D" w:rsidRPr="006C2E2C">
        <w:tc>
          <w:tcPr>
            <w:tcW w:w="3780" w:type="dxa"/>
            <w:gridSpan w:val="2"/>
            <w:shd w:val="clear" w:color="auto" w:fill="auto"/>
          </w:tcPr>
          <w:p w:rsidR="005A5E7D" w:rsidRPr="00FD7F66" w:rsidRDefault="005A5E7D" w:rsidP="005A5E7D">
            <w:pPr>
              <w:ind w:firstLine="0"/>
              <w:rPr>
                <w:rFonts w:eastAsia="Calibri"/>
                <w:b/>
                <w:sz w:val="22"/>
                <w:szCs w:val="24"/>
              </w:rPr>
            </w:pPr>
            <w:r w:rsidRPr="00FD7F66">
              <w:rPr>
                <w:rFonts w:eastAsia="Calibri"/>
                <w:b/>
                <w:sz w:val="22"/>
                <w:szCs w:val="24"/>
              </w:rPr>
              <w:t>Promedio</w:t>
            </w:r>
          </w:p>
        </w:tc>
        <w:tc>
          <w:tcPr>
            <w:tcW w:w="1468" w:type="dxa"/>
            <w:shd w:val="clear" w:color="auto" w:fill="auto"/>
          </w:tcPr>
          <w:p w:rsidR="005A5E7D" w:rsidRPr="00FD7F66" w:rsidRDefault="005A5E7D" w:rsidP="005A5E7D">
            <w:pPr>
              <w:jc w:val="center"/>
              <w:rPr>
                <w:rFonts w:eastAsia="Calibri"/>
                <w:b/>
                <w:sz w:val="22"/>
                <w:szCs w:val="24"/>
              </w:rPr>
            </w:pPr>
            <w:r w:rsidRPr="00FD7F66">
              <w:rPr>
                <w:rFonts w:eastAsia="Calibri"/>
                <w:b/>
                <w:sz w:val="22"/>
                <w:szCs w:val="24"/>
              </w:rPr>
              <w:t>12</w:t>
            </w:r>
          </w:p>
        </w:tc>
      </w:tr>
      <w:tr w:rsidR="005A5E7D" w:rsidRPr="006C2E2C">
        <w:tc>
          <w:tcPr>
            <w:tcW w:w="3780" w:type="dxa"/>
            <w:gridSpan w:val="2"/>
            <w:shd w:val="clear" w:color="auto" w:fill="auto"/>
          </w:tcPr>
          <w:p w:rsidR="005A5E7D" w:rsidRPr="00FD7F66" w:rsidRDefault="005A5E7D" w:rsidP="005A5E7D">
            <w:pPr>
              <w:ind w:firstLine="0"/>
              <w:rPr>
                <w:rFonts w:eastAsia="Calibri"/>
                <w:b/>
                <w:sz w:val="22"/>
                <w:szCs w:val="24"/>
              </w:rPr>
            </w:pPr>
            <w:r w:rsidRPr="00FD7F66">
              <w:rPr>
                <w:rFonts w:eastAsia="Calibri"/>
                <w:b/>
                <w:sz w:val="22"/>
                <w:szCs w:val="24"/>
              </w:rPr>
              <w:t>Mediana</w:t>
            </w:r>
          </w:p>
        </w:tc>
        <w:tc>
          <w:tcPr>
            <w:tcW w:w="1468" w:type="dxa"/>
            <w:shd w:val="clear" w:color="auto" w:fill="auto"/>
          </w:tcPr>
          <w:p w:rsidR="005A5E7D" w:rsidRPr="00FD7F66" w:rsidRDefault="005A5E7D" w:rsidP="005A5E7D">
            <w:pPr>
              <w:jc w:val="center"/>
              <w:rPr>
                <w:rFonts w:eastAsia="Calibri"/>
                <w:b/>
                <w:sz w:val="22"/>
                <w:szCs w:val="24"/>
              </w:rPr>
            </w:pPr>
            <w:r w:rsidRPr="00FD7F66">
              <w:rPr>
                <w:rFonts w:eastAsia="Calibri"/>
                <w:b/>
                <w:sz w:val="22"/>
                <w:szCs w:val="24"/>
              </w:rPr>
              <w:t>12</w:t>
            </w:r>
          </w:p>
        </w:tc>
      </w:tr>
      <w:tr w:rsidR="005A5E7D" w:rsidRPr="006C2E2C">
        <w:tc>
          <w:tcPr>
            <w:tcW w:w="3780" w:type="dxa"/>
            <w:gridSpan w:val="2"/>
            <w:shd w:val="clear" w:color="auto" w:fill="auto"/>
          </w:tcPr>
          <w:p w:rsidR="005A5E7D" w:rsidRPr="00FD7F66" w:rsidRDefault="005A5E7D" w:rsidP="005A5E7D">
            <w:pPr>
              <w:ind w:firstLine="0"/>
              <w:rPr>
                <w:rFonts w:eastAsia="Calibri"/>
                <w:b/>
                <w:sz w:val="22"/>
                <w:szCs w:val="24"/>
              </w:rPr>
            </w:pPr>
            <w:r w:rsidRPr="00FD7F66">
              <w:rPr>
                <w:rFonts w:eastAsia="Calibri"/>
                <w:b/>
                <w:sz w:val="22"/>
                <w:szCs w:val="24"/>
              </w:rPr>
              <w:t>Desviación estándar</w:t>
            </w:r>
          </w:p>
        </w:tc>
        <w:tc>
          <w:tcPr>
            <w:tcW w:w="1468" w:type="dxa"/>
            <w:shd w:val="clear" w:color="auto" w:fill="auto"/>
          </w:tcPr>
          <w:p w:rsidR="005A5E7D" w:rsidRPr="00FD7F66" w:rsidRDefault="005A5E7D" w:rsidP="005A5E7D">
            <w:pPr>
              <w:jc w:val="center"/>
              <w:rPr>
                <w:rFonts w:eastAsia="Calibri"/>
                <w:b/>
                <w:sz w:val="22"/>
                <w:szCs w:val="24"/>
              </w:rPr>
            </w:pPr>
            <w:r w:rsidRPr="00FD7F66">
              <w:rPr>
                <w:rFonts w:eastAsia="Calibri"/>
                <w:b/>
                <w:sz w:val="22"/>
                <w:szCs w:val="24"/>
              </w:rPr>
              <w:t>5.22</w:t>
            </w:r>
          </w:p>
        </w:tc>
      </w:tr>
    </w:tbl>
    <w:p w:rsidR="005A5E7D" w:rsidRPr="006B5D14" w:rsidRDefault="005A5E7D" w:rsidP="005A5E7D">
      <w:pPr>
        <w:pStyle w:val="ColorfulList-Accent11"/>
        <w:spacing w:before="120" w:line="240" w:lineRule="auto"/>
        <w:ind w:left="1701" w:right="996" w:firstLine="0"/>
        <w:rPr>
          <w:sz w:val="18"/>
          <w:szCs w:val="18"/>
        </w:rPr>
      </w:pPr>
      <w:r w:rsidRPr="000B5300">
        <w:rPr>
          <w:b/>
          <w:sz w:val="18"/>
          <w:szCs w:val="18"/>
          <w:lang w:val="en-US"/>
        </w:rPr>
        <w:t>Fuente:</w:t>
      </w:r>
      <w:r w:rsidRPr="005B5FEE">
        <w:rPr>
          <w:sz w:val="18"/>
          <w:szCs w:val="18"/>
          <w:lang w:val="en-US"/>
        </w:rPr>
        <w:t xml:space="preserve"> National Bureau of Economic Research (s.f.). </w:t>
      </w:r>
      <w:r>
        <w:rPr>
          <w:sz w:val="18"/>
          <w:szCs w:val="18"/>
          <w:lang w:val="en-US"/>
        </w:rPr>
        <w:t>“</w:t>
      </w:r>
      <w:r w:rsidRPr="005B5FEE">
        <w:rPr>
          <w:sz w:val="18"/>
          <w:szCs w:val="18"/>
          <w:lang w:val="en-US"/>
        </w:rPr>
        <w:t>US Business Cycle Expansions and Contractions.</w:t>
      </w:r>
      <w:r>
        <w:rPr>
          <w:sz w:val="18"/>
          <w:szCs w:val="18"/>
          <w:lang w:val="en-US"/>
        </w:rPr>
        <w:t>”</w:t>
      </w:r>
      <w:r w:rsidRPr="005B5FEE">
        <w:rPr>
          <w:sz w:val="18"/>
          <w:szCs w:val="18"/>
          <w:lang w:val="en-US"/>
        </w:rPr>
        <w:t xml:space="preserve"> </w:t>
      </w:r>
      <w:r w:rsidRPr="006B5D14">
        <w:rPr>
          <w:sz w:val="18"/>
          <w:szCs w:val="18"/>
        </w:rPr>
        <w:t>Recuperado de http://www.nber.org/cycles/cyclesmain.html#navDiv=4</w:t>
      </w:r>
    </w:p>
    <w:p w:rsidR="005A5E7D" w:rsidRPr="006B5D14" w:rsidRDefault="005A5E7D" w:rsidP="005A5E7D">
      <w:pPr>
        <w:pStyle w:val="ColorfulList-Accent11"/>
        <w:spacing w:line="360" w:lineRule="auto"/>
        <w:ind w:left="1080"/>
        <w:rPr>
          <w:szCs w:val="24"/>
        </w:rPr>
      </w:pPr>
    </w:p>
    <w:p w:rsidR="005A5E7D" w:rsidRPr="006B5D14" w:rsidRDefault="005A5E7D" w:rsidP="005A5E7D">
      <w:r w:rsidRPr="006B5D14">
        <w:t xml:space="preserve">A través de los datos obtenidos de la Junta de Planificación y el </w:t>
      </w:r>
      <w:r w:rsidRPr="00B11DD2">
        <w:rPr>
          <w:i/>
        </w:rPr>
        <w:t>National Bureau of Economic Research</w:t>
      </w:r>
      <w:r w:rsidRPr="006B5D14">
        <w:t xml:space="preserve">, se puede observar que las contracciones en los ciclos económicos de Puerto Rico han sido mayores en número y en extensión. Puerto Rico ha tenido </w:t>
      </w:r>
      <w:r>
        <w:t>siete contracciones en su PNB y</w:t>
      </w:r>
      <w:r w:rsidRPr="006B5D14">
        <w:t xml:space="preserve"> Estados Unidos ha tenido </w:t>
      </w:r>
      <w:r>
        <w:t>seis</w:t>
      </w:r>
      <w:r w:rsidRPr="006B5D14">
        <w:t xml:space="preserve">. </w:t>
      </w:r>
      <w:r>
        <w:t>Además</w:t>
      </w:r>
      <w:r w:rsidRPr="006B5D14">
        <w:t xml:space="preserve">, el promedio de estas contracciones en Estados Unidos es de 12 meses y, en Puerto Rico, de 21.6 meses. Este cálculo no contempla la recesión económica que comenzó en noviembre de 2012 y que aún persiste. </w:t>
      </w:r>
    </w:p>
    <w:p w:rsidR="005A5E7D" w:rsidRDefault="005A5E7D" w:rsidP="005A5E7D">
      <w:r w:rsidRPr="006B5D14">
        <w:t>De modo que, al comparar los ciclos económicos de Puerto Rico con los de Estados Unidos</w:t>
      </w:r>
      <w:r>
        <w:t>,</w:t>
      </w:r>
      <w:r w:rsidRPr="006B5D14">
        <w:t xml:space="preserve"> se puede observa</w:t>
      </w:r>
      <w:r>
        <w:t>r que los movimientos coinciden</w:t>
      </w:r>
      <w:r w:rsidRPr="006B5D14">
        <w:t xml:space="preserve"> pero con cierto rezago en el ciclo económico puertorriqueño. Las contracciones y recesiones que ha experimentado la economí</w:t>
      </w:r>
      <w:r>
        <w:t xml:space="preserve">a de la Isla son mayores en número, </w:t>
      </w:r>
      <w:r w:rsidRPr="006B5D14">
        <w:t xml:space="preserve">profundidad y tiempo; siendo </w:t>
      </w:r>
      <w:r>
        <w:t>e</w:t>
      </w:r>
      <w:r w:rsidRPr="006B5D14">
        <w:t>stos algunos de los factores que no contribuyen a la estabilidad macroeconómica y a la convergencia con Estados Unidos.</w:t>
      </w:r>
      <w:r w:rsidRPr="003655E6">
        <w:t xml:space="preserve"> </w:t>
      </w:r>
    </w:p>
    <w:p w:rsidR="00793A6E" w:rsidRPr="003655E6" w:rsidRDefault="00793A6E" w:rsidP="005A5E7D"/>
    <w:p w:rsidR="005A5E7D" w:rsidRPr="00816F19" w:rsidRDefault="005A5E7D" w:rsidP="009B59BB">
      <w:pPr>
        <w:pStyle w:val="Heading3"/>
      </w:pPr>
      <w:bookmarkStart w:id="103" w:name="_Toc384769793"/>
      <w:r>
        <w:t xml:space="preserve">C.2 </w:t>
      </w:r>
      <w:r>
        <w:tab/>
      </w:r>
      <w:r w:rsidRPr="00816F19">
        <w:t>El debate de la convergencia en Puerto Rico</w:t>
      </w:r>
      <w:bookmarkEnd w:id="103"/>
    </w:p>
    <w:p w:rsidR="005A5E7D" w:rsidRDefault="005A5E7D" w:rsidP="005A5E7D">
      <w:pPr>
        <w:spacing w:line="240" w:lineRule="auto"/>
      </w:pPr>
    </w:p>
    <w:p w:rsidR="005A5E7D" w:rsidRPr="00ED05E9" w:rsidRDefault="005A5E7D" w:rsidP="005A5E7D">
      <w:r w:rsidRPr="00ED05E9">
        <w:t>Para el caso de Puerto Rico, se han publicado pocos trabajos</w:t>
      </w:r>
      <w:r>
        <w:t xml:space="preserve"> </w:t>
      </w:r>
      <w:r w:rsidRPr="00ED05E9">
        <w:t>respecto al tema de la convergencia</w:t>
      </w:r>
      <w:r>
        <w:t xml:space="preserve"> con Estados Unidos</w:t>
      </w:r>
      <w:r w:rsidRPr="00ED05E9">
        <w:t>:</w:t>
      </w:r>
    </w:p>
    <w:p w:rsidR="005A5E7D" w:rsidRDefault="005A5E7D" w:rsidP="005A5E7D">
      <w:pPr>
        <w:pStyle w:val="ColorfulList-Accent11"/>
        <w:numPr>
          <w:ilvl w:val="3"/>
          <w:numId w:val="2"/>
        </w:numPr>
        <w:spacing w:line="360" w:lineRule="auto"/>
        <w:ind w:left="1134"/>
        <w:rPr>
          <w:szCs w:val="24"/>
        </w:rPr>
      </w:pPr>
      <w:r w:rsidRPr="00BC3754">
        <w:rPr>
          <w:szCs w:val="24"/>
        </w:rPr>
        <w:t>Lefort, Fernando.</w:t>
      </w:r>
      <w:r>
        <w:rPr>
          <w:szCs w:val="24"/>
        </w:rPr>
        <w:t xml:space="preserve"> </w:t>
      </w:r>
      <w:r w:rsidRPr="00BC3754">
        <w:rPr>
          <w:szCs w:val="24"/>
        </w:rPr>
        <w:t>(1997).</w:t>
      </w:r>
      <w:r>
        <w:rPr>
          <w:szCs w:val="24"/>
        </w:rPr>
        <w:t xml:space="preserve"> </w:t>
      </w:r>
      <w:r w:rsidRPr="00BC3754">
        <w:rPr>
          <w:szCs w:val="24"/>
        </w:rPr>
        <w:t>“Puerto Rico: Divergence not Convergence”.</w:t>
      </w:r>
      <w:r>
        <w:rPr>
          <w:szCs w:val="24"/>
        </w:rPr>
        <w:t xml:space="preserve"> </w:t>
      </w:r>
      <w:r w:rsidRPr="00E6524C">
        <w:rPr>
          <w:szCs w:val="24"/>
          <w:u w:val="single"/>
        </w:rPr>
        <w:t>Puerto Rico Herald</w:t>
      </w:r>
      <w:r w:rsidRPr="00E6524C">
        <w:rPr>
          <w:szCs w:val="24"/>
        </w:rPr>
        <w:t>.</w:t>
      </w:r>
      <w:r w:rsidRPr="00C90C1B">
        <w:rPr>
          <w:szCs w:val="24"/>
        </w:rPr>
        <w:t xml:space="preserve"> </w:t>
      </w:r>
    </w:p>
    <w:p w:rsidR="005A5E7D" w:rsidRDefault="005A5E7D" w:rsidP="005A5E7D">
      <w:pPr>
        <w:pStyle w:val="ColorfulList-Accent11"/>
        <w:numPr>
          <w:ilvl w:val="3"/>
          <w:numId w:val="2"/>
        </w:numPr>
        <w:spacing w:line="360" w:lineRule="auto"/>
        <w:ind w:left="1134"/>
        <w:rPr>
          <w:szCs w:val="24"/>
        </w:rPr>
      </w:pPr>
      <w:r w:rsidRPr="00A226D8">
        <w:rPr>
          <w:szCs w:val="24"/>
        </w:rPr>
        <w:t xml:space="preserve">_____. (1997). “Is Puerto Rico Converging to the United States?” </w:t>
      </w:r>
      <w:r w:rsidRPr="00BC3754">
        <w:rPr>
          <w:szCs w:val="24"/>
        </w:rPr>
        <w:t>Documento de trabajo número 9, Banco Central de Chile.</w:t>
      </w:r>
      <w:r w:rsidRPr="00C90C1B">
        <w:rPr>
          <w:szCs w:val="24"/>
        </w:rPr>
        <w:t xml:space="preserve"> </w:t>
      </w:r>
    </w:p>
    <w:p w:rsidR="005A5E7D" w:rsidRDefault="005A5E7D" w:rsidP="005A5E7D">
      <w:pPr>
        <w:pStyle w:val="ColorfulList-Accent11"/>
        <w:numPr>
          <w:ilvl w:val="3"/>
          <w:numId w:val="2"/>
        </w:numPr>
        <w:spacing w:line="360" w:lineRule="auto"/>
        <w:ind w:left="1134"/>
        <w:rPr>
          <w:szCs w:val="24"/>
        </w:rPr>
      </w:pPr>
      <w:r w:rsidRPr="00BC3754">
        <w:rPr>
          <w:szCs w:val="24"/>
        </w:rPr>
        <w:t>Comisión Económica para América Latina y el Caribe.</w:t>
      </w:r>
      <w:r>
        <w:rPr>
          <w:szCs w:val="24"/>
        </w:rPr>
        <w:t xml:space="preserve"> </w:t>
      </w:r>
      <w:r w:rsidRPr="00BC3754">
        <w:rPr>
          <w:szCs w:val="24"/>
        </w:rPr>
        <w:t>(2004).</w:t>
      </w:r>
      <w:r>
        <w:rPr>
          <w:szCs w:val="24"/>
        </w:rPr>
        <w:t xml:space="preserve"> </w:t>
      </w:r>
      <w:r w:rsidRPr="00BC3754">
        <w:rPr>
          <w:szCs w:val="24"/>
        </w:rPr>
        <w:t xml:space="preserve">“The Convergent/Divergent Economic Trajectories of Puerto Rico and the United States”, Capítulo 3 del libro titulado: </w:t>
      </w:r>
      <w:r w:rsidRPr="00050DED">
        <w:rPr>
          <w:rFonts w:cs="Times"/>
          <w:bCs/>
          <w:i/>
          <w:color w:val="1A1A1A"/>
          <w:szCs w:val="24"/>
          <w:lang w:val="es-ES_tradnl"/>
        </w:rPr>
        <w:t>Globalización y desarrollo: desafíos de Puerto Rico frente al siglo XXI</w:t>
      </w:r>
      <w:r w:rsidRPr="00BC3754">
        <w:rPr>
          <w:szCs w:val="24"/>
        </w:rPr>
        <w:t>.</w:t>
      </w:r>
      <w:r w:rsidRPr="00C90C1B">
        <w:rPr>
          <w:szCs w:val="24"/>
        </w:rPr>
        <w:t xml:space="preserve"> </w:t>
      </w:r>
    </w:p>
    <w:p w:rsidR="005A5E7D" w:rsidRDefault="005A5E7D" w:rsidP="005A5E7D">
      <w:pPr>
        <w:spacing w:line="240" w:lineRule="auto"/>
      </w:pPr>
    </w:p>
    <w:p w:rsidR="005A5E7D" w:rsidRPr="00ED05E9" w:rsidRDefault="005A5E7D" w:rsidP="005A5E7D">
      <w:r w:rsidRPr="00ED05E9">
        <w:t xml:space="preserve">Los trabajos de Fernando Lefort surgen de </w:t>
      </w:r>
      <w:r>
        <w:t>su</w:t>
      </w:r>
      <w:r w:rsidRPr="00ED05E9">
        <w:t xml:space="preserve"> tesis doctoral en la Universidad de Harvard </w:t>
      </w:r>
      <w:r>
        <w:t>(</w:t>
      </w:r>
      <w:r w:rsidRPr="00ED05E9">
        <w:t>1996</w:t>
      </w:r>
      <w:r>
        <w:t>)</w:t>
      </w:r>
      <w:r w:rsidRPr="00ED05E9">
        <w:t>, bajo la supervisión de</w:t>
      </w:r>
      <w:r>
        <w:t>l economista Robert Barro. V</w:t>
      </w:r>
      <w:r w:rsidRPr="00ED05E9">
        <w:t>inculan el tema de la conve</w:t>
      </w:r>
      <w:r>
        <w:t>rgencia con el estatus político, específicamente con la estadidad. Lefort l</w:t>
      </w:r>
      <w:r w:rsidRPr="00ED05E9">
        <w:t>leva a cabo un análisis</w:t>
      </w:r>
      <w:r>
        <w:t xml:space="preserve"> </w:t>
      </w:r>
      <w:r w:rsidRPr="00ED05E9">
        <w:t>neoclásico de convergencia entre economías (enfoque de convergencia absoluta vs. condicionada), donde aplica la metodologí</w:t>
      </w:r>
      <w:r>
        <w:t>a</w:t>
      </w:r>
      <w:r w:rsidRPr="00ED05E9">
        <w:t xml:space="preserve"> de Sala-i-Martin y Barro (1990), comparando a Puerto Rico con </w:t>
      </w:r>
      <w:r>
        <w:t>otros estados de Estados Unidos e incluso otros países de América Latina y el Caribe. Utiliza la variable de i</w:t>
      </w:r>
      <w:r w:rsidRPr="00ED05E9">
        <w:t>ngreso per cápita para su análisis</w:t>
      </w:r>
      <w:r>
        <w:t>,</w:t>
      </w:r>
      <w:r w:rsidRPr="00ED05E9">
        <w:t xml:space="preserve"> </w:t>
      </w:r>
      <w:r>
        <w:t xml:space="preserve">y reconoce que </w:t>
      </w:r>
      <w:r w:rsidRPr="00ED05E9">
        <w:t>Puerto Rico y</w:t>
      </w:r>
      <w:r>
        <w:t xml:space="preserve"> </w:t>
      </w:r>
      <w:r w:rsidRPr="00ED05E9">
        <w:t xml:space="preserve">Estados Unidos parten </w:t>
      </w:r>
      <w:r>
        <w:t xml:space="preserve">de </w:t>
      </w:r>
      <w:r w:rsidRPr="00ED05E9">
        <w:t>condiciones iniciales diferentes.</w:t>
      </w:r>
    </w:p>
    <w:p w:rsidR="005A5E7D" w:rsidRDefault="005A5E7D" w:rsidP="005A5E7D">
      <w:r>
        <w:t>Sus hallazgos reflejaron que</w:t>
      </w:r>
      <w:r w:rsidRPr="00ED05E9">
        <w:t xml:space="preserve"> no hay convergencia entre Puerto Rico y Estados Unidos.</w:t>
      </w:r>
      <w:r>
        <w:t xml:space="preserve"> </w:t>
      </w:r>
      <w:r w:rsidRPr="00ED05E9">
        <w:t xml:space="preserve">El ingreso per cápita de Puerto Rico se mueve en el largo plazo a un nivel inferior al de </w:t>
      </w:r>
      <w:r>
        <w:t xml:space="preserve">ese país e incluso al de los estados más pobres. </w:t>
      </w:r>
    </w:p>
    <w:p w:rsidR="005A5E7D" w:rsidRDefault="005A5E7D" w:rsidP="005A5E7D">
      <w:r w:rsidRPr="00ED05E9">
        <w:t xml:space="preserve">El estatus político </w:t>
      </w:r>
      <w:r>
        <w:t>se incorpora</w:t>
      </w:r>
      <w:r w:rsidRPr="00ED05E9">
        <w:t xml:space="preserve"> como una de las variables explicativas del fenómeno.</w:t>
      </w:r>
      <w:r>
        <w:t xml:space="preserve"> </w:t>
      </w:r>
      <w:r w:rsidRPr="00ED05E9">
        <w:t xml:space="preserve">Por la relación que mantiene la Isla con Estados Unidos, está en una mejor condición económica que otros países del Caribe, pero peor que otros </w:t>
      </w:r>
      <w:r>
        <w:t>e</w:t>
      </w:r>
      <w:r w:rsidRPr="00ED05E9">
        <w:t>stado</w:t>
      </w:r>
      <w:r>
        <w:t xml:space="preserve">s, incluso que los más pobres. </w:t>
      </w:r>
      <w:r w:rsidRPr="00ED05E9">
        <w:t xml:space="preserve">Según Lefort, economías con características y condiciones parecidas tenderán a converger, a diferencia de economías </w:t>
      </w:r>
      <w:r>
        <w:t>distintas</w:t>
      </w:r>
      <w:r w:rsidRPr="00ED05E9">
        <w:t>.</w:t>
      </w:r>
      <w:r>
        <w:t xml:space="preserve"> </w:t>
      </w:r>
      <w:r w:rsidRPr="00ED05E9">
        <w:t>Por lo tanto, se derrota la idea de que P</w:t>
      </w:r>
      <w:r>
        <w:t xml:space="preserve">uerto </w:t>
      </w:r>
      <w:r w:rsidRPr="00ED05E9">
        <w:t>R</w:t>
      </w:r>
      <w:r>
        <w:t>ico</w:t>
      </w:r>
      <w:r w:rsidRPr="00ED05E9">
        <w:t xml:space="preserve"> debe</w:t>
      </w:r>
      <w:r>
        <w:t>ría</w:t>
      </w:r>
      <w:r w:rsidRPr="00ED05E9">
        <w:t xml:space="preserve"> converger antes de obtener la estadidad.</w:t>
      </w:r>
    </w:p>
    <w:p w:rsidR="005A5E7D" w:rsidRDefault="005A5E7D" w:rsidP="005A5E7D">
      <w:r w:rsidRPr="00ED05E9">
        <w:t>La estadidad es una condición necesaria para la convergencia, ya que har</w:t>
      </w:r>
      <w:r>
        <w:t>ía</w:t>
      </w:r>
      <w:r w:rsidRPr="00ED05E9">
        <w:t xml:space="preserve"> a l</w:t>
      </w:r>
      <w:r>
        <w:t xml:space="preserve">a economía una similar a la de </w:t>
      </w:r>
      <w:r w:rsidRPr="00ED05E9">
        <w:t>Estados Unidos, sentando las bases para la convergencia.</w:t>
      </w:r>
      <w:r>
        <w:t xml:space="preserve"> </w:t>
      </w:r>
      <w:r w:rsidRPr="00ED05E9">
        <w:t>Sin la estadidad</w:t>
      </w:r>
      <w:r>
        <w:t>,</w:t>
      </w:r>
      <w:r w:rsidRPr="00ED05E9">
        <w:t xml:space="preserve"> Puerto Rico nunca se desarrollar</w:t>
      </w:r>
      <w:r>
        <w:t>ía</w:t>
      </w:r>
      <w:r w:rsidRPr="00ED05E9">
        <w:t xml:space="preserve"> lo suficiente para converger con Estados Unidos.</w:t>
      </w:r>
      <w:r>
        <w:t xml:space="preserve"> </w:t>
      </w:r>
      <w:r w:rsidRPr="00ED05E9">
        <w:t>Según el autor, un cambio de estatus hacia la estadidad reducir</w:t>
      </w:r>
      <w:r>
        <w:t>ía</w:t>
      </w:r>
      <w:r w:rsidRPr="00ED05E9">
        <w:t xml:space="preserve"> la incertidumbre política, generar</w:t>
      </w:r>
      <w:r>
        <w:t>ía</w:t>
      </w:r>
      <w:r w:rsidRPr="00ED05E9">
        <w:t xml:space="preserve"> un sistema legal estable, se uniformar</w:t>
      </w:r>
      <w:r>
        <w:t>ía</w:t>
      </w:r>
      <w:r w:rsidRPr="00ED05E9">
        <w:t xml:space="preserve"> la institucionalidad con Estados Unidos, habr</w:t>
      </w:r>
      <w:r>
        <w:t>ía</w:t>
      </w:r>
      <w:r w:rsidRPr="00ED05E9">
        <w:t xml:space="preserve"> acceso a un </w:t>
      </w:r>
      <w:r>
        <w:t>mercado más amplio</w:t>
      </w:r>
      <w:r w:rsidRPr="00ED05E9">
        <w:t xml:space="preserve"> y aumentar</w:t>
      </w:r>
      <w:r>
        <w:t>ía</w:t>
      </w:r>
      <w:r w:rsidRPr="00ED05E9">
        <w:t>n las ayudas federales que llegan a la Isla.</w:t>
      </w:r>
      <w:r>
        <w:t xml:space="preserve"> </w:t>
      </w:r>
      <w:r w:rsidRPr="00ED05E9">
        <w:t>Aunque también implica la pérdida de incentivos contributivos y la inclusión en el sistema federal de contribuciones.</w:t>
      </w:r>
    </w:p>
    <w:p w:rsidR="005A5E7D" w:rsidRDefault="005A5E7D" w:rsidP="005A5E7D">
      <w:r w:rsidRPr="00ED05E9">
        <w:t>El trabajo de la C</w:t>
      </w:r>
      <w:r>
        <w:t xml:space="preserve">omisión </w:t>
      </w:r>
      <w:r w:rsidRPr="00ED05E9">
        <w:t>E</w:t>
      </w:r>
      <w:r>
        <w:t xml:space="preserve">conómica para </w:t>
      </w:r>
      <w:r w:rsidRPr="00ED05E9">
        <w:t>A</w:t>
      </w:r>
      <w:r>
        <w:t xml:space="preserve">mérica </w:t>
      </w:r>
      <w:r w:rsidRPr="00ED05E9">
        <w:t>L</w:t>
      </w:r>
      <w:r>
        <w:t xml:space="preserve">atina y el Caribe (CEPAL, </w:t>
      </w:r>
      <w:r w:rsidRPr="00ED05E9">
        <w:t>2004) es más reciente y</w:t>
      </w:r>
      <w:r>
        <w:t>,</w:t>
      </w:r>
      <w:r w:rsidRPr="00ED05E9">
        <w:t xml:space="preserve"> además de hacer un análisis tradicional de la convergencia en términos del crecimiento económico, utiliz</w:t>
      </w:r>
      <w:r>
        <w:t>ó</w:t>
      </w:r>
      <w:r w:rsidRPr="00ED05E9">
        <w:t xml:space="preserve"> otras variables como los enfoques propuestos por las nuevas teorías de crecimiento.</w:t>
      </w:r>
      <w:r>
        <w:t xml:space="preserve"> Se incluyeron </w:t>
      </w:r>
      <w:r w:rsidRPr="00ED05E9">
        <w:t>variables del mercado laboral y de comercio exterior para complementar el análisis tradicional</w:t>
      </w:r>
      <w:r>
        <w:t xml:space="preserve">. </w:t>
      </w:r>
    </w:p>
    <w:p w:rsidR="005A5E7D" w:rsidRDefault="005A5E7D" w:rsidP="005A5E7D">
      <w:r>
        <w:t>Según la CEPAL, existen tres perí</w:t>
      </w:r>
      <w:r w:rsidRPr="009A0FE2">
        <w:t>odos de convergencia y divergencia de Puerto Rico con Estados Unidos: 1947-1971</w:t>
      </w:r>
      <w:r>
        <w:t>, 1</w:t>
      </w:r>
      <w:r w:rsidRPr="009A0FE2">
        <w:t>971-1986</w:t>
      </w:r>
      <w:r>
        <w:t xml:space="preserve"> y </w:t>
      </w:r>
      <w:r w:rsidRPr="009A0FE2">
        <w:t>1986-2002</w:t>
      </w:r>
      <w:r>
        <w:t xml:space="preserve">; con </w:t>
      </w:r>
      <w:r w:rsidRPr="009A0FE2">
        <w:t>convergencia</w:t>
      </w:r>
      <w:r>
        <w:t xml:space="preserve"> en el primer y tercer período y divergencia en el segundo. Además, se llevó a cabo </w:t>
      </w:r>
      <w:r w:rsidRPr="00ED05E9">
        <w:t>un análisis de cointegración para vincular la variable convergencia con el coeficiente d</w:t>
      </w:r>
      <w:r>
        <w:t>e inversión y las exportaciones de Puerto Rico. También se incluyó un estudio de</w:t>
      </w:r>
      <w:r w:rsidRPr="00ED05E9">
        <w:t xml:space="preserve"> los componentes de la formación de capital fijo</w:t>
      </w:r>
      <w:r>
        <w:t xml:space="preserve"> y </w:t>
      </w:r>
      <w:r w:rsidRPr="00ED05E9">
        <w:t>del mercado laboral, mediante las variables de creación de empleo, productividad y desempleo.</w:t>
      </w:r>
    </w:p>
    <w:p w:rsidR="005A5E7D" w:rsidRPr="001529D6" w:rsidRDefault="005A5E7D" w:rsidP="005A5E7D">
      <w:pPr>
        <w:spacing w:line="240" w:lineRule="auto"/>
        <w:rPr>
          <w:sz w:val="16"/>
        </w:rPr>
      </w:pPr>
    </w:p>
    <w:p w:rsidR="005A5E7D" w:rsidRDefault="005A5E7D" w:rsidP="005A5E7D">
      <w:pPr>
        <w:pStyle w:val="Heading2"/>
        <w:ind w:left="426" w:hanging="426"/>
      </w:pPr>
      <w:bookmarkStart w:id="104" w:name="_Toc384769794"/>
      <w:r w:rsidRPr="00E74EF8">
        <w:t xml:space="preserve">Análisis de la convergencia de Puerto Rico con </w:t>
      </w:r>
      <w:r>
        <w:t>Estados Unidos y algunos e</w:t>
      </w:r>
      <w:r w:rsidRPr="00E74EF8">
        <w:t>stados</w:t>
      </w:r>
      <w:bookmarkEnd w:id="104"/>
    </w:p>
    <w:p w:rsidR="005A5E7D" w:rsidRDefault="005A5E7D" w:rsidP="005A5E7D">
      <w:pPr>
        <w:spacing w:line="240" w:lineRule="auto"/>
      </w:pPr>
    </w:p>
    <w:p w:rsidR="005A5E7D" w:rsidRDefault="005A5E7D" w:rsidP="005A5E7D">
      <w:r w:rsidRPr="000D5562">
        <w:t>Además de hacer un análisis</w:t>
      </w:r>
      <w:r>
        <w:t xml:space="preserve"> de la convergencia entre Puerto Rico y Estados Unidos, es interesante comparar a Puerto Rico con un conjunto de estados que se le asemejen. Por lo tanto, en esta sección </w:t>
      </w:r>
      <w:r w:rsidRPr="008B456C">
        <w:t>—</w:t>
      </w:r>
      <w:r>
        <w:t>inicialmente</w:t>
      </w:r>
      <w:r w:rsidRPr="008B456C">
        <w:t>—</w:t>
      </w:r>
      <w:r>
        <w:t xml:space="preserve"> se revisan los trabajos de convergencia en Estados Unidos a nivel regional e interestatal. De esta manera, esa revisión sirve de base para el análisis que se hace aquí; el cual se llevó a cabo en términos del ingreso per cápita y la tasa de crecimiento, ya que son las variables tradicionales para el análisis de la convergencia.</w:t>
      </w:r>
    </w:p>
    <w:p w:rsidR="00793A6E" w:rsidRDefault="00793A6E" w:rsidP="005A5E7D"/>
    <w:p w:rsidR="005A5E7D" w:rsidRPr="00816F19" w:rsidRDefault="005A5E7D" w:rsidP="009B59BB">
      <w:pPr>
        <w:pStyle w:val="Heading3"/>
      </w:pPr>
      <w:bookmarkStart w:id="105" w:name="_Toc384769795"/>
      <w:r>
        <w:t>D.1</w:t>
      </w:r>
      <w:r>
        <w:tab/>
      </w:r>
      <w:r w:rsidRPr="00816F19">
        <w:t>Convergencia en Estados Unidos: el análisis regional e interestatal</w:t>
      </w:r>
      <w:bookmarkEnd w:id="105"/>
    </w:p>
    <w:p w:rsidR="005A5E7D" w:rsidRDefault="005A5E7D" w:rsidP="005A5E7D">
      <w:pPr>
        <w:spacing w:line="240" w:lineRule="auto"/>
      </w:pPr>
    </w:p>
    <w:p w:rsidR="005A5E7D" w:rsidRDefault="005A5E7D" w:rsidP="005A5E7D">
      <w:r w:rsidRPr="00ED05E9">
        <w:t xml:space="preserve">Son muchos los estudios que se han llevado a cabo respecto a la convergencia regional o entre los </w:t>
      </w:r>
      <w:r>
        <w:t xml:space="preserve">estados de </w:t>
      </w:r>
      <w:r w:rsidRPr="00ED05E9">
        <w:t xml:space="preserve">Estados Unidos, pero muy pocos los que incluyen a Puerto Rico en el análisis con los otros </w:t>
      </w:r>
      <w:r>
        <w:t>e</w:t>
      </w:r>
      <w:r w:rsidRPr="00ED05E9">
        <w:t>stados.</w:t>
      </w:r>
      <w:r>
        <w:t xml:space="preserve"> </w:t>
      </w:r>
      <w:r w:rsidRPr="00ED05E9">
        <w:t xml:space="preserve">Al parecer, solo en los trabajos de Lefort se hace la comparación de Puerto Rico con </w:t>
      </w:r>
      <w:r>
        <w:t>e</w:t>
      </w:r>
      <w:r w:rsidRPr="00ED05E9">
        <w:t>stados de Estados Unidos.</w:t>
      </w:r>
    </w:p>
    <w:p w:rsidR="005A5E7D" w:rsidRDefault="005A5E7D" w:rsidP="005A5E7D">
      <w:r w:rsidRPr="00ED05E9">
        <w:t>Sin embargo, es mucha la información que se puede obtener de los estudios regionales de Estados Unidos que se han publicado.</w:t>
      </w:r>
      <w:r>
        <w:t xml:space="preserve"> </w:t>
      </w:r>
      <w:r w:rsidRPr="00ED05E9">
        <w:t xml:space="preserve">Se puede obtener información valiosa acerca de los enfoques teóricos utilizados y </w:t>
      </w:r>
      <w:r>
        <w:t xml:space="preserve">de </w:t>
      </w:r>
      <w:r w:rsidRPr="00ED05E9">
        <w:t>la metodología.</w:t>
      </w:r>
      <w:r>
        <w:t xml:space="preserve"> Además, los resultados pueden </w:t>
      </w:r>
      <w:r w:rsidRPr="00ED05E9">
        <w:t>utiliza</w:t>
      </w:r>
      <w:r>
        <w:t>rse</w:t>
      </w:r>
      <w:r w:rsidRPr="00ED05E9">
        <w:t xml:space="preserve"> para compararlos con los ha</w:t>
      </w:r>
      <w:r>
        <w:t>llazgos de esta investigación.</w:t>
      </w:r>
    </w:p>
    <w:p w:rsidR="005A5E7D" w:rsidRDefault="005A5E7D" w:rsidP="005A5E7D">
      <w:r>
        <w:t xml:space="preserve">En los trabajos regionales aplicados a Estados Unidos </w:t>
      </w:r>
      <w:r w:rsidRPr="006A1C88">
        <w:t>no existe un consenso</w:t>
      </w:r>
      <w:r>
        <w:t xml:space="preserve"> co</w:t>
      </w:r>
      <w:r w:rsidRPr="006A1C88">
        <w:t>n relación a los enfoques teóricos sobre la convergencia. Algunos de los que más se mencionan</w:t>
      </w:r>
      <w:r>
        <w:t xml:space="preserve"> son</w:t>
      </w:r>
      <w:r w:rsidRPr="006A1C88">
        <w:t xml:space="preserve"> la convergencia ent</w:t>
      </w:r>
      <w:r>
        <w:t xml:space="preserve">re regiones metropolitanas y no </w:t>
      </w:r>
      <w:r w:rsidRPr="006A1C88">
        <w:t>metropolitanas, la convergencia de clubes, entre zonas geográficas y la convergencia de tipo Beta (β) y Alfa (σ).</w:t>
      </w:r>
      <w:r>
        <w:t xml:space="preserve"> </w:t>
      </w:r>
      <w:r w:rsidRPr="00ED05E9">
        <w:t xml:space="preserve">Riccardo DiCecio y Charles Gascon (2008) son los principales exponentes en las teorías sobre la convergencia </w:t>
      </w:r>
      <w:r>
        <w:t xml:space="preserve">entre zonas metropolitanas y no </w:t>
      </w:r>
      <w:r w:rsidRPr="00ED05E9">
        <w:t>metropolitanas o convergencia de clubes, donde las regiones metropolitanas convergen en ingresos cercanos a la media nacional; mientras que, las regiones no metropolitanas también convergen, pero en ingresos por debajo de esa misma media.</w:t>
      </w:r>
    </w:p>
    <w:p w:rsidR="005A5E7D" w:rsidRDefault="005A5E7D" w:rsidP="005A5E7D">
      <w:r w:rsidRPr="00ED05E9">
        <w:t xml:space="preserve">Un enfoque similar es el de la convergencia entre zonas geográficas, tal como lo exponen Higgins, Levy y Young en su artículo “Growth and Convergence across the United States: Evidence from County-Level Data” (2006). En este caso, agrupan </w:t>
      </w:r>
      <w:r>
        <w:t xml:space="preserve">a </w:t>
      </w:r>
      <w:r w:rsidRPr="00ED05E9">
        <w:t xml:space="preserve">los estados en las distintas zonas donde se encuentran, mostrando que la velocidad de convergencia es mayor en los estados que, en el pasado, han tenido ingresos bajos. Para llegar a estas conclusiones, utilizan la investigación de Robert Barro y Xavier Sala-i-Martin </w:t>
      </w:r>
      <w:r>
        <w:t xml:space="preserve">(1990) </w:t>
      </w:r>
      <w:r w:rsidRPr="00ED05E9">
        <w:t>sobre la convergencia de tipo Beta (β) y Alfa (σ); donde las economías más pobres crecen a un paso más acelerado que las ricas y donde la dispersión del ingreso real per cápita de un grupo de economías se r</w:t>
      </w:r>
      <w:r>
        <w:t>educe a través del tiempo</w:t>
      </w:r>
      <w:r w:rsidRPr="00ED05E9">
        <w:t>.</w:t>
      </w:r>
    </w:p>
    <w:p w:rsidR="005A5E7D" w:rsidRPr="006A1C88" w:rsidRDefault="005A5E7D" w:rsidP="005A5E7D">
      <w:r w:rsidRPr="006A1C88">
        <w:t xml:space="preserve">Algunos de los hallazgos principales </w:t>
      </w:r>
      <w:r>
        <w:t>de los estudios son</w:t>
      </w:r>
      <w:r w:rsidRPr="006A1C88">
        <w:t>:</w:t>
      </w:r>
    </w:p>
    <w:p w:rsidR="005A5E7D" w:rsidRPr="00ED05E9" w:rsidRDefault="005A5E7D" w:rsidP="005A5E7D">
      <w:pPr>
        <w:pStyle w:val="ColorfulList-Accent11"/>
        <w:numPr>
          <w:ilvl w:val="2"/>
          <w:numId w:val="3"/>
        </w:numPr>
        <w:tabs>
          <w:tab w:val="clear" w:pos="2160"/>
          <w:tab w:val="num" w:pos="993"/>
        </w:tabs>
        <w:spacing w:line="360" w:lineRule="auto"/>
        <w:ind w:left="993" w:hanging="284"/>
        <w:rPr>
          <w:szCs w:val="24"/>
        </w:rPr>
      </w:pPr>
      <w:r w:rsidRPr="00ED05E9">
        <w:rPr>
          <w:szCs w:val="24"/>
        </w:rPr>
        <w:t>La convergencia es mayor dentro de un mismo país que entre distintos países.</w:t>
      </w:r>
    </w:p>
    <w:p w:rsidR="005A5E7D" w:rsidRPr="006A1C88" w:rsidRDefault="005A5E7D" w:rsidP="005A5E7D">
      <w:pPr>
        <w:pStyle w:val="ColorfulList-Accent11"/>
        <w:numPr>
          <w:ilvl w:val="2"/>
          <w:numId w:val="3"/>
        </w:numPr>
        <w:tabs>
          <w:tab w:val="clear" w:pos="2160"/>
          <w:tab w:val="num" w:pos="993"/>
        </w:tabs>
        <w:spacing w:line="360" w:lineRule="auto"/>
        <w:ind w:left="993" w:hanging="284"/>
        <w:rPr>
          <w:szCs w:val="24"/>
        </w:rPr>
      </w:pPr>
      <w:r w:rsidRPr="00ED05E9">
        <w:rPr>
          <w:szCs w:val="24"/>
        </w:rPr>
        <w:t>La homogeneidad en cuanto a las leyes, impuestos, re</w:t>
      </w:r>
      <w:r>
        <w:rPr>
          <w:szCs w:val="24"/>
        </w:rPr>
        <w:t>laciones laborales, entre otros,</w:t>
      </w:r>
      <w:r w:rsidRPr="00ED05E9">
        <w:rPr>
          <w:szCs w:val="24"/>
        </w:rPr>
        <w:t xml:space="preserve"> es esenci</w:t>
      </w:r>
      <w:r>
        <w:rPr>
          <w:szCs w:val="24"/>
        </w:rPr>
        <w:t>al para que exista convergencia (Gomme y Rupert, 2004).</w:t>
      </w:r>
    </w:p>
    <w:p w:rsidR="005A5E7D" w:rsidRPr="00ED05E9" w:rsidRDefault="005A5E7D" w:rsidP="005A5E7D">
      <w:pPr>
        <w:pStyle w:val="ColorfulList-Accent11"/>
        <w:numPr>
          <w:ilvl w:val="2"/>
          <w:numId w:val="3"/>
        </w:numPr>
        <w:tabs>
          <w:tab w:val="clear" w:pos="2160"/>
          <w:tab w:val="num" w:pos="993"/>
        </w:tabs>
        <w:spacing w:line="360" w:lineRule="auto"/>
        <w:ind w:left="993" w:hanging="284"/>
        <w:rPr>
          <w:szCs w:val="24"/>
        </w:rPr>
      </w:pPr>
      <w:r w:rsidRPr="00ED05E9">
        <w:rPr>
          <w:szCs w:val="24"/>
        </w:rPr>
        <w:t>Higgins, Levy y Young (2006) encontraron que existe una correlación positiva entre crecimiento económico y convergencia y el desempeño en los sectores financiero, de seguros, bienes raíces y entretenimiento. Y que existe una correlación negativa con el tamaño del gobierno y sector educativo.</w:t>
      </w:r>
    </w:p>
    <w:p w:rsidR="005A5E7D" w:rsidRPr="00ED05E9" w:rsidRDefault="005A5E7D" w:rsidP="005A5E7D">
      <w:pPr>
        <w:pStyle w:val="ColorfulList-Accent11"/>
        <w:numPr>
          <w:ilvl w:val="2"/>
          <w:numId w:val="3"/>
        </w:numPr>
        <w:tabs>
          <w:tab w:val="clear" w:pos="2160"/>
          <w:tab w:val="num" w:pos="993"/>
        </w:tabs>
        <w:spacing w:line="360" w:lineRule="auto"/>
        <w:ind w:left="993" w:hanging="284"/>
        <w:rPr>
          <w:szCs w:val="24"/>
        </w:rPr>
      </w:pPr>
      <w:r w:rsidRPr="00ED05E9">
        <w:rPr>
          <w:szCs w:val="24"/>
        </w:rPr>
        <w:t>El uso del marco neoclásico del crecimiento económico en una economía abierta como la estadounidense no es lo ideal.</w:t>
      </w:r>
    </w:p>
    <w:p w:rsidR="005A5E7D" w:rsidRPr="00ED05E9" w:rsidRDefault="005A5E7D" w:rsidP="005A5E7D">
      <w:pPr>
        <w:pStyle w:val="ColorfulList-Accent11"/>
        <w:numPr>
          <w:ilvl w:val="2"/>
          <w:numId w:val="3"/>
        </w:numPr>
        <w:tabs>
          <w:tab w:val="clear" w:pos="2160"/>
          <w:tab w:val="num" w:pos="993"/>
        </w:tabs>
        <w:spacing w:line="360" w:lineRule="auto"/>
        <w:ind w:left="993" w:hanging="284"/>
        <w:rPr>
          <w:szCs w:val="24"/>
        </w:rPr>
      </w:pPr>
      <w:r w:rsidRPr="00ED05E9">
        <w:rPr>
          <w:szCs w:val="24"/>
        </w:rPr>
        <w:t>Es importante conocer cuándo hay un choque exógeno, ya que podría subestimarse o sobreestimarse el efecto de esa variable en el crecimiento y la convergencia (Barro y Sala-i-Martin, 1990).</w:t>
      </w:r>
    </w:p>
    <w:p w:rsidR="005A5E7D" w:rsidRDefault="005A5E7D" w:rsidP="005A5E7D">
      <w:pPr>
        <w:pStyle w:val="ColorfulList-Accent11"/>
        <w:numPr>
          <w:ilvl w:val="2"/>
          <w:numId w:val="3"/>
        </w:numPr>
        <w:tabs>
          <w:tab w:val="clear" w:pos="2160"/>
          <w:tab w:val="num" w:pos="993"/>
        </w:tabs>
        <w:spacing w:line="360" w:lineRule="auto"/>
        <w:ind w:left="993" w:hanging="284"/>
        <w:rPr>
          <w:szCs w:val="24"/>
        </w:rPr>
      </w:pPr>
      <w:r w:rsidRPr="00ED05E9">
        <w:rPr>
          <w:szCs w:val="24"/>
        </w:rPr>
        <w:t xml:space="preserve">Ganong (2012) identifica un decrecimiento en las tasas de convergencia en los últimos </w:t>
      </w:r>
      <w:r>
        <w:rPr>
          <w:szCs w:val="24"/>
        </w:rPr>
        <w:t>treinta</w:t>
      </w:r>
      <w:r w:rsidRPr="00ED05E9">
        <w:rPr>
          <w:szCs w:val="24"/>
        </w:rPr>
        <w:t xml:space="preserve"> años.</w:t>
      </w:r>
      <w:r>
        <w:rPr>
          <w:szCs w:val="24"/>
        </w:rPr>
        <w:t xml:space="preserve"> </w:t>
      </w:r>
      <w:r w:rsidRPr="00ED05E9">
        <w:rPr>
          <w:szCs w:val="24"/>
        </w:rPr>
        <w:t>Le atribuye el mismo a la merma en los flujos migratorios hacia los estados ricos</w:t>
      </w:r>
      <w:r>
        <w:rPr>
          <w:szCs w:val="24"/>
        </w:rPr>
        <w:t>,</w:t>
      </w:r>
      <w:r w:rsidRPr="00ED05E9">
        <w:rPr>
          <w:szCs w:val="24"/>
        </w:rPr>
        <w:t xml:space="preserve"> debido al aumento en los costos de vivienda y las regulaciones.</w:t>
      </w:r>
    </w:p>
    <w:p w:rsidR="005A5E7D" w:rsidRPr="00C90C1B" w:rsidRDefault="005A5E7D" w:rsidP="005A5E7D">
      <w:pPr>
        <w:pStyle w:val="ColorfulList-Accent11"/>
        <w:spacing w:line="240" w:lineRule="auto"/>
        <w:ind w:left="1440"/>
        <w:rPr>
          <w:sz w:val="16"/>
          <w:szCs w:val="24"/>
        </w:rPr>
      </w:pPr>
    </w:p>
    <w:p w:rsidR="005A5E7D" w:rsidRPr="00816F19" w:rsidRDefault="005A5E7D" w:rsidP="009B59BB">
      <w:pPr>
        <w:pStyle w:val="Heading3"/>
      </w:pPr>
      <w:bookmarkStart w:id="106" w:name="_Toc384769796"/>
      <w:r>
        <w:t>D.2</w:t>
      </w:r>
      <w:r>
        <w:tab/>
      </w:r>
      <w:r w:rsidRPr="00816F19">
        <w:t>Puerto Rico en el análisis interestatal</w:t>
      </w:r>
      <w:bookmarkEnd w:id="106"/>
    </w:p>
    <w:p w:rsidR="005A5E7D" w:rsidRDefault="005A5E7D" w:rsidP="005A5E7D">
      <w:pPr>
        <w:spacing w:line="240" w:lineRule="auto"/>
      </w:pPr>
    </w:p>
    <w:p w:rsidR="005A5E7D" w:rsidRDefault="005A5E7D" w:rsidP="005A5E7D">
      <w:r>
        <w:t>A continuación, se presenta una comparación de la tasa de crecimiento del producto bruto y el ingreso personal disponible per cápita de Puerto Rico respecto a Estados Unidos y a algunos Estados comparables. Además, se incluye la razón del ingreso personal disponible per cápita respecto a Estados Unidos para cada uno de los estados seleccionados y Puerto Rico. La razón para incluir estás variables, es que son las que tradicionalmente se analizan en el tema de la convergencia. La convergencia debe ocurrir en el crecimiento o en el ingreso.</w:t>
      </w:r>
    </w:p>
    <w:p w:rsidR="005A5E7D" w:rsidRDefault="005A5E7D" w:rsidP="005A5E7D">
      <w:r>
        <w:t>Se seleccionaron seis estados para comparar con Puerto Rico: Misisipi, Arkansas, Utah, Luisiana, Hawái y Florida. Los primeros cuatro son de los estados más pobres, siendo ese el criterio para su selección. Hawái y Florida se seleccionaron por las características políticas y sociales que los asocian con Puerto Rico.</w:t>
      </w:r>
    </w:p>
    <w:p w:rsidR="005A5E7D" w:rsidRPr="00E90AE6" w:rsidRDefault="005A5E7D" w:rsidP="005A5E7D">
      <w:r>
        <w:t>En la tabla a continuación, se muestran los datos de producción bruta a precios constantes para Estados Unidos y Puerto Rico desde el año 1990 hasta el 2012.</w:t>
      </w:r>
      <w:r>
        <w:rPr>
          <w:rStyle w:val="FootnoteReference"/>
          <w:szCs w:val="24"/>
        </w:rPr>
        <w:footnoteReference w:id="55"/>
      </w:r>
      <w:r>
        <w:t xml:space="preserve"> El lapso de tiempo es diferente para los datos de los estados, ya que solo estaban disponibles desde el año 1997. Para los estados y Puerto Rico, los datos están en millones de dólares, mientras que para Estados Unidos están en miles de millones de dólares. Estos datos sirvieron de base para comparar las tasas de crecimiento que se muestran más adelante.</w:t>
      </w:r>
    </w:p>
    <w:p w:rsidR="005A5E7D" w:rsidRDefault="0095547C" w:rsidP="005A5E7D">
      <w:pPr>
        <w:pStyle w:val="ColorfulList-Accent11"/>
        <w:ind w:firstLine="0"/>
        <w:jc w:val="center"/>
        <w:rPr>
          <w:szCs w:val="24"/>
        </w:rPr>
      </w:pPr>
      <w:r>
        <w:rPr>
          <w:noProof/>
          <w:szCs w:val="24"/>
          <w:lang w:val="en-US"/>
        </w:rPr>
        <w:drawing>
          <wp:inline distT="0" distB="0" distL="0" distR="0">
            <wp:extent cx="5172075" cy="4152900"/>
            <wp:effectExtent l="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4152900"/>
                    </a:xfrm>
                    <a:prstGeom prst="rect">
                      <a:avLst/>
                    </a:prstGeom>
                    <a:noFill/>
                    <a:ln>
                      <a:noFill/>
                    </a:ln>
                  </pic:spPr>
                </pic:pic>
              </a:graphicData>
            </a:graphic>
          </wp:inline>
        </w:drawing>
      </w:r>
    </w:p>
    <w:p w:rsidR="005A5E7D" w:rsidRDefault="005A5E7D" w:rsidP="005A5E7D">
      <w:pPr>
        <w:pStyle w:val="ColorfulList-Accent11"/>
        <w:spacing w:line="240" w:lineRule="auto"/>
        <w:ind w:left="1440"/>
        <w:rPr>
          <w:szCs w:val="24"/>
        </w:rPr>
      </w:pPr>
    </w:p>
    <w:p w:rsidR="005A5E7D" w:rsidRPr="00C851BA" w:rsidRDefault="005A5E7D" w:rsidP="005A5E7D">
      <w:r>
        <w:t>En la siguiente tabla, se presentan los datos de crecimiento para el período y los mismos estados, incluyendo los datos para Estados Unidos y Puerto Rico. En la gráfica que le sigue, se ilustran los datos para algunos de los estados más pobres y Puerto Rico. No es posible mostrar una tendencia significativa que caracterice la muestra. Al comparar con Florida y Hawái, se puede percibir una tendencia parecida desde el año 2002 en adelante. En ambas gráficas, Puerto Rico resulta tener de las tasas de crecimiento más bajas en general. Un detalle negativo es la falta de una serie de tiempo más amplia para la comparación, lo cual en este caso sería ideal porque permitiría una mejor identificación de tendencias o sendas de crecimiento similares. La gráfica con Estados Unidos se mostró en la sección anterior.</w:t>
      </w:r>
    </w:p>
    <w:p w:rsidR="005A5E7D" w:rsidRPr="00C851BA" w:rsidRDefault="0095547C" w:rsidP="005A5E7D">
      <w:pPr>
        <w:pStyle w:val="ColorfulList-Accent11"/>
        <w:ind w:firstLine="0"/>
        <w:jc w:val="center"/>
        <w:rPr>
          <w:szCs w:val="24"/>
        </w:rPr>
      </w:pPr>
      <w:r>
        <w:rPr>
          <w:noProof/>
          <w:szCs w:val="24"/>
          <w:lang w:val="en-US"/>
        </w:rPr>
        <w:drawing>
          <wp:inline distT="0" distB="0" distL="0" distR="0">
            <wp:extent cx="4800600" cy="4276725"/>
            <wp:effectExtent l="0" t="0" r="0" b="952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4276725"/>
                    </a:xfrm>
                    <a:prstGeom prst="rect">
                      <a:avLst/>
                    </a:prstGeom>
                    <a:noFill/>
                    <a:ln>
                      <a:noFill/>
                    </a:ln>
                  </pic:spPr>
                </pic:pic>
              </a:graphicData>
            </a:graphic>
          </wp:inline>
        </w:drawing>
      </w:r>
    </w:p>
    <w:p w:rsidR="005A5E7D" w:rsidRPr="002D155E" w:rsidRDefault="005A5E7D" w:rsidP="005A5E7D">
      <w:pPr>
        <w:pStyle w:val="ColorfulList-Accent11"/>
        <w:ind w:left="1440"/>
        <w:rPr>
          <w:szCs w:val="24"/>
          <w:highlight w:val="yellow"/>
        </w:rPr>
      </w:pPr>
    </w:p>
    <w:p w:rsidR="005A5E7D" w:rsidRDefault="0095547C" w:rsidP="005A5E7D">
      <w:pPr>
        <w:pStyle w:val="ColorfulList-Accent11"/>
        <w:ind w:firstLine="0"/>
        <w:jc w:val="center"/>
        <w:rPr>
          <w:noProof/>
          <w:szCs w:val="24"/>
          <w:highlight w:val="yellow"/>
        </w:rPr>
      </w:pPr>
      <w:r>
        <w:rPr>
          <w:noProof/>
          <w:szCs w:val="24"/>
          <w:lang w:val="en-US"/>
        </w:rPr>
        <w:drawing>
          <wp:inline distT="0" distB="0" distL="0" distR="0">
            <wp:extent cx="4568825" cy="2740025"/>
            <wp:effectExtent l="0" t="0" r="22225" b="22225"/>
            <wp:docPr id="3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5A5E7D" w:rsidRDefault="005A5E7D" w:rsidP="005A5E7D">
      <w:pPr>
        <w:pStyle w:val="ColorfulList-Accent11"/>
        <w:ind w:left="1440"/>
        <w:rPr>
          <w:noProof/>
          <w:szCs w:val="24"/>
          <w:highlight w:val="yellow"/>
        </w:rPr>
      </w:pPr>
    </w:p>
    <w:p w:rsidR="005A5E7D" w:rsidRDefault="0095547C" w:rsidP="005A5E7D">
      <w:pPr>
        <w:pStyle w:val="ColorfulList-Accent11"/>
        <w:ind w:left="1440" w:firstLine="0"/>
        <w:rPr>
          <w:noProof/>
          <w:szCs w:val="24"/>
          <w:highlight w:val="yellow"/>
        </w:rPr>
      </w:pPr>
      <w:r>
        <w:rPr>
          <w:noProof/>
          <w:szCs w:val="24"/>
          <w:lang w:val="en-US"/>
        </w:rPr>
        <w:drawing>
          <wp:inline distT="0" distB="0" distL="0" distR="0">
            <wp:extent cx="4568825" cy="2740025"/>
            <wp:effectExtent l="0" t="0" r="22225" b="22225"/>
            <wp:docPr id="3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5A5E7D" w:rsidRPr="00B212D6" w:rsidRDefault="005A5E7D" w:rsidP="005A5E7D">
      <w:pPr>
        <w:pStyle w:val="ColorfulList-Accent11"/>
        <w:ind w:left="1440"/>
        <w:rPr>
          <w:noProof/>
          <w:szCs w:val="24"/>
          <w:highlight w:val="yellow"/>
        </w:rPr>
      </w:pPr>
    </w:p>
    <w:p w:rsidR="005A5E7D" w:rsidRPr="00B212D6" w:rsidRDefault="005A5E7D" w:rsidP="005A5E7D">
      <w:pPr>
        <w:rPr>
          <w:noProof/>
        </w:rPr>
      </w:pPr>
      <w:r w:rsidRPr="00B212D6">
        <w:rPr>
          <w:noProof/>
        </w:rPr>
        <w:t>En la siguiente tabla se presentan los datos del ingreso personal disponible para Puerto Rico, Estados Unidos y la misma muestra de estados.</w:t>
      </w:r>
      <w:r>
        <w:rPr>
          <w:noProof/>
        </w:rPr>
        <w:t xml:space="preserve"> </w:t>
      </w:r>
      <w:r w:rsidRPr="00B212D6">
        <w:rPr>
          <w:noProof/>
        </w:rPr>
        <w:t xml:space="preserve">Los datos están en dólares corrientes, ya que el </w:t>
      </w:r>
      <w:r w:rsidRPr="00E25C7B">
        <w:rPr>
          <w:i/>
          <w:noProof/>
        </w:rPr>
        <w:t>Bureau of Economic Analysis</w:t>
      </w:r>
      <w:r w:rsidRPr="00B212D6">
        <w:rPr>
          <w:noProof/>
        </w:rPr>
        <w:t xml:space="preserve"> no </w:t>
      </w:r>
      <w:r>
        <w:rPr>
          <w:noProof/>
        </w:rPr>
        <w:t xml:space="preserve">los </w:t>
      </w:r>
      <w:r w:rsidRPr="00B212D6">
        <w:rPr>
          <w:noProof/>
        </w:rPr>
        <w:t>tenía publicados en términos constantes para los estados.</w:t>
      </w:r>
      <w:r>
        <w:rPr>
          <w:noProof/>
        </w:rPr>
        <w:t xml:space="preserve"> </w:t>
      </w:r>
      <w:r w:rsidRPr="00B212D6">
        <w:rPr>
          <w:noProof/>
        </w:rPr>
        <w:t>Sin embargo, en este caso, la muestra es más amplia, desde el año 1990.</w:t>
      </w:r>
    </w:p>
    <w:p w:rsidR="005A5E7D" w:rsidRPr="00A96CBE" w:rsidRDefault="0095547C" w:rsidP="005A5E7D">
      <w:pPr>
        <w:pStyle w:val="ColorfulList-Accent11"/>
        <w:ind w:firstLine="0"/>
        <w:jc w:val="center"/>
        <w:rPr>
          <w:szCs w:val="24"/>
        </w:rPr>
      </w:pPr>
      <w:r>
        <w:rPr>
          <w:noProof/>
          <w:szCs w:val="24"/>
          <w:lang w:val="en-US"/>
        </w:rPr>
        <w:drawing>
          <wp:inline distT="0" distB="0" distL="0" distR="0">
            <wp:extent cx="4953000" cy="4352925"/>
            <wp:effectExtent l="0" t="0" r="0"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4352925"/>
                    </a:xfrm>
                    <a:prstGeom prst="rect">
                      <a:avLst/>
                    </a:prstGeom>
                    <a:noFill/>
                    <a:ln>
                      <a:noFill/>
                    </a:ln>
                  </pic:spPr>
                </pic:pic>
              </a:graphicData>
            </a:graphic>
          </wp:inline>
        </w:drawing>
      </w:r>
    </w:p>
    <w:p w:rsidR="005A5E7D" w:rsidRDefault="005A5E7D" w:rsidP="005A5E7D">
      <w:pPr>
        <w:pStyle w:val="ColorfulList-Accent11"/>
        <w:spacing w:line="240" w:lineRule="auto"/>
        <w:ind w:left="1440"/>
        <w:rPr>
          <w:szCs w:val="24"/>
        </w:rPr>
      </w:pPr>
    </w:p>
    <w:p w:rsidR="005A5E7D" w:rsidRPr="00A96CBE" w:rsidRDefault="005A5E7D" w:rsidP="005A5E7D">
      <w:r>
        <w:t>Puede observarse que, siendo Utah, Misisipi, Arkansas y Luisiana de los estados más pobres, los datos de ingreso personal disponible per cápita sobrepasan a los de Puerto Rico; son casi el doble. En el caso de Florida y Hawái, el ingreso por habitante es mucho mayor para todo el período. Al observar la tabla y las gráficas a continuación, se ilustra si existe alguna tendencia en la tasa de crecimiento del ingreso.</w:t>
      </w:r>
    </w:p>
    <w:p w:rsidR="005A5E7D" w:rsidRPr="002D155E" w:rsidRDefault="0095547C" w:rsidP="005A5E7D">
      <w:pPr>
        <w:pStyle w:val="ColorfulList-Accent11"/>
        <w:ind w:firstLine="0"/>
        <w:rPr>
          <w:szCs w:val="24"/>
          <w:highlight w:val="yellow"/>
        </w:rPr>
      </w:pPr>
      <w:r>
        <w:rPr>
          <w:noProof/>
          <w:szCs w:val="24"/>
          <w:lang w:val="en-US"/>
        </w:rPr>
        <w:drawing>
          <wp:inline distT="0" distB="0" distL="0" distR="0">
            <wp:extent cx="4933950" cy="485775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4857750"/>
                    </a:xfrm>
                    <a:prstGeom prst="rect">
                      <a:avLst/>
                    </a:prstGeom>
                    <a:noFill/>
                    <a:ln>
                      <a:noFill/>
                    </a:ln>
                  </pic:spPr>
                </pic:pic>
              </a:graphicData>
            </a:graphic>
          </wp:inline>
        </w:drawing>
      </w:r>
    </w:p>
    <w:p w:rsidR="005A5E7D" w:rsidRDefault="005A5E7D" w:rsidP="005A5E7D">
      <w:pPr>
        <w:pStyle w:val="ColorfulList-Accent11"/>
        <w:ind w:left="1440"/>
        <w:rPr>
          <w:szCs w:val="24"/>
          <w:highlight w:val="yellow"/>
        </w:rPr>
      </w:pPr>
    </w:p>
    <w:p w:rsidR="005A5E7D" w:rsidRDefault="0095547C" w:rsidP="005A5E7D">
      <w:pPr>
        <w:pStyle w:val="ColorfulList-Accent11"/>
        <w:ind w:left="900" w:firstLine="0"/>
        <w:jc w:val="center"/>
        <w:rPr>
          <w:szCs w:val="24"/>
          <w:highlight w:val="yellow"/>
        </w:rPr>
      </w:pPr>
      <w:r>
        <w:rPr>
          <w:noProof/>
          <w:szCs w:val="24"/>
          <w:lang w:val="en-US"/>
        </w:rPr>
        <w:drawing>
          <wp:inline distT="0" distB="0" distL="0" distR="0">
            <wp:extent cx="4568825" cy="2740025"/>
            <wp:effectExtent l="0" t="0" r="22225" b="22225"/>
            <wp:docPr id="3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5A5E7D" w:rsidRDefault="005A5E7D" w:rsidP="005A5E7D">
      <w:pPr>
        <w:pStyle w:val="ColorfulList-Accent11"/>
        <w:ind w:left="1440"/>
        <w:rPr>
          <w:szCs w:val="24"/>
          <w:highlight w:val="yellow"/>
        </w:rPr>
      </w:pPr>
    </w:p>
    <w:p w:rsidR="005A5E7D" w:rsidRDefault="0095547C" w:rsidP="005A5E7D">
      <w:pPr>
        <w:pStyle w:val="ColorfulList-Accent11"/>
        <w:ind w:firstLine="0"/>
        <w:jc w:val="center"/>
        <w:rPr>
          <w:szCs w:val="24"/>
          <w:highlight w:val="yellow"/>
        </w:rPr>
      </w:pPr>
      <w:r>
        <w:rPr>
          <w:noProof/>
          <w:szCs w:val="24"/>
          <w:lang w:val="en-US"/>
        </w:rPr>
        <w:drawing>
          <wp:inline distT="0" distB="0" distL="0" distR="0">
            <wp:extent cx="4568825" cy="2740025"/>
            <wp:effectExtent l="0" t="0" r="22225" b="22225"/>
            <wp:docPr id="3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5A5E7D" w:rsidRDefault="005A5E7D" w:rsidP="005A5E7D">
      <w:pPr>
        <w:pStyle w:val="ColorfulList-Accent11"/>
        <w:ind w:left="1440"/>
        <w:rPr>
          <w:szCs w:val="24"/>
          <w:highlight w:val="yellow"/>
        </w:rPr>
      </w:pPr>
    </w:p>
    <w:p w:rsidR="005A5E7D" w:rsidRDefault="0095547C" w:rsidP="005A5E7D">
      <w:pPr>
        <w:pStyle w:val="ColorfulList-Accent11"/>
        <w:ind w:firstLine="0"/>
        <w:jc w:val="center"/>
        <w:rPr>
          <w:szCs w:val="24"/>
          <w:highlight w:val="yellow"/>
        </w:rPr>
      </w:pPr>
      <w:r>
        <w:rPr>
          <w:noProof/>
          <w:szCs w:val="24"/>
          <w:lang w:val="en-US"/>
        </w:rPr>
        <w:drawing>
          <wp:inline distT="0" distB="0" distL="0" distR="0">
            <wp:extent cx="4568825" cy="2740025"/>
            <wp:effectExtent l="0" t="0" r="22225" b="22225"/>
            <wp:docPr id="38"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A5E7D" w:rsidRDefault="005A5E7D" w:rsidP="005A5E7D">
      <w:pPr>
        <w:pStyle w:val="ColorfulList-Accent11"/>
        <w:spacing w:line="240" w:lineRule="auto"/>
        <w:ind w:left="1440"/>
        <w:rPr>
          <w:szCs w:val="24"/>
          <w:highlight w:val="yellow"/>
        </w:rPr>
      </w:pPr>
    </w:p>
    <w:p w:rsidR="005A5E7D" w:rsidRDefault="005A5E7D" w:rsidP="005A5E7D">
      <w:r w:rsidRPr="00CA3822">
        <w:t>En el caso del ingreso personal disponible per cápita de Estados Unidos y Puerto Rico, no se puede identificar que exista una tendencia común en el crecimiento.</w:t>
      </w:r>
      <w:r>
        <w:t xml:space="preserve"> </w:t>
      </w:r>
      <w:r w:rsidRPr="00CA3822">
        <w:t>Incluso, Puerto Rico muestra una serie más volátil que la de Estados Unidos, con cambios más acentuados.</w:t>
      </w:r>
      <w:r>
        <w:t xml:space="preserve"> Como se mencionó antes, para el análisis de la convergencia no es deseable tener una serie de crecimiento con cambios tan profundos, ya que puede desviar la convergencia a una senda de crecimiento estable a través del tiempo.</w:t>
      </w:r>
    </w:p>
    <w:p w:rsidR="005A5E7D" w:rsidRDefault="005A5E7D" w:rsidP="005A5E7D">
      <w:r>
        <w:t>Cuando se compara la Isla con una muestra de los estados más pobres, se puede ver la volatilidad de la serie nuevamente. Para los otros estados el ingreso per cápita muestra disminuciones marcadas en los años 1999 y 2009. Sin embargo, no se puede identificar una tendencia marcada o una senda de crecimiento común que identifique a Puerto Rico con ellos. En la gráfica con Florida y Hawái, se percibe lo mismo en términos de la volatilidad y la tendencia de la serie.</w:t>
      </w:r>
    </w:p>
    <w:p w:rsidR="005A5E7D" w:rsidRDefault="005A5E7D" w:rsidP="005A5E7D">
      <w:r>
        <w:t>A continuación, se muestran los datos de ingreso personal disponible per cápita para los mismos estados y Puerto Rico de manera un poco distinta, como proporción del dato para Estados Unidos en el mismo lapso de tiempo. En el caso de Puerto Rico, su ingreso per cápita se muestra alrededor de una tercera parte del de Estados Unidos. En la muestra de los estados más pobres, suele ser alrededor de tres cuartas partes, y en Florida y Hawái sobrepasa el de Estados Unidos, mostrando una razón mayor a uno. Es decir, que la diferencia en ingreso entre Puerto Rico y los estados es notable al comparar con Estados Unidos en total, siendo el de Puerto Rico mucho más bajo.</w:t>
      </w:r>
    </w:p>
    <w:p w:rsidR="005A5E7D" w:rsidRPr="00CA3822" w:rsidRDefault="005A5E7D" w:rsidP="005A5E7D">
      <w:pPr>
        <w:pStyle w:val="ColorfulList-Accent11"/>
        <w:ind w:left="1440"/>
        <w:rPr>
          <w:szCs w:val="24"/>
        </w:rPr>
      </w:pPr>
    </w:p>
    <w:p w:rsidR="005A5E7D" w:rsidRPr="00F108DF" w:rsidRDefault="0095547C" w:rsidP="005A5E7D">
      <w:pPr>
        <w:pStyle w:val="ColorfulList-Accent11"/>
        <w:ind w:left="810" w:firstLine="0"/>
        <w:jc w:val="center"/>
        <w:rPr>
          <w:szCs w:val="24"/>
        </w:rPr>
      </w:pPr>
      <w:r>
        <w:rPr>
          <w:noProof/>
          <w:szCs w:val="24"/>
          <w:lang w:val="en-US"/>
        </w:rPr>
        <w:drawing>
          <wp:inline distT="0" distB="0" distL="0" distR="0">
            <wp:extent cx="4114800" cy="4714875"/>
            <wp:effectExtent l="0" t="0" r="0" b="9525"/>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714875"/>
                    </a:xfrm>
                    <a:prstGeom prst="rect">
                      <a:avLst/>
                    </a:prstGeom>
                    <a:noFill/>
                    <a:ln>
                      <a:noFill/>
                    </a:ln>
                  </pic:spPr>
                </pic:pic>
              </a:graphicData>
            </a:graphic>
          </wp:inline>
        </w:drawing>
      </w:r>
    </w:p>
    <w:p w:rsidR="005A5E7D" w:rsidRDefault="005A5E7D" w:rsidP="005A5E7D">
      <w:pPr>
        <w:pStyle w:val="ColorfulList-Accent11"/>
        <w:spacing w:line="240" w:lineRule="auto"/>
        <w:ind w:left="1440"/>
        <w:rPr>
          <w:szCs w:val="24"/>
        </w:rPr>
      </w:pPr>
    </w:p>
    <w:p w:rsidR="005A5E7D" w:rsidRPr="00AD4F63" w:rsidRDefault="005A5E7D" w:rsidP="005A5E7D">
      <w:r>
        <w:t>En la próxima tabla y gráficas</w:t>
      </w:r>
      <w:r w:rsidRPr="00AD4F63">
        <w:t xml:space="preserve"> se ilustra el crecimiento de la razón del ingreso per cápita respecto a Estados Unidos.</w:t>
      </w:r>
      <w:r>
        <w:t xml:space="preserve"> Al evaluar cómo ha ido cambiando a través del tiempo esta razón, se puede observar que las variaciones no son muy drásticas, no llegan al 1% en todos los estados. No obstante, la serie de Puerto Rico vuelve a resaltar con cambios más profundos que para el resto de los estados.</w:t>
      </w:r>
    </w:p>
    <w:p w:rsidR="005A5E7D" w:rsidRPr="00F108DF" w:rsidRDefault="0095547C" w:rsidP="005A5E7D">
      <w:pPr>
        <w:pStyle w:val="ColorfulList-Accent11"/>
        <w:ind w:left="1440" w:firstLine="0"/>
        <w:rPr>
          <w:szCs w:val="24"/>
        </w:rPr>
      </w:pPr>
      <w:r>
        <w:rPr>
          <w:noProof/>
          <w:szCs w:val="24"/>
          <w:lang w:val="en-US"/>
        </w:rPr>
        <w:drawing>
          <wp:inline distT="0" distB="0" distL="0" distR="0">
            <wp:extent cx="4229100" cy="4791075"/>
            <wp:effectExtent l="0" t="0" r="0" b="9525"/>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4791075"/>
                    </a:xfrm>
                    <a:prstGeom prst="rect">
                      <a:avLst/>
                    </a:prstGeom>
                    <a:noFill/>
                    <a:ln>
                      <a:noFill/>
                    </a:ln>
                  </pic:spPr>
                </pic:pic>
              </a:graphicData>
            </a:graphic>
          </wp:inline>
        </w:drawing>
      </w:r>
    </w:p>
    <w:p w:rsidR="005A5E7D" w:rsidRDefault="0095547C" w:rsidP="005A5E7D">
      <w:pPr>
        <w:ind w:firstLine="0"/>
        <w:jc w:val="center"/>
        <w:rPr>
          <w:b/>
          <w:szCs w:val="24"/>
          <w:highlight w:val="yellow"/>
        </w:rPr>
      </w:pPr>
      <w:r>
        <w:rPr>
          <w:b/>
          <w:noProof/>
          <w:szCs w:val="24"/>
          <w:lang w:val="en-US"/>
        </w:rPr>
        <w:drawing>
          <wp:inline distT="0" distB="0" distL="0" distR="0">
            <wp:extent cx="4568825" cy="2740025"/>
            <wp:effectExtent l="0" t="0" r="22225" b="22225"/>
            <wp:docPr id="41"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5A5E7D" w:rsidRDefault="005A5E7D" w:rsidP="005A5E7D">
      <w:r w:rsidRPr="004D3864">
        <w:t>Además de revisar las series de crecim</w:t>
      </w:r>
      <w:r>
        <w:t>iento en el producto b</w:t>
      </w:r>
      <w:r w:rsidRPr="004D3864">
        <w:t>ruto y en el ingreso personal disponible per cápita para tratar de identificar alguna tendencia, se llevó a cabo un análisis de regresión en el que se relacionaron las tasas de crecimiento de Puerto Rico con las de Estados Unidos y la</w:t>
      </w:r>
      <w:r>
        <w:t xml:space="preserve"> muestra de e</w:t>
      </w:r>
      <w:r w:rsidRPr="004D3864">
        <w:t>stados</w:t>
      </w:r>
      <w:r>
        <w:t xml:space="preserve"> seleccionados</w:t>
      </w:r>
      <w:r w:rsidRPr="004D3864">
        <w:t>.</w:t>
      </w:r>
    </w:p>
    <w:p w:rsidR="005A5E7D" w:rsidRDefault="005A5E7D" w:rsidP="005A5E7D">
      <w:r>
        <w:t>Se presentan tres regresiones en las que la tasa de crecimiento de la variables de Puerto Rico se relaciona con las de Estados Unidos y los estados comparables, para identificar si existe una relación entre las tendencias. En el caso del crecimiento del producto bruto, se esperaría que, de existir una relación, fuera directa, ya que las tasas de crecimiento deberían moverse en la misma dirección si existiera una senda de crecimiento común. La diferencia se encontraría en la aceleración, ya que los estados más pobres se espera tiendan a crecer de manera más acelerada que los más ricos.</w:t>
      </w:r>
    </w:p>
    <w:p w:rsidR="005A5E7D" w:rsidRDefault="005A5E7D" w:rsidP="005A5E7D">
      <w:r>
        <w:t xml:space="preserve">En la </w:t>
      </w:r>
      <w:r w:rsidRPr="00E25C7B">
        <w:rPr>
          <w:b/>
        </w:rPr>
        <w:t>Regresión 1</w:t>
      </w:r>
      <w:r>
        <w:t>, se relaciona solo a Puerto Rico con Estados Unidos, encontrando una relación significativa entre las tasas de crecimiento de los países. Se puede observar que la R cuadrada se mostró bastante baja, lo que puede significar que la tasa de crecimiento de Puerto Rico responda también a otros determinantes que no están recogidos en el modelo, lo cual es lógico. Ya se había discutido en otra sección de este capítulo que los ciclos económicos de Estados Unidos y Puerto Rico mantienen una relación, aunque de manera rezagada. Sin embargo, hay que resaltar que en los últimos años, según los estudios citados, es evidente que la relación entre los ciclos no se mantiene. Esto, junto a la volatilidad que muestran de las series de Puerto Rico, puede sugerir que los determinantes del crecimiento de Puerto Rico ya no están tan ligados a los de Estados Unidos y que, aunque muestre una relación significativa con el crecimiento de Estados Unidos, no necesariamente estén atados a una misma senda de crecimiento.</w:t>
      </w:r>
    </w:p>
    <w:p w:rsidR="005A5E7D" w:rsidRPr="00E56AB7" w:rsidRDefault="005A5E7D" w:rsidP="005A5E7D">
      <w:pPr>
        <w:keepNext/>
        <w:spacing w:line="240" w:lineRule="auto"/>
        <w:ind w:firstLine="0"/>
        <w:jc w:val="center"/>
        <w:rPr>
          <w:b/>
          <w:noProof/>
          <w:szCs w:val="24"/>
          <w:lang w:eastAsia="es-PR"/>
        </w:rPr>
      </w:pPr>
      <w:r w:rsidRPr="00E56AB7">
        <w:rPr>
          <w:b/>
          <w:noProof/>
          <w:szCs w:val="24"/>
          <w:lang w:eastAsia="es-PR"/>
        </w:rPr>
        <w:t xml:space="preserve">Regresión </w:t>
      </w:r>
      <w:r>
        <w:rPr>
          <w:b/>
          <w:noProof/>
          <w:szCs w:val="24"/>
          <w:lang w:eastAsia="es-PR"/>
        </w:rPr>
        <w:t>1</w:t>
      </w:r>
      <w:r w:rsidRPr="00E56AB7">
        <w:rPr>
          <w:b/>
          <w:noProof/>
          <w:szCs w:val="24"/>
          <w:lang w:eastAsia="es-PR"/>
        </w:rPr>
        <w:t>: Tasas de crecimiento de la producción bruta de Pue</w:t>
      </w:r>
      <w:r>
        <w:rPr>
          <w:b/>
          <w:noProof/>
          <w:szCs w:val="24"/>
          <w:lang w:eastAsia="es-PR"/>
        </w:rPr>
        <w:t>rto Rico y Estados Unidos</w:t>
      </w:r>
    </w:p>
    <w:p w:rsidR="005A5E7D" w:rsidRDefault="0095547C" w:rsidP="005A5E7D">
      <w:pPr>
        <w:jc w:val="center"/>
        <w:rPr>
          <w:noProof/>
          <w:szCs w:val="24"/>
          <w:highlight w:val="yellow"/>
          <w:lang w:eastAsia="es-PR"/>
        </w:rPr>
      </w:pPr>
      <w:r>
        <w:rPr>
          <w:noProof/>
          <w:szCs w:val="24"/>
          <w:lang w:val="en-US"/>
        </w:rPr>
        <w:drawing>
          <wp:inline distT="0" distB="0" distL="0" distR="0">
            <wp:extent cx="4591050" cy="2657475"/>
            <wp:effectExtent l="0" t="0" r="0" b="9525"/>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657475"/>
                    </a:xfrm>
                    <a:prstGeom prst="rect">
                      <a:avLst/>
                    </a:prstGeom>
                    <a:noFill/>
                    <a:ln>
                      <a:noFill/>
                    </a:ln>
                  </pic:spPr>
                </pic:pic>
              </a:graphicData>
            </a:graphic>
          </wp:inline>
        </w:drawing>
      </w:r>
    </w:p>
    <w:p w:rsidR="005A5E7D" w:rsidRDefault="005A5E7D" w:rsidP="005A5E7D">
      <w:pPr>
        <w:spacing w:line="240" w:lineRule="auto"/>
        <w:rPr>
          <w:noProof/>
          <w:szCs w:val="24"/>
          <w:highlight w:val="yellow"/>
          <w:lang w:eastAsia="es-PR"/>
        </w:rPr>
      </w:pPr>
    </w:p>
    <w:p w:rsidR="005A5E7D" w:rsidRDefault="005A5E7D" w:rsidP="005A5E7D">
      <w:r>
        <w:t>En el caso del ingreso, la relación también debería ser directa, ya que si existiera relación entre la tasa de crecimiento del ingreso de los estados con Puerto Rico se esperaría que:</w:t>
      </w:r>
    </w:p>
    <w:p w:rsidR="005A5E7D" w:rsidRDefault="005A5E7D" w:rsidP="005A5E7D">
      <w:pPr>
        <w:pStyle w:val="ColorfulList-Accent11"/>
        <w:numPr>
          <w:ilvl w:val="0"/>
          <w:numId w:val="6"/>
        </w:numPr>
        <w:rPr>
          <w:szCs w:val="24"/>
        </w:rPr>
      </w:pPr>
      <w:r>
        <w:rPr>
          <w:szCs w:val="24"/>
        </w:rPr>
        <w:t>Estados con ingresos bajos tiendan a crecer de manera más acelerada, lo que colocaría a estados como Utah, Luisiana, Misisipi y Arkansas en una senda de crecimiento similar a la de Puerto Rico, y que sus tasas de crecimiento guardaran relación.</w:t>
      </w:r>
    </w:p>
    <w:p w:rsidR="005A5E7D" w:rsidRDefault="005A5E7D" w:rsidP="005A5E7D">
      <w:pPr>
        <w:pStyle w:val="ColorfulList-Accent11"/>
        <w:numPr>
          <w:ilvl w:val="0"/>
          <w:numId w:val="6"/>
        </w:numPr>
        <w:rPr>
          <w:szCs w:val="24"/>
        </w:rPr>
      </w:pPr>
      <w:r>
        <w:rPr>
          <w:szCs w:val="24"/>
        </w:rPr>
        <w:t>Tiendan a converger estados que mantienen características similares.</w:t>
      </w:r>
    </w:p>
    <w:p w:rsidR="005A5E7D" w:rsidRDefault="005A5E7D" w:rsidP="005A5E7D">
      <w:r>
        <w:t xml:space="preserve">Al revisar los resultados de la </w:t>
      </w:r>
      <w:r w:rsidRPr="0028157F">
        <w:rPr>
          <w:b/>
        </w:rPr>
        <w:t>Regresión 2</w:t>
      </w:r>
      <w:r>
        <w:t>, solo se muestran significativos los coeficientes que relacionan a Puerto Rico con Utah y Luisiana; sin embargo, el coeficiente de Luisiana tiene signo negativo. Se puede decir que las relaciones mostradas en la regresión son espurias, que no hay evidencia de que existe una relación entre las tendencias del crecimiento en el ingreso en estados con niveles de ingreso per cápita similares.</w:t>
      </w:r>
    </w:p>
    <w:p w:rsidR="005A5E7D" w:rsidRDefault="005A5E7D" w:rsidP="005A5E7D">
      <w:r>
        <w:t xml:space="preserve">La </w:t>
      </w:r>
      <w:r w:rsidRPr="0028157F">
        <w:rPr>
          <w:b/>
        </w:rPr>
        <w:t>Regresión 3</w:t>
      </w:r>
      <w:r>
        <w:t xml:space="preserve"> se relaciona también con el ingreso personal disponible per cápita, en este caso se relacionan las tendencias del crecimiento en la razón del ingreso per cápita respecto al de Estados Unidos. Los resultados tampoco mostraron ser significativos y, en algunos casos, los signos no fueron los esperados. Por lo que no se puede concluir que existe una relación en las tendencias del ingreso personal disponible per cápita, al analizar su razón respecto a Estados Unidos.</w:t>
      </w:r>
    </w:p>
    <w:p w:rsidR="005A5E7D" w:rsidRPr="005C4BE8" w:rsidRDefault="005A5E7D" w:rsidP="005A5E7D">
      <w:pPr>
        <w:keepNext/>
        <w:spacing w:line="240" w:lineRule="auto"/>
        <w:ind w:firstLine="0"/>
        <w:jc w:val="center"/>
        <w:rPr>
          <w:b/>
          <w:noProof/>
          <w:szCs w:val="24"/>
          <w:lang w:eastAsia="es-PR"/>
        </w:rPr>
      </w:pPr>
      <w:r w:rsidRPr="005C4BE8">
        <w:rPr>
          <w:b/>
          <w:noProof/>
          <w:szCs w:val="24"/>
          <w:lang w:eastAsia="es-PR"/>
        </w:rPr>
        <w:t>Regresi</w:t>
      </w:r>
      <w:r>
        <w:rPr>
          <w:b/>
          <w:noProof/>
          <w:szCs w:val="24"/>
          <w:lang w:eastAsia="es-PR"/>
        </w:rPr>
        <w:t>ón 2: Tasas de crecimiento del i</w:t>
      </w:r>
      <w:r w:rsidRPr="005C4BE8">
        <w:rPr>
          <w:b/>
          <w:noProof/>
          <w:szCs w:val="24"/>
          <w:lang w:eastAsia="es-PR"/>
        </w:rPr>
        <w:t>ngreso personal disponible per cápita de Puerto Rico, Estados Unidos y estados comparables</w:t>
      </w:r>
    </w:p>
    <w:p w:rsidR="005A5E7D" w:rsidRPr="002D155E" w:rsidRDefault="0095547C" w:rsidP="005A5E7D">
      <w:pPr>
        <w:jc w:val="center"/>
        <w:rPr>
          <w:noProof/>
          <w:szCs w:val="24"/>
          <w:highlight w:val="yellow"/>
          <w:lang w:eastAsia="es-PR"/>
        </w:rPr>
      </w:pPr>
      <w:r>
        <w:rPr>
          <w:noProof/>
          <w:szCs w:val="24"/>
          <w:lang w:val="en-US"/>
        </w:rPr>
        <w:drawing>
          <wp:inline distT="0" distB="0" distL="0" distR="0">
            <wp:extent cx="4343400" cy="3276600"/>
            <wp:effectExtent l="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3276600"/>
                    </a:xfrm>
                    <a:prstGeom prst="rect">
                      <a:avLst/>
                    </a:prstGeom>
                    <a:noFill/>
                    <a:ln>
                      <a:noFill/>
                    </a:ln>
                  </pic:spPr>
                </pic:pic>
              </a:graphicData>
            </a:graphic>
          </wp:inline>
        </w:drawing>
      </w:r>
    </w:p>
    <w:p w:rsidR="005A5E7D" w:rsidRPr="0051307E" w:rsidRDefault="005A5E7D" w:rsidP="005A5E7D">
      <w:pPr>
        <w:keepNext/>
        <w:spacing w:line="240" w:lineRule="auto"/>
        <w:ind w:firstLine="0"/>
        <w:jc w:val="center"/>
        <w:rPr>
          <w:b/>
          <w:noProof/>
          <w:szCs w:val="24"/>
          <w:lang w:eastAsia="es-PR"/>
        </w:rPr>
      </w:pPr>
      <w:r w:rsidRPr="0051307E">
        <w:rPr>
          <w:b/>
          <w:noProof/>
          <w:szCs w:val="24"/>
          <w:lang w:eastAsia="es-PR"/>
        </w:rPr>
        <w:t xml:space="preserve">Regresión 3: Tasa de cambio de la razón ingreso </w:t>
      </w:r>
      <w:r>
        <w:rPr>
          <w:b/>
          <w:noProof/>
          <w:szCs w:val="24"/>
          <w:lang w:eastAsia="es-PR"/>
        </w:rPr>
        <w:t>per cápita</w:t>
      </w:r>
      <w:r w:rsidRPr="0051307E">
        <w:rPr>
          <w:b/>
          <w:noProof/>
          <w:szCs w:val="24"/>
          <w:lang w:eastAsia="es-PR"/>
        </w:rPr>
        <w:t xml:space="preserve"> de Puerto Rico y estados comparables, respecto a E</w:t>
      </w:r>
      <w:r>
        <w:rPr>
          <w:b/>
          <w:noProof/>
          <w:szCs w:val="24"/>
          <w:lang w:eastAsia="es-PR"/>
        </w:rPr>
        <w:t>stados Unidos</w:t>
      </w:r>
    </w:p>
    <w:p w:rsidR="005A5E7D" w:rsidRPr="002D155E" w:rsidRDefault="0095547C" w:rsidP="005A5E7D">
      <w:pPr>
        <w:jc w:val="center"/>
        <w:rPr>
          <w:noProof/>
          <w:szCs w:val="24"/>
          <w:highlight w:val="yellow"/>
          <w:lang w:eastAsia="es-PR"/>
        </w:rPr>
      </w:pPr>
      <w:r>
        <w:rPr>
          <w:noProof/>
          <w:szCs w:val="24"/>
          <w:lang w:val="en-US"/>
        </w:rPr>
        <w:drawing>
          <wp:inline distT="0" distB="0" distL="0" distR="0">
            <wp:extent cx="4219575" cy="3067050"/>
            <wp:effectExtent l="0" t="0" r="9525"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3067050"/>
                    </a:xfrm>
                    <a:prstGeom prst="rect">
                      <a:avLst/>
                    </a:prstGeom>
                    <a:noFill/>
                    <a:ln>
                      <a:noFill/>
                    </a:ln>
                  </pic:spPr>
                </pic:pic>
              </a:graphicData>
            </a:graphic>
          </wp:inline>
        </w:drawing>
      </w:r>
    </w:p>
    <w:p w:rsidR="005A5E7D" w:rsidRPr="002D155E" w:rsidRDefault="005A5E7D" w:rsidP="005A5E7D">
      <w:pPr>
        <w:spacing w:line="240" w:lineRule="auto"/>
        <w:rPr>
          <w:noProof/>
          <w:szCs w:val="24"/>
          <w:highlight w:val="yellow"/>
          <w:lang w:eastAsia="es-PR"/>
        </w:rPr>
      </w:pPr>
    </w:p>
    <w:p w:rsidR="005A5E7D" w:rsidRPr="00C94003" w:rsidRDefault="005A5E7D" w:rsidP="005A5E7D">
      <w:pPr>
        <w:pStyle w:val="Heading2"/>
        <w:ind w:left="426" w:hanging="426"/>
      </w:pPr>
      <w:bookmarkStart w:id="107" w:name="_Toc384769797"/>
      <w:r w:rsidRPr="00C94003">
        <w:t>Los determinantes de la convergencia y su posible correlación con la estadidad</w:t>
      </w:r>
      <w:bookmarkEnd w:id="107"/>
    </w:p>
    <w:p w:rsidR="005A5E7D" w:rsidRDefault="005A5E7D" w:rsidP="005A5E7D">
      <w:pPr>
        <w:spacing w:line="240" w:lineRule="auto"/>
      </w:pPr>
    </w:p>
    <w:p w:rsidR="005A5E7D" w:rsidRDefault="005A5E7D" w:rsidP="005A5E7D">
      <w:r w:rsidRPr="00ED05E9">
        <w:t>A partir del análisis teórico, metodológico y aplicado del tema de la convergencia, se pueden identificar variables</w:t>
      </w:r>
      <w:r>
        <w:t xml:space="preserve"> críticas</w:t>
      </w:r>
      <w:r w:rsidRPr="00ED05E9">
        <w:t xml:space="preserve"> o determinantes importantes</w:t>
      </w:r>
      <w:r>
        <w:t xml:space="preserve"> en su análisis. E</w:t>
      </w:r>
      <w:r w:rsidRPr="005C7FDE">
        <w:t xml:space="preserve">s importante analizar </w:t>
      </w:r>
      <w:r>
        <w:t>si</w:t>
      </w:r>
      <w:r w:rsidRPr="005C7FDE">
        <w:t xml:space="preserve"> las variables identificadas para el modelo pueden afectarse frente a un cambio de estatus político </w:t>
      </w:r>
      <w:r>
        <w:t xml:space="preserve">de Puerto Rico </w:t>
      </w:r>
      <w:r w:rsidRPr="005C7FDE">
        <w:t>hacia la estadidad.</w:t>
      </w:r>
    </w:p>
    <w:p w:rsidR="005A5E7D" w:rsidRPr="005C7FDE" w:rsidRDefault="005A5E7D" w:rsidP="005A5E7D">
      <w:r>
        <w:t xml:space="preserve">Lo ideal sería </w:t>
      </w:r>
      <w:r w:rsidRPr="005C7FDE">
        <w:t>responder las siguientes preguntas:</w:t>
      </w:r>
    </w:p>
    <w:p w:rsidR="005A5E7D" w:rsidRDefault="005A5E7D" w:rsidP="005A5E7D">
      <w:pPr>
        <w:pStyle w:val="ColorfulList-Accent11"/>
        <w:numPr>
          <w:ilvl w:val="2"/>
          <w:numId w:val="4"/>
        </w:numPr>
        <w:tabs>
          <w:tab w:val="clear" w:pos="2160"/>
          <w:tab w:val="num" w:pos="1134"/>
        </w:tabs>
        <w:spacing w:line="360" w:lineRule="auto"/>
        <w:ind w:left="1134"/>
        <w:rPr>
          <w:szCs w:val="24"/>
        </w:rPr>
      </w:pPr>
      <w:r w:rsidRPr="00ED05E9">
        <w:rPr>
          <w:szCs w:val="24"/>
        </w:rPr>
        <w:t xml:space="preserve">¿Cuáles son las condiciones económicas iniciales de Puerto Rico y cómo comparan con las de </w:t>
      </w:r>
      <w:r>
        <w:rPr>
          <w:szCs w:val="24"/>
        </w:rPr>
        <w:t>estados de</w:t>
      </w:r>
      <w:r w:rsidRPr="00ED05E9">
        <w:rPr>
          <w:szCs w:val="24"/>
        </w:rPr>
        <w:t xml:space="preserve"> Estados Unidos?</w:t>
      </w:r>
    </w:p>
    <w:p w:rsidR="005A5E7D" w:rsidRPr="00ED05E9" w:rsidRDefault="005A5E7D" w:rsidP="005A5E7D">
      <w:pPr>
        <w:pStyle w:val="ColorfulList-Accent11"/>
        <w:numPr>
          <w:ilvl w:val="2"/>
          <w:numId w:val="4"/>
        </w:numPr>
        <w:tabs>
          <w:tab w:val="clear" w:pos="2160"/>
          <w:tab w:val="num" w:pos="1134"/>
        </w:tabs>
        <w:spacing w:line="360" w:lineRule="auto"/>
        <w:ind w:left="1134"/>
        <w:rPr>
          <w:szCs w:val="24"/>
        </w:rPr>
      </w:pPr>
      <w:r>
        <w:rPr>
          <w:szCs w:val="24"/>
        </w:rPr>
        <w:t>¿Mantener similitud en las condiciones iniciales garantiza la convergencia?</w:t>
      </w:r>
    </w:p>
    <w:p w:rsidR="005A5E7D" w:rsidRPr="00ED05E9" w:rsidRDefault="005A5E7D" w:rsidP="005A5E7D">
      <w:pPr>
        <w:pStyle w:val="ColorfulList-Accent11"/>
        <w:numPr>
          <w:ilvl w:val="2"/>
          <w:numId w:val="4"/>
        </w:numPr>
        <w:tabs>
          <w:tab w:val="clear" w:pos="2160"/>
          <w:tab w:val="num" w:pos="1134"/>
        </w:tabs>
        <w:spacing w:line="360" w:lineRule="auto"/>
        <w:ind w:left="1134"/>
        <w:rPr>
          <w:szCs w:val="24"/>
        </w:rPr>
      </w:pPr>
      <w:r w:rsidRPr="00ED05E9">
        <w:rPr>
          <w:szCs w:val="24"/>
        </w:rPr>
        <w:t xml:space="preserve">Actualmente, </w:t>
      </w:r>
      <w:r>
        <w:rPr>
          <w:szCs w:val="24"/>
        </w:rPr>
        <w:t>¿</w:t>
      </w:r>
      <w:r w:rsidRPr="00ED05E9">
        <w:rPr>
          <w:szCs w:val="24"/>
        </w:rPr>
        <w:t xml:space="preserve">existe un proceso de convergencia o divergencia de Puerto Rico con Estados Unidos y algunos de sus </w:t>
      </w:r>
      <w:r>
        <w:rPr>
          <w:szCs w:val="24"/>
        </w:rPr>
        <w:t>e</w:t>
      </w:r>
      <w:r w:rsidRPr="00ED05E9">
        <w:rPr>
          <w:szCs w:val="24"/>
        </w:rPr>
        <w:t>stados?</w:t>
      </w:r>
    </w:p>
    <w:p w:rsidR="005A5E7D" w:rsidRPr="00ED05E9" w:rsidRDefault="005A5E7D" w:rsidP="005A5E7D">
      <w:pPr>
        <w:pStyle w:val="ColorfulList-Accent11"/>
        <w:numPr>
          <w:ilvl w:val="2"/>
          <w:numId w:val="4"/>
        </w:numPr>
        <w:tabs>
          <w:tab w:val="clear" w:pos="2160"/>
          <w:tab w:val="num" w:pos="1134"/>
        </w:tabs>
        <w:spacing w:line="360" w:lineRule="auto"/>
        <w:ind w:left="1134"/>
        <w:rPr>
          <w:szCs w:val="24"/>
        </w:rPr>
      </w:pPr>
      <w:r>
        <w:rPr>
          <w:szCs w:val="24"/>
        </w:rPr>
        <w:t>¿S</w:t>
      </w:r>
      <w:r w:rsidRPr="00ED05E9">
        <w:rPr>
          <w:szCs w:val="24"/>
        </w:rPr>
        <w:t xml:space="preserve">e afectan los determinantes del crecimiento en Puerto Rico </w:t>
      </w:r>
      <w:r>
        <w:rPr>
          <w:szCs w:val="24"/>
        </w:rPr>
        <w:t xml:space="preserve">o las variables críticas para la convergencia </w:t>
      </w:r>
      <w:r w:rsidRPr="00ED05E9">
        <w:rPr>
          <w:szCs w:val="24"/>
        </w:rPr>
        <w:t>con un cambio de estatus político hacia la estadidad?</w:t>
      </w:r>
    </w:p>
    <w:p w:rsidR="005A5E7D" w:rsidRDefault="005A5E7D" w:rsidP="005A5E7D">
      <w:pPr>
        <w:pStyle w:val="ColorfulList-Accent11"/>
        <w:numPr>
          <w:ilvl w:val="2"/>
          <w:numId w:val="4"/>
        </w:numPr>
        <w:tabs>
          <w:tab w:val="clear" w:pos="2160"/>
          <w:tab w:val="num" w:pos="1134"/>
        </w:tabs>
        <w:spacing w:line="360" w:lineRule="auto"/>
        <w:ind w:left="1134"/>
        <w:rPr>
          <w:szCs w:val="24"/>
        </w:rPr>
      </w:pPr>
      <w:r w:rsidRPr="00ED05E9">
        <w:rPr>
          <w:szCs w:val="24"/>
        </w:rPr>
        <w:t>¿Es la estadidad una condición necesaria y suficiente para la convergencia de Puerto Rico con Estados Unidos? ¿O será una condición necesaria pero no suficiente? ¿O ninguna de las anteriores?</w:t>
      </w:r>
    </w:p>
    <w:p w:rsidR="005A5E7D" w:rsidRDefault="005A5E7D" w:rsidP="005A5E7D">
      <w:pPr>
        <w:spacing w:line="240" w:lineRule="auto"/>
      </w:pPr>
    </w:p>
    <w:p w:rsidR="005A5E7D" w:rsidRDefault="005A5E7D" w:rsidP="005A5E7D">
      <w:r>
        <w:t>En la matriz que se muestra a continuación, se presenta una lista de variables críticas para la convergencia. Esta lista se obtuvo de lo que plantean los trabajos teóricos y aplicados respecto al tema que fueron revisados para esta investigación. Las variables seleccionadas fueron quince, pero pueden haber otras que no se incluyeron. Se calcularon dos índices a partir del análisis cualitativo: un índice por variable y un índice por el ámbito de estudio. Estos índices muestran la importancia que mantienen las variables en la literatura y en qué ámbito de estudio se le ha dado mayor importancia. El valor de los índices podría fluctuar entre 1 y 0. Mientras mayor sea el índice (más cercano a 1), mayor importancia tendrá el tema o se consideraron más temas en uno de los ámbitos de estudio.</w:t>
      </w:r>
    </w:p>
    <w:p w:rsidR="005A5E7D" w:rsidRDefault="005A5E7D" w:rsidP="005A5E7D">
      <w:pPr>
        <w:rPr>
          <w:szCs w:val="24"/>
        </w:rPr>
      </w:pPr>
      <w:r>
        <w:rPr>
          <w:szCs w:val="24"/>
        </w:rPr>
        <w:t>Además, se añade una columna en la que se indica si las variables críticas para la convergencia, según la teoría y los trabajos aplicados, podrían tener un cambio significativo en Puerto Rico con un cambio de estatus hacia la estadidad. Este análisis es importante porque las nuevas teorías del crecimiento establecen que, a diferencia del modelo neoclásico, existen otras variables importantes para el crecimiento de una región o país más allá del cambio tecnológico, la productividad y la acumulación de capital. Entonces, se expanden las variables importantes para el análisis de la convergencia.</w:t>
      </w:r>
    </w:p>
    <w:p w:rsidR="005A5E7D" w:rsidRPr="00EE69FD" w:rsidRDefault="005A5E7D" w:rsidP="005A5E7D">
      <w:pPr>
        <w:rPr>
          <w:szCs w:val="24"/>
        </w:rPr>
      </w:pPr>
      <w:r>
        <w:rPr>
          <w:szCs w:val="24"/>
        </w:rPr>
        <w:t xml:space="preserve">Para el caso de Puerto Rico, sería interesante identificar cuáles cambiarían de manera significativa frente a la estadidad. De esta manera, se puede establecer si la estadidad es una condición necesaria y suficiente para la convergencia de Puerto Rico con Estados Unidos o si, por otro lado, un cambio en estatus hacia esa dirección no garantiza la convergencia. </w:t>
      </w:r>
    </w:p>
    <w:p w:rsidR="005A5E7D" w:rsidRDefault="0095547C" w:rsidP="005A5E7D">
      <w:pPr>
        <w:pStyle w:val="ColorfulList-Accent11"/>
        <w:spacing w:after="120"/>
        <w:ind w:left="0" w:firstLine="0"/>
        <w:jc w:val="center"/>
        <w:rPr>
          <w:szCs w:val="24"/>
          <w:highlight w:val="yellow"/>
        </w:rPr>
      </w:pPr>
      <w:r>
        <w:rPr>
          <w:noProof/>
          <w:szCs w:val="24"/>
          <w:lang w:val="en-US"/>
        </w:rPr>
        <w:drawing>
          <wp:inline distT="0" distB="0" distL="0" distR="0">
            <wp:extent cx="5486400" cy="2409825"/>
            <wp:effectExtent l="0" t="0" r="0" b="952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09825"/>
                    </a:xfrm>
                    <a:prstGeom prst="rect">
                      <a:avLst/>
                    </a:prstGeom>
                    <a:noFill/>
                    <a:ln>
                      <a:noFill/>
                    </a:ln>
                  </pic:spPr>
                </pic:pic>
              </a:graphicData>
            </a:graphic>
          </wp:inline>
        </w:drawing>
      </w:r>
    </w:p>
    <w:p w:rsidR="005A5E7D" w:rsidRDefault="005A5E7D" w:rsidP="005A5E7D">
      <w:r w:rsidRPr="00063F00">
        <w:t>En la matriz, se colocó un 1 cuando se encontró que la variable en cuestión era significativa en la literatura teórica y aplicada.</w:t>
      </w:r>
      <w:r>
        <w:t xml:space="preserve"> Las variables con un mayor índice </w:t>
      </w:r>
      <w:r w:rsidRPr="008B456C">
        <w:t>—</w:t>
      </w:r>
      <w:r>
        <w:t>0.75 en este caso</w:t>
      </w:r>
      <w:r w:rsidRPr="008B456C">
        <w:t>—</w:t>
      </w:r>
      <w:r>
        <w:t xml:space="preserve"> son las que están más relacionadas al modelo neoclásico: productividad de los factores, sustitución de factores, acumulación de capital y cambio tecnológico. La educación y el conocimiento y el tema de las instituciones fueron otros que se consideraron por la mayor parte de los trabajos revisados.</w:t>
      </w:r>
    </w:p>
    <w:p w:rsidR="005A5E7D" w:rsidRDefault="005A5E7D" w:rsidP="005A5E7D">
      <w:r>
        <w:t>Al revisar por ámbito de análisis, el aplicado fue el que mostró una mayor inclusión de variables. Esto se explica porque muchos de los trabajos y las aportaciones de las nuevas teorías del crecimiento surgen de trabajos aplicados.</w:t>
      </w:r>
    </w:p>
    <w:p w:rsidR="005A5E7D" w:rsidRDefault="005A5E7D" w:rsidP="005A5E7D">
      <w:r>
        <w:t>En el caso de los trabajos aplicados a Estados Unidos va surgiendo un creciente interés por incluir las variables determinantes del crecimiento económico en el análisis y los trabajos de este tipo cada vez son más, sin restarle importancia a los trabajos que consideran las variables tradicionales. En el caso de Puerto Rico, los trabajos que existen con relación a la convergencia muestran una inclinación a explicarla como un fenómeno que necesita la inclusión de otras variables, aparte de las tradicionales. No obstante, como son muy pocos los trabajos, el índice calculado fue muy bajo.</w:t>
      </w:r>
    </w:p>
    <w:p w:rsidR="005A5E7D" w:rsidRDefault="005A5E7D" w:rsidP="005A5E7D">
      <w:r>
        <w:t xml:space="preserve">Al tener una lista tan amplia de variables, es imperativo discernir entre las que se afectarían de manera significativa con un cambio de estatus hacia la estadidad y las que no. Se identificaron cuatro variables en este contexto: 1. las instituciones, 2. impuestos y subsidios, 3. el tamaño del Gobierno y 4. la política económica. Las </w:t>
      </w:r>
      <w:r w:rsidR="00873F5E">
        <w:t>cuatro</w:t>
      </w:r>
      <w:r>
        <w:t xml:space="preserve"> representan solo el 27% de las variables incluidas en la lista.</w:t>
      </w:r>
    </w:p>
    <w:p w:rsidR="005A5E7D" w:rsidRDefault="005A5E7D" w:rsidP="005A5E7D">
      <w:r>
        <w:t>El resto de las variables no mostrarían cambios significativos con la estadidad; por ejemplo, la migración, la productividad de los factores, la diversificación de la actividad productiva, entre otros, son elementos que dependen más de consideraciones internas o que de alguna manera se comportarían de la misma manera con la situación actual o con la estadidad (como es el caso de la migración).</w:t>
      </w:r>
    </w:p>
    <w:p w:rsidR="005A5E7D" w:rsidRDefault="005A5E7D" w:rsidP="005A5E7D">
      <w:r>
        <w:t xml:space="preserve">Entonces, la estadidad no garantiza una mejoría o un cambio significativo en la mayor parte de las variables críticas para la convergencia. La convergencia se determina con el manejo y el desempeño de una lista de variables que va mucho más allá de la uniformidad en las instituciones, el sistema contributivo y legal de Puerto Rico con el de Estados Unidos. Según los trabajos revisados, adquieren importancia otras variables que no necesariamente de afectan con un cambio de estatus hacia la estadidad. Entonces, </w:t>
      </w:r>
      <w:r w:rsidR="00873F5E">
        <w:t>puede</w:t>
      </w:r>
      <w:r>
        <w:t xml:space="preserve"> decirse que la estadidad garantizaría ciertos aspectos importantes para la convergencia, pero que la mayoría de las variables consideradas dependen de las decisiones que se tomen en el país. Por lo tanto, la estadidad no es una condición necesaria ni suficiente para determinar el desempeño de la economía de Puerto Rico, ni su convergencia en crecimiento e ingreso hacia la senda de crecimiento de Estados Unidos ni sus estados.</w:t>
      </w:r>
    </w:p>
    <w:p w:rsidR="005A5E7D" w:rsidRDefault="005A5E7D" w:rsidP="006C1869">
      <w:pPr>
        <w:pStyle w:val="Heading2"/>
        <w:ind w:left="426" w:hanging="426"/>
      </w:pPr>
      <w:bookmarkStart w:id="108" w:name="_Toc384769798"/>
      <w:r w:rsidRPr="00ED05E9">
        <w:t>Conclusiones</w:t>
      </w:r>
      <w:bookmarkEnd w:id="108"/>
    </w:p>
    <w:p w:rsidR="005A5E7D" w:rsidRDefault="005A5E7D" w:rsidP="005A5E7D">
      <w:pPr>
        <w:spacing w:line="360" w:lineRule="auto"/>
        <w:ind w:left="360" w:firstLine="360"/>
        <w:rPr>
          <w:szCs w:val="24"/>
        </w:rPr>
      </w:pPr>
    </w:p>
    <w:p w:rsidR="005A5E7D" w:rsidRDefault="005A5E7D" w:rsidP="005A5E7D">
      <w:r>
        <w:rPr>
          <w:szCs w:val="24"/>
        </w:rPr>
        <w:t>En este capítulo se llevó a cabo una revisión del tema de la convergencia desde el punto de vista teórico y aplicado, enfocando la discusión en el vínculo de Puerto Rico con Estados Unidos y algunos de sus estados. En primer lugar, se hizo una revisión de la literatura que ayudó a establecer cuáles son los marcos teóricos prevalecientes respecto al tema de la convergencia, las metodologías y los hallazgos principales. A partir de esta revisión, es evidente la importancia del modelo neoclásico, pero resulta significativo el desarrollo de las nuevas teorías del crecimiento, su vínculo con el tema de la convergencia y su creciente desarrollo en los trabajos aplicados.</w:t>
      </w:r>
      <w:r w:rsidRPr="00C90C1B">
        <w:t xml:space="preserve"> </w:t>
      </w:r>
    </w:p>
    <w:p w:rsidR="005A5E7D" w:rsidRDefault="005A5E7D" w:rsidP="005A5E7D">
      <w:r>
        <w:rPr>
          <w:szCs w:val="24"/>
        </w:rPr>
        <w:t>De esta revisión, puede concluirse que las variables relacionadas con la convergencia, según el enfoque tradicional son: productividad y sustitución de los factores de producción, acumulación de capital y cambio tecnológico. No obstante, se añaden a esa lista las variables que las nuevas teorías señalan como determinantes importantes del crecimiento: la educación y el conocimiento como propulsores de la innovación, el capital humano, el uso eficiente de los recursos naturales, el comercio exterior, el marco institucional, la estabilidad política como atractivo a la inversión extranjera, los impuestos y subsidios, el tamaño del gobierno, el cambio estructural y la diversificación de la estructura productiva, la política económica y la migración.</w:t>
      </w:r>
      <w:r w:rsidRPr="00C90C1B">
        <w:t xml:space="preserve"> </w:t>
      </w:r>
    </w:p>
    <w:p w:rsidR="005A5E7D" w:rsidRDefault="005A5E7D" w:rsidP="005A5E7D">
      <w:r>
        <w:rPr>
          <w:szCs w:val="24"/>
        </w:rPr>
        <w:t>Entonces, las características y el desempeño que posea un país con relación a las variables mencionadas son significativos para la convergencia. Es por esto que los enfoques de convergencia condicionada y de clubes han adquirido tanta popularidad en el análisis aplicado, ya que reconocen que los países que son más parecidos en estas variables tienen más posibilidades de converger.</w:t>
      </w:r>
      <w:r w:rsidRPr="00C90C1B">
        <w:t xml:space="preserve"> </w:t>
      </w:r>
    </w:p>
    <w:p w:rsidR="005A5E7D" w:rsidRDefault="005A5E7D" w:rsidP="005A5E7D">
      <w:pPr>
        <w:rPr>
          <w:szCs w:val="24"/>
        </w:rPr>
      </w:pPr>
      <w:r>
        <w:rPr>
          <w:szCs w:val="24"/>
        </w:rPr>
        <w:t>En el caso de Puerto Rico, hay pocos trabajos que estudian el tema y lo hacen relacionando a la Isla con Estados Unidos. Son más los trabajos que estudian los ciclos económicos, y los incluimos en la revisión por su relación con el tema de la convergencia. Se llevó a cabo un análisis de las variables tradicionales del estudio de la convergencia, crecimiento económico e ingreso per cápita, entre Puerto Rico, Estados Unidos y algunos estados comparables por tener ingresos bajos. Se recopilaron los datos del producto bruto y el ingreso personal disponible per cápita para el período desde 1990 hasta el 2012.</w:t>
      </w:r>
    </w:p>
    <w:p w:rsidR="005A5E7D" w:rsidRDefault="005A5E7D" w:rsidP="005A5E7D">
      <w:pPr>
        <w:rPr>
          <w:szCs w:val="24"/>
        </w:rPr>
      </w:pPr>
      <w:r>
        <w:rPr>
          <w:szCs w:val="24"/>
        </w:rPr>
        <w:t xml:space="preserve">Se </w:t>
      </w:r>
      <w:r w:rsidR="00873F5E">
        <w:rPr>
          <w:szCs w:val="24"/>
        </w:rPr>
        <w:t>encontró</w:t>
      </w:r>
      <w:r>
        <w:rPr>
          <w:szCs w:val="24"/>
        </w:rPr>
        <w:t>, mediante un análisis de regresión, que no se puede establecer una relación en las tendencias de crecimiento de la producción y el ingreso de Puerto Rico con la muestra de estados. Esto puede deberse a que no sea suficiente el que posean un ingreso per cápita bajo. Posiblemente, deberían poseer más características que los vinculen con Puerto Rico, y más similitudes en sus estructuras productivas y los determinantes del crecimiento.</w:t>
      </w:r>
    </w:p>
    <w:p w:rsidR="005A5E7D" w:rsidRDefault="005A5E7D" w:rsidP="005A5E7D">
      <w:r>
        <w:rPr>
          <w:szCs w:val="24"/>
        </w:rPr>
        <w:t>Se encontró también que, al relacionar estas variables con Estados Unidos, la evidencia no es tan robusta como para concluir que existe un proceso de convergencia de la Isla con Estados Unidos. Esto coincide con los trabajos de Lefort y la CEPAL que concluyeron que no hay convergencia o que solo se muestra para unos lapsos específicos en el tiempo, respectivamente.</w:t>
      </w:r>
      <w:r w:rsidRPr="00C90C1B">
        <w:t xml:space="preserve"> </w:t>
      </w:r>
    </w:p>
    <w:p w:rsidR="005A5E7D" w:rsidRDefault="005A5E7D" w:rsidP="005A5E7D">
      <w:r>
        <w:rPr>
          <w:szCs w:val="24"/>
        </w:rPr>
        <w:t>Del análisis cualitativo se concluyó que:</w:t>
      </w:r>
      <w:r w:rsidRPr="00C90C1B">
        <w:t xml:space="preserve"> </w:t>
      </w:r>
    </w:p>
    <w:p w:rsidR="005A5E7D" w:rsidRDefault="005A5E7D" w:rsidP="00CB3560">
      <w:pPr>
        <w:pStyle w:val="ColorfulList-Accent11"/>
        <w:numPr>
          <w:ilvl w:val="0"/>
          <w:numId w:val="34"/>
        </w:numPr>
        <w:spacing w:after="200" w:line="360" w:lineRule="auto"/>
        <w:ind w:left="993" w:hanging="284"/>
        <w:jc w:val="left"/>
        <w:rPr>
          <w:szCs w:val="24"/>
        </w:rPr>
      </w:pPr>
      <w:r w:rsidRPr="00876B5B">
        <w:rPr>
          <w:szCs w:val="24"/>
        </w:rPr>
        <w:t>hay una lista extensa de variables críticas para la convergencia</w:t>
      </w:r>
      <w:r>
        <w:rPr>
          <w:szCs w:val="24"/>
        </w:rPr>
        <w:t>;</w:t>
      </w:r>
    </w:p>
    <w:p w:rsidR="005A5E7D" w:rsidRDefault="005A5E7D" w:rsidP="00CB3560">
      <w:pPr>
        <w:pStyle w:val="ColorfulList-Accent11"/>
        <w:numPr>
          <w:ilvl w:val="0"/>
          <w:numId w:val="34"/>
        </w:numPr>
        <w:spacing w:after="200" w:line="360" w:lineRule="auto"/>
        <w:ind w:left="993" w:hanging="284"/>
        <w:jc w:val="left"/>
        <w:rPr>
          <w:szCs w:val="24"/>
        </w:rPr>
      </w:pPr>
      <w:r w:rsidRPr="00876B5B">
        <w:rPr>
          <w:szCs w:val="24"/>
        </w:rPr>
        <w:t>en su mayoría están vinculadas con los determinantes del crecimiento</w:t>
      </w:r>
      <w:r>
        <w:rPr>
          <w:szCs w:val="24"/>
        </w:rPr>
        <w:t>;</w:t>
      </w:r>
    </w:p>
    <w:p w:rsidR="005A5E7D" w:rsidRDefault="005A5E7D" w:rsidP="00CB3560">
      <w:pPr>
        <w:pStyle w:val="ColorfulList-Accent11"/>
        <w:numPr>
          <w:ilvl w:val="0"/>
          <w:numId w:val="34"/>
        </w:numPr>
        <w:spacing w:after="200" w:line="360" w:lineRule="auto"/>
        <w:ind w:left="993" w:hanging="284"/>
        <w:jc w:val="left"/>
        <w:rPr>
          <w:szCs w:val="24"/>
        </w:rPr>
      </w:pPr>
      <w:r w:rsidRPr="00876B5B">
        <w:rPr>
          <w:szCs w:val="24"/>
        </w:rPr>
        <w:t xml:space="preserve">la mayor parte de estas variables </w:t>
      </w:r>
      <w:r>
        <w:rPr>
          <w:szCs w:val="24"/>
        </w:rPr>
        <w:t xml:space="preserve">críticas </w:t>
      </w:r>
      <w:r w:rsidRPr="00876B5B">
        <w:rPr>
          <w:szCs w:val="24"/>
        </w:rPr>
        <w:t>s</w:t>
      </w:r>
      <w:r>
        <w:rPr>
          <w:szCs w:val="24"/>
        </w:rPr>
        <w:t>e</w:t>
      </w:r>
      <w:r w:rsidRPr="00876B5B">
        <w:rPr>
          <w:szCs w:val="24"/>
        </w:rPr>
        <w:t xml:space="preserve"> estudia</w:t>
      </w:r>
      <w:r>
        <w:rPr>
          <w:szCs w:val="24"/>
        </w:rPr>
        <w:t>n</w:t>
      </w:r>
      <w:r w:rsidRPr="00876B5B">
        <w:rPr>
          <w:szCs w:val="24"/>
        </w:rPr>
        <w:t xml:space="preserve"> en los trabajos aplicados</w:t>
      </w:r>
      <w:r>
        <w:rPr>
          <w:szCs w:val="24"/>
        </w:rPr>
        <w:t>;</w:t>
      </w:r>
    </w:p>
    <w:p w:rsidR="005A5E7D" w:rsidRDefault="005A5E7D" w:rsidP="00CB3560">
      <w:pPr>
        <w:pStyle w:val="ColorfulList-Accent11"/>
        <w:numPr>
          <w:ilvl w:val="0"/>
          <w:numId w:val="34"/>
        </w:numPr>
        <w:spacing w:after="200" w:line="360" w:lineRule="auto"/>
        <w:ind w:left="993" w:hanging="284"/>
        <w:jc w:val="left"/>
        <w:rPr>
          <w:szCs w:val="24"/>
        </w:rPr>
      </w:pPr>
      <w:r w:rsidRPr="00876B5B">
        <w:rPr>
          <w:szCs w:val="24"/>
        </w:rPr>
        <w:t>son muy po</w:t>
      </w:r>
      <w:r>
        <w:rPr>
          <w:szCs w:val="24"/>
        </w:rPr>
        <w:t>cas las variables que se han incluido en</w:t>
      </w:r>
      <w:r w:rsidRPr="00876B5B">
        <w:rPr>
          <w:szCs w:val="24"/>
        </w:rPr>
        <w:t xml:space="preserve"> los estudios de Puerto Rico</w:t>
      </w:r>
      <w:r>
        <w:rPr>
          <w:szCs w:val="24"/>
        </w:rPr>
        <w:t>;</w:t>
      </w:r>
    </w:p>
    <w:p w:rsidR="005A5E7D" w:rsidRDefault="005A5E7D" w:rsidP="00CB3560">
      <w:pPr>
        <w:pStyle w:val="ColorfulList-Accent11"/>
        <w:numPr>
          <w:ilvl w:val="0"/>
          <w:numId w:val="34"/>
        </w:numPr>
        <w:spacing w:after="200" w:line="360" w:lineRule="auto"/>
        <w:ind w:left="993" w:hanging="284"/>
        <w:jc w:val="left"/>
        <w:rPr>
          <w:szCs w:val="24"/>
        </w:rPr>
      </w:pPr>
      <w:r>
        <w:rPr>
          <w:szCs w:val="24"/>
        </w:rPr>
        <w:t>n</w:t>
      </w:r>
      <w:r w:rsidRPr="00876B5B">
        <w:rPr>
          <w:szCs w:val="24"/>
        </w:rPr>
        <w:t>o todas</w:t>
      </w:r>
      <w:r>
        <w:rPr>
          <w:szCs w:val="24"/>
        </w:rPr>
        <w:t xml:space="preserve"> las variables críticas para la convergencia</w:t>
      </w:r>
      <w:r w:rsidRPr="00876B5B">
        <w:rPr>
          <w:szCs w:val="24"/>
        </w:rPr>
        <w:t xml:space="preserve"> se afecta</w:t>
      </w:r>
      <w:r>
        <w:rPr>
          <w:szCs w:val="24"/>
        </w:rPr>
        <w:t>rían</w:t>
      </w:r>
      <w:r w:rsidRPr="00876B5B">
        <w:rPr>
          <w:szCs w:val="24"/>
        </w:rPr>
        <w:t xml:space="preserve"> </w:t>
      </w:r>
      <w:r>
        <w:rPr>
          <w:szCs w:val="24"/>
        </w:rPr>
        <w:t xml:space="preserve">de manera significativa </w:t>
      </w:r>
      <w:r w:rsidRPr="00876B5B">
        <w:rPr>
          <w:szCs w:val="24"/>
        </w:rPr>
        <w:t xml:space="preserve">con un cambio de estatus </w:t>
      </w:r>
      <w:r>
        <w:rPr>
          <w:szCs w:val="24"/>
        </w:rPr>
        <w:t>político de</w:t>
      </w:r>
      <w:r w:rsidRPr="00876B5B">
        <w:rPr>
          <w:szCs w:val="24"/>
        </w:rPr>
        <w:t xml:space="preserve"> la Isla hacia la est</w:t>
      </w:r>
      <w:r>
        <w:rPr>
          <w:szCs w:val="24"/>
        </w:rPr>
        <w:t>adidad;</w:t>
      </w:r>
    </w:p>
    <w:p w:rsidR="005A5E7D" w:rsidRDefault="005A5E7D" w:rsidP="00CB3560">
      <w:pPr>
        <w:pStyle w:val="ColorfulList-Accent11"/>
        <w:numPr>
          <w:ilvl w:val="0"/>
          <w:numId w:val="34"/>
        </w:numPr>
        <w:spacing w:after="200" w:line="360" w:lineRule="auto"/>
        <w:ind w:left="993" w:hanging="284"/>
        <w:jc w:val="left"/>
        <w:rPr>
          <w:szCs w:val="24"/>
        </w:rPr>
      </w:pPr>
      <w:r>
        <w:rPr>
          <w:szCs w:val="24"/>
        </w:rPr>
        <w:t>las variables críticas para la convergencia que se afectarían de manera significativa con el cambio hacia la estadidad son: el marco institucional, el sistema de impuestos y subsidios, el tamaño del Gobierno y la política económica, las cuales representan solo el 27% de la totalidad de las variables consideradas.</w:t>
      </w:r>
    </w:p>
    <w:p w:rsidR="005A5E7D" w:rsidRDefault="005A5E7D" w:rsidP="005A5E7D">
      <w:r w:rsidRPr="00104F56">
        <w:t xml:space="preserve">Por </w:t>
      </w:r>
      <w:r>
        <w:t xml:space="preserve">todo </w:t>
      </w:r>
      <w:r w:rsidRPr="00104F56">
        <w:t>esto, se puede decir que la estadidad no es una condición necesaria ni suficiente para garantizar la convergencia de la Isla con Estados Unidos.</w:t>
      </w:r>
      <w:r>
        <w:t xml:space="preserve"> Lo anterior concuerda con los resultados del análisis de Puerto Rico con Estados Unidos y estados seleccionados. </w:t>
      </w:r>
      <w:r w:rsidRPr="00104F56">
        <w:t>Se eligieron estado</w:t>
      </w:r>
      <w:r>
        <w:t xml:space="preserve">s con características similares </w:t>
      </w:r>
      <w:r w:rsidRPr="008B456C">
        <w:t>—</w:t>
      </w:r>
      <w:r w:rsidRPr="00104F56">
        <w:t>por ejemplo, ingresos bajos</w:t>
      </w:r>
      <w:r w:rsidRPr="008B456C">
        <w:t>—</w:t>
      </w:r>
      <w:r w:rsidRPr="00104F56">
        <w:t xml:space="preserve"> y esto no fue suficiente para establecer unas relaciones significativas en sus tendencias de crecimiento del ingreso per cápita.</w:t>
      </w:r>
      <w:r>
        <w:t xml:space="preserve"> Pero, la estadidad por sí sola</w:t>
      </w:r>
      <w:r w:rsidRPr="00104F56">
        <w:t xml:space="preserve"> no garantizaría la uniformidad en todas las variables incluidas en la lista o en las más importantes para el crecimiento de Puerto Rico</w:t>
      </w:r>
      <w:r>
        <w:t>,</w:t>
      </w:r>
      <w:r w:rsidRPr="00104F56">
        <w:t xml:space="preserve"> como lo es el cambio estructural y la diversidad en la producción.</w:t>
      </w:r>
      <w:r w:rsidRPr="00C90C1B">
        <w:t xml:space="preserve"> </w:t>
      </w:r>
    </w:p>
    <w:p w:rsidR="005A5E7D" w:rsidRDefault="005A5E7D" w:rsidP="005A5E7D">
      <w:pPr>
        <w:spacing w:line="240" w:lineRule="auto"/>
        <w:ind w:left="1080" w:firstLine="360"/>
      </w:pPr>
    </w:p>
    <w:p w:rsidR="005A5E7D" w:rsidRPr="00ED05E9" w:rsidRDefault="005A5E7D" w:rsidP="005A5E7D">
      <w:pPr>
        <w:pStyle w:val="Heading2"/>
        <w:numPr>
          <w:ilvl w:val="0"/>
          <w:numId w:val="0"/>
        </w:numPr>
        <w:spacing w:after="120"/>
      </w:pPr>
      <w:bookmarkStart w:id="109" w:name="_Toc384769799"/>
      <w:r w:rsidRPr="00ED05E9">
        <w:t>Referencias</w:t>
      </w:r>
      <w:bookmarkEnd w:id="109"/>
    </w:p>
    <w:p w:rsidR="009B59BB" w:rsidRPr="0034640C" w:rsidRDefault="009B59BB" w:rsidP="009B59BB">
      <w:pPr>
        <w:spacing w:after="240" w:line="240" w:lineRule="auto"/>
        <w:ind w:left="648" w:hanging="720"/>
        <w:jc w:val="left"/>
        <w:rPr>
          <w:szCs w:val="24"/>
        </w:rPr>
      </w:pPr>
      <w:r w:rsidRPr="0034640C">
        <w:rPr>
          <w:szCs w:val="24"/>
        </w:rPr>
        <w:t xml:space="preserve">Alameda, J. (2000). Globalización, Ciclos Económicos y Respuesta Cíclica de la Economía de Puerto Rico: Evidencia Empírica entre 1967 a 1998. Recuperado el 30 de enero de 2014, de </w:t>
      </w:r>
      <w:hyperlink r:id="rId193" w:history="1">
        <w:r w:rsidRPr="00497261">
          <w:rPr>
            <w:rStyle w:val="Hyperlink"/>
            <w:szCs w:val="24"/>
          </w:rPr>
          <w:t>http://economia.uprrp.edu/ensayo%20103.pdf</w:t>
        </w:r>
      </w:hyperlink>
    </w:p>
    <w:p w:rsidR="009B59BB" w:rsidRPr="0034640C" w:rsidRDefault="009B59BB" w:rsidP="009B59BB">
      <w:pPr>
        <w:spacing w:after="240" w:line="240" w:lineRule="auto"/>
        <w:ind w:left="648" w:hanging="720"/>
        <w:jc w:val="left"/>
        <w:rPr>
          <w:szCs w:val="24"/>
        </w:rPr>
      </w:pPr>
      <w:r w:rsidRPr="0034640C">
        <w:rPr>
          <w:szCs w:val="24"/>
        </w:rPr>
        <w:t xml:space="preserve">Alameda, J. (2007). Un modelo de estimación de la probabilidad de una recesión para Puerto Rico. Recuperado el 31 de enero de 2014, de </w:t>
      </w:r>
      <w:hyperlink r:id="rId194" w:history="1">
        <w:r w:rsidRPr="00497261">
          <w:rPr>
            <w:rStyle w:val="Hyperlink"/>
            <w:szCs w:val="24"/>
          </w:rPr>
          <w:t>http://ceterisparibus.uprm.edu/articulos/vol6/Pdf/Alameda.pdf</w:t>
        </w:r>
      </w:hyperlink>
    </w:p>
    <w:p w:rsidR="009B59BB" w:rsidRDefault="009B59BB" w:rsidP="009B59BB">
      <w:pPr>
        <w:spacing w:after="240" w:line="240" w:lineRule="auto"/>
        <w:ind w:left="720" w:hanging="720"/>
        <w:jc w:val="left"/>
        <w:rPr>
          <w:szCs w:val="24"/>
        </w:rPr>
      </w:pPr>
      <w:r w:rsidRPr="0034640C">
        <w:rPr>
          <w:szCs w:val="24"/>
        </w:rPr>
        <w:t>Alameda, J. (s.f.). Los ciclos económicos en Puerto Rico: Cronología y medición. Recuperado el 31 de enero de 2014, de Informe económic</w:t>
      </w:r>
      <w:r>
        <w:rPr>
          <w:szCs w:val="24"/>
        </w:rPr>
        <w:t xml:space="preserve">o al gobernador y a la Asamblea </w:t>
      </w:r>
      <w:r w:rsidRPr="0034640C">
        <w:rPr>
          <w:szCs w:val="24"/>
        </w:rPr>
        <w:t xml:space="preserve">Legislativa: </w:t>
      </w:r>
      <w:hyperlink r:id="rId195" w:history="1">
        <w:r w:rsidRPr="00572240">
          <w:rPr>
            <w:rStyle w:val="Hyperlink"/>
            <w:szCs w:val="24"/>
          </w:rPr>
          <w:t>http://easywebpr.com/josealameda/informes_gobernador/ciclos_economicos_informe_economico_gob_2006.pdf</w:t>
        </w:r>
      </w:hyperlink>
    </w:p>
    <w:p w:rsidR="009B59BB" w:rsidRDefault="009B59BB" w:rsidP="009B59BB">
      <w:pPr>
        <w:spacing w:after="240" w:line="240" w:lineRule="auto"/>
        <w:ind w:left="648" w:hanging="720"/>
        <w:jc w:val="left"/>
      </w:pPr>
      <w:r w:rsidRPr="00ED05E9">
        <w:rPr>
          <w:szCs w:val="24"/>
        </w:rPr>
        <w:t>Argandoñ</w:t>
      </w:r>
      <w:r>
        <w:rPr>
          <w:szCs w:val="24"/>
        </w:rPr>
        <w:t xml:space="preserve">a, A.; Gámez, C.; y F. Monchón. </w:t>
      </w:r>
      <w:r w:rsidRPr="009C4EE2">
        <w:rPr>
          <w:szCs w:val="24"/>
        </w:rPr>
        <w:t>(1997</w:t>
      </w:r>
      <w:r>
        <w:rPr>
          <w:szCs w:val="24"/>
        </w:rPr>
        <w:t xml:space="preserve">). </w:t>
      </w:r>
      <w:r w:rsidRPr="003739F1">
        <w:rPr>
          <w:i/>
          <w:szCs w:val="24"/>
        </w:rPr>
        <w:t>Macroeconomía Avanzada II</w:t>
      </w:r>
      <w:r w:rsidRPr="00ED05E9">
        <w:rPr>
          <w:szCs w:val="24"/>
        </w:rPr>
        <w:t>.  McGraw-Hill/Interamericana de España.</w:t>
      </w:r>
    </w:p>
    <w:p w:rsidR="009B59BB" w:rsidRDefault="009B59BB" w:rsidP="009B59BB">
      <w:pPr>
        <w:spacing w:after="240" w:line="240" w:lineRule="auto"/>
        <w:ind w:left="648" w:hanging="720"/>
        <w:jc w:val="left"/>
        <w:rPr>
          <w:szCs w:val="24"/>
        </w:rPr>
      </w:pPr>
      <w:r w:rsidRPr="009B59BB">
        <w:rPr>
          <w:szCs w:val="24"/>
          <w:lang w:val="en-US"/>
        </w:rPr>
        <w:t xml:space="preserve">Banco Mundial. (2014).World Development Indicators. </w:t>
      </w:r>
      <w:r w:rsidRPr="0034640C">
        <w:rPr>
          <w:szCs w:val="24"/>
        </w:rPr>
        <w:t xml:space="preserve">Recuperado el 30 de enero de 2014, de </w:t>
      </w:r>
      <w:hyperlink r:id="rId196" w:history="1">
        <w:r w:rsidRPr="00497261">
          <w:rPr>
            <w:rStyle w:val="Hyperlink"/>
            <w:szCs w:val="24"/>
          </w:rPr>
          <w:t>http://databank.worldbank.org/data/views/reports/tableview.aspx</w:t>
        </w:r>
      </w:hyperlink>
    </w:p>
    <w:p w:rsidR="009B59BB" w:rsidRPr="005B5FEE" w:rsidRDefault="009B59BB" w:rsidP="009B59BB">
      <w:pPr>
        <w:spacing w:after="240" w:line="240" w:lineRule="auto"/>
        <w:ind w:left="648" w:hanging="720"/>
        <w:jc w:val="left"/>
        <w:rPr>
          <w:szCs w:val="24"/>
          <w:lang w:val="en-US"/>
        </w:rPr>
      </w:pPr>
      <w:r w:rsidRPr="005B5FEE">
        <w:rPr>
          <w:szCs w:val="24"/>
          <w:lang w:val="en-US"/>
        </w:rPr>
        <w:t>Barro, R., &amp; Sala-i-Martin, X. (1991). “Convergence across States and Regions”.  Brookings Papers on Economic Activity, vol. 1991, núm. 1, pp 107-182.</w:t>
      </w:r>
    </w:p>
    <w:p w:rsidR="009B59BB" w:rsidRPr="005B5FEE" w:rsidRDefault="009B59BB" w:rsidP="009B59BB">
      <w:pPr>
        <w:spacing w:after="240" w:line="240" w:lineRule="auto"/>
        <w:ind w:left="648" w:hanging="720"/>
        <w:jc w:val="left"/>
        <w:rPr>
          <w:lang w:val="en-US"/>
        </w:rPr>
      </w:pPr>
      <w:r w:rsidRPr="005B5FEE">
        <w:rPr>
          <w:szCs w:val="24"/>
          <w:lang w:val="en-US"/>
        </w:rPr>
        <w:t xml:space="preserve">Baumol, W.  (1986).  “Productivity Growth, Convergence and Welfare: What the Long Run Data Show?”.  </w:t>
      </w:r>
      <w:r w:rsidRPr="005B5FEE">
        <w:rPr>
          <w:i/>
          <w:szCs w:val="24"/>
          <w:lang w:val="en-US"/>
        </w:rPr>
        <w:t>American Economic Review</w:t>
      </w:r>
      <w:r w:rsidRPr="005B5FEE">
        <w:rPr>
          <w:szCs w:val="24"/>
          <w:lang w:val="en-US"/>
        </w:rPr>
        <w:t>, vol. 76, pp 1072-1085.</w:t>
      </w:r>
      <w:r w:rsidRPr="005B5FEE">
        <w:rPr>
          <w:lang w:val="en-US"/>
        </w:rPr>
        <w:t xml:space="preserve"> </w:t>
      </w:r>
    </w:p>
    <w:p w:rsidR="009B59BB" w:rsidRDefault="009B59BB" w:rsidP="009B59BB">
      <w:pPr>
        <w:spacing w:after="240" w:line="240" w:lineRule="auto"/>
        <w:ind w:left="648" w:hanging="720"/>
        <w:jc w:val="left"/>
      </w:pPr>
      <w:r w:rsidRPr="00A226D8">
        <w:rPr>
          <w:szCs w:val="24"/>
          <w:lang w:val="en-US"/>
        </w:rPr>
        <w:t xml:space="preserve">Bram, J., Martínez, F., &amp; Steindel, C. (2008). </w:t>
      </w:r>
      <w:r w:rsidRPr="005B5FEE">
        <w:rPr>
          <w:szCs w:val="24"/>
          <w:lang w:val="en-US"/>
        </w:rPr>
        <w:t xml:space="preserve">Trends and Developments in the Economy of Puerto Rico. </w:t>
      </w:r>
      <w:r w:rsidRPr="002839B5">
        <w:rPr>
          <w:szCs w:val="24"/>
        </w:rPr>
        <w:t xml:space="preserve">Recuperado el 31 de enero de 2014, de Federal Reserve Bank of New York: </w:t>
      </w:r>
      <w:hyperlink r:id="rId197" w:history="1">
        <w:r w:rsidRPr="00FE7FCE">
          <w:rPr>
            <w:rStyle w:val="Hyperlink"/>
            <w:szCs w:val="24"/>
          </w:rPr>
          <w:t>http://www.newyorkfed.org/research/current_issues/ci14-2/ci14-2.html</w:t>
        </w:r>
      </w:hyperlink>
      <w:r w:rsidRPr="00EB183B">
        <w:t xml:space="preserve"> </w:t>
      </w:r>
    </w:p>
    <w:p w:rsidR="009B59BB" w:rsidRPr="00EB183B" w:rsidRDefault="009B59BB" w:rsidP="009B59BB">
      <w:pPr>
        <w:spacing w:after="240" w:line="240" w:lineRule="auto"/>
        <w:ind w:left="648" w:hanging="720"/>
        <w:jc w:val="left"/>
        <w:rPr>
          <w:szCs w:val="24"/>
        </w:rPr>
      </w:pPr>
      <w:r w:rsidRPr="00EB183B">
        <w:rPr>
          <w:szCs w:val="24"/>
        </w:rPr>
        <w:t xml:space="preserve">Cendejas, J., Del Hoyo, J., Llorente, J., Monjas, M., &amp; Rivero, C. (2006). Ciclo económico y convergencia real en la Unión Europea. Recuperado el 2 de febrero de 2014, de Fundación BBVA: </w:t>
      </w:r>
      <w:hyperlink r:id="rId198" w:history="1">
        <w:r w:rsidRPr="00497261">
          <w:rPr>
            <w:rStyle w:val="Hyperlink"/>
            <w:szCs w:val="24"/>
          </w:rPr>
          <w:t>http://www.fbbva.es/TLFU/dat/dt10_2006.pdf</w:t>
        </w:r>
      </w:hyperlink>
    </w:p>
    <w:p w:rsidR="009B59BB" w:rsidRPr="00ED05E9" w:rsidRDefault="009B59BB" w:rsidP="009B59BB">
      <w:pPr>
        <w:spacing w:after="240" w:line="240" w:lineRule="auto"/>
        <w:ind w:left="648" w:hanging="720"/>
        <w:jc w:val="left"/>
        <w:rPr>
          <w:szCs w:val="24"/>
        </w:rPr>
      </w:pPr>
      <w:r w:rsidRPr="00EB183B">
        <w:rPr>
          <w:szCs w:val="24"/>
        </w:rPr>
        <w:t>Centro para la Nueva Economía. (2008). Restablecer el crecimiento en Puerto Rico: Panorama y alternativas.</w:t>
      </w:r>
    </w:p>
    <w:p w:rsidR="009B59BB" w:rsidRPr="00ED05E9" w:rsidRDefault="009B59BB" w:rsidP="009B59BB">
      <w:pPr>
        <w:spacing w:after="240" w:line="240" w:lineRule="auto"/>
        <w:ind w:left="648" w:hanging="720"/>
        <w:jc w:val="left"/>
        <w:rPr>
          <w:szCs w:val="24"/>
          <w:u w:val="single"/>
        </w:rPr>
      </w:pPr>
      <w:r w:rsidRPr="00ED05E9">
        <w:rPr>
          <w:szCs w:val="24"/>
        </w:rPr>
        <w:t xml:space="preserve">Comisión Económica para América Latina y el Caribe.  (2004).  “The Convergent/Divergent Economic Trajectories of Puerto Rico and the United States”, Capítulo 3 del libro titulado: </w:t>
      </w:r>
      <w:r w:rsidRPr="003739F1">
        <w:rPr>
          <w:i/>
          <w:szCs w:val="24"/>
        </w:rPr>
        <w:t>Globalización y desarrollo: Desafíos de Puerto Rico frente al Siglo XXI</w:t>
      </w:r>
      <w:r w:rsidRPr="00ED05E9">
        <w:rPr>
          <w:szCs w:val="24"/>
        </w:rPr>
        <w:t>.</w:t>
      </w:r>
      <w:r w:rsidRPr="00ED05E9">
        <w:rPr>
          <w:szCs w:val="24"/>
          <w:u w:val="single"/>
        </w:rPr>
        <w:t xml:space="preserve"> </w:t>
      </w:r>
    </w:p>
    <w:p w:rsidR="009B59BB" w:rsidRPr="005B5FEE" w:rsidRDefault="009B59BB" w:rsidP="009B59BB">
      <w:pPr>
        <w:spacing w:after="240" w:line="240" w:lineRule="auto"/>
        <w:ind w:left="648" w:hanging="720"/>
        <w:jc w:val="left"/>
        <w:rPr>
          <w:szCs w:val="24"/>
          <w:lang w:val="en-US"/>
        </w:rPr>
      </w:pPr>
      <w:r w:rsidRPr="005B5FEE">
        <w:rPr>
          <w:szCs w:val="24"/>
          <w:lang w:val="en-US"/>
        </w:rPr>
        <w:t xml:space="preserve">DiCecio, R., &amp; Gascon, C. (2010). “Income Convergence in the United States: A Tale of Migration and Urbanization”.  </w:t>
      </w:r>
      <w:r w:rsidRPr="005B5FEE">
        <w:rPr>
          <w:i/>
          <w:szCs w:val="24"/>
          <w:lang w:val="en-US"/>
        </w:rPr>
        <w:t>The Annals of Regional Science</w:t>
      </w:r>
      <w:r w:rsidRPr="005B5FEE">
        <w:rPr>
          <w:szCs w:val="24"/>
          <w:lang w:val="en-US"/>
        </w:rPr>
        <w:t>, vol. 45, núm. 2, pp 365-377.</w:t>
      </w:r>
    </w:p>
    <w:p w:rsidR="009B59BB" w:rsidRPr="005B5FEE" w:rsidRDefault="009B59BB" w:rsidP="009B59BB">
      <w:pPr>
        <w:spacing w:after="240" w:line="240" w:lineRule="auto"/>
        <w:ind w:left="648" w:hanging="720"/>
        <w:jc w:val="left"/>
        <w:rPr>
          <w:szCs w:val="24"/>
          <w:lang w:val="en-US"/>
        </w:rPr>
      </w:pPr>
      <w:r w:rsidRPr="00A226D8">
        <w:rPr>
          <w:szCs w:val="24"/>
          <w:lang w:val="en-US"/>
        </w:rPr>
        <w:t xml:space="preserve">Dollar, D. y E. Wolf.  </w:t>
      </w:r>
      <w:r w:rsidRPr="005B5FEE">
        <w:rPr>
          <w:szCs w:val="24"/>
          <w:lang w:val="en-US"/>
        </w:rPr>
        <w:t xml:space="preserve">(1994).  “Capital Intensity and TFP Convergence in Manufacturing, 1963-1985”, en William Baumol, Richard R. Nelson y Edward N. Wolff, editores, </w:t>
      </w:r>
      <w:r w:rsidRPr="005B5FEE">
        <w:rPr>
          <w:i/>
          <w:szCs w:val="24"/>
          <w:lang w:val="en-US"/>
        </w:rPr>
        <w:t>Convergence of Productivity: Cross National Studies and Historical Evidence</w:t>
      </w:r>
      <w:r w:rsidRPr="005B5FEE">
        <w:rPr>
          <w:szCs w:val="24"/>
          <w:lang w:val="en-US"/>
        </w:rPr>
        <w:t>, New York, Oxford University Press.</w:t>
      </w:r>
    </w:p>
    <w:p w:rsidR="009B59BB" w:rsidRPr="005B5FEE" w:rsidRDefault="009B59BB" w:rsidP="009B59BB">
      <w:pPr>
        <w:spacing w:after="240" w:line="240" w:lineRule="auto"/>
        <w:ind w:left="648" w:hanging="720"/>
        <w:jc w:val="left"/>
        <w:rPr>
          <w:szCs w:val="24"/>
          <w:lang w:val="en-US"/>
        </w:rPr>
      </w:pPr>
      <w:r w:rsidRPr="005B5FEE">
        <w:rPr>
          <w:szCs w:val="24"/>
          <w:lang w:val="en-US"/>
        </w:rPr>
        <w:t xml:space="preserve">Dougherty, C. y D. Jorgenson.  (1997).  “International Comparison of Sources of Growth”.  </w:t>
      </w:r>
      <w:r w:rsidRPr="005B5FEE">
        <w:rPr>
          <w:i/>
          <w:szCs w:val="24"/>
          <w:lang w:val="en-US"/>
        </w:rPr>
        <w:t>American Economic Review</w:t>
      </w:r>
      <w:r w:rsidRPr="005B5FEE">
        <w:rPr>
          <w:szCs w:val="24"/>
          <w:lang w:val="en-US"/>
        </w:rPr>
        <w:t>, vol. 86, pp 25-29.</w:t>
      </w:r>
    </w:p>
    <w:p w:rsidR="009B59BB" w:rsidRPr="005B5FEE" w:rsidRDefault="009B59BB" w:rsidP="009B59BB">
      <w:pPr>
        <w:tabs>
          <w:tab w:val="num" w:pos="720"/>
        </w:tabs>
        <w:spacing w:after="240" w:line="240" w:lineRule="auto"/>
        <w:ind w:left="648" w:hanging="720"/>
        <w:jc w:val="left"/>
        <w:rPr>
          <w:szCs w:val="24"/>
          <w:lang w:val="en-US"/>
        </w:rPr>
      </w:pPr>
      <w:r w:rsidRPr="005B5FEE">
        <w:rPr>
          <w:szCs w:val="24"/>
          <w:lang w:val="en-US"/>
        </w:rPr>
        <w:t xml:space="preserve">Dougherty, C. y D. Jorgenson. (1997).  “There is no Silver Bullet: Investment and Growth in the G7.”  </w:t>
      </w:r>
      <w:r w:rsidRPr="005B5FEE">
        <w:rPr>
          <w:i/>
          <w:szCs w:val="24"/>
          <w:lang w:val="en-US"/>
        </w:rPr>
        <w:t>National Institute Economic Review</w:t>
      </w:r>
      <w:r>
        <w:rPr>
          <w:szCs w:val="24"/>
          <w:lang w:val="en-US"/>
        </w:rPr>
        <w:t xml:space="preserve">, </w:t>
      </w:r>
      <w:r w:rsidRPr="005B5FEE">
        <w:rPr>
          <w:szCs w:val="24"/>
          <w:lang w:val="en-US"/>
        </w:rPr>
        <w:t>vol. 162, pp 57-74.</w:t>
      </w:r>
    </w:p>
    <w:p w:rsidR="009B59BB" w:rsidRPr="005B5FEE" w:rsidRDefault="009B59BB" w:rsidP="009B59BB">
      <w:pPr>
        <w:tabs>
          <w:tab w:val="num" w:pos="720"/>
        </w:tabs>
        <w:spacing w:after="240" w:line="240" w:lineRule="auto"/>
        <w:ind w:left="648" w:hanging="720"/>
        <w:jc w:val="left"/>
        <w:rPr>
          <w:szCs w:val="24"/>
          <w:lang w:val="en-US"/>
        </w:rPr>
      </w:pPr>
      <w:r w:rsidRPr="00A226D8">
        <w:rPr>
          <w:szCs w:val="24"/>
          <w:lang w:val="en-US"/>
        </w:rPr>
        <w:t xml:space="preserve">Dowrick, S. y D. Nguyen. </w:t>
      </w:r>
      <w:r w:rsidRPr="005B5FEE">
        <w:rPr>
          <w:szCs w:val="24"/>
          <w:lang w:val="en-US"/>
        </w:rPr>
        <w:t xml:space="preserve">(1989).  “OECD Comparative Economic Growth 1950-85: Catch-Up and Convergence”.  </w:t>
      </w:r>
      <w:r w:rsidRPr="005B5FEE">
        <w:rPr>
          <w:i/>
          <w:szCs w:val="24"/>
          <w:lang w:val="en-US"/>
        </w:rPr>
        <w:t>American Economic Review</w:t>
      </w:r>
      <w:r w:rsidRPr="005B5FEE">
        <w:rPr>
          <w:szCs w:val="24"/>
          <w:lang w:val="en-US"/>
        </w:rPr>
        <w:t>, vol. 79, pp 1010-1030.</w:t>
      </w:r>
    </w:p>
    <w:p w:rsidR="009B59BB" w:rsidRPr="005B5FEE" w:rsidRDefault="009B59BB" w:rsidP="009B59BB">
      <w:pPr>
        <w:tabs>
          <w:tab w:val="num" w:pos="720"/>
        </w:tabs>
        <w:spacing w:after="240" w:line="240" w:lineRule="auto"/>
        <w:ind w:left="648" w:hanging="720"/>
        <w:jc w:val="left"/>
        <w:rPr>
          <w:szCs w:val="24"/>
          <w:lang w:val="en-US"/>
        </w:rPr>
      </w:pPr>
      <w:r w:rsidRPr="00A226D8">
        <w:rPr>
          <w:szCs w:val="24"/>
          <w:lang w:val="en-US"/>
        </w:rPr>
        <w:t xml:space="preserve">Durlauf, S. y P. Johnson. </w:t>
      </w:r>
      <w:r>
        <w:rPr>
          <w:szCs w:val="24"/>
          <w:lang w:val="en-US"/>
        </w:rPr>
        <w:t xml:space="preserve">(1995). </w:t>
      </w:r>
      <w:r w:rsidRPr="005B5FEE">
        <w:rPr>
          <w:szCs w:val="24"/>
          <w:lang w:val="en-US"/>
        </w:rPr>
        <w:t xml:space="preserve">“Multiple Regimes and Cross-Country Growth Behavior”.  </w:t>
      </w:r>
      <w:r w:rsidRPr="005B5FEE">
        <w:rPr>
          <w:i/>
          <w:szCs w:val="24"/>
          <w:lang w:val="en-US"/>
        </w:rPr>
        <w:t>Journal of Applied Econometrics</w:t>
      </w:r>
      <w:r w:rsidRPr="005B5FEE">
        <w:rPr>
          <w:szCs w:val="24"/>
          <w:lang w:val="en-US"/>
        </w:rPr>
        <w:t>, vol. 10, pp365-384</w:t>
      </w:r>
    </w:p>
    <w:p w:rsidR="009B59BB" w:rsidRPr="005B5FEE" w:rsidRDefault="009B59BB" w:rsidP="009B59BB">
      <w:pPr>
        <w:tabs>
          <w:tab w:val="num" w:pos="720"/>
        </w:tabs>
        <w:spacing w:after="240" w:line="240" w:lineRule="auto"/>
        <w:ind w:left="648" w:hanging="720"/>
        <w:jc w:val="left"/>
        <w:rPr>
          <w:szCs w:val="24"/>
          <w:lang w:val="en-US"/>
        </w:rPr>
      </w:pPr>
      <w:r w:rsidRPr="005B5FEE">
        <w:rPr>
          <w:szCs w:val="24"/>
          <w:lang w:val="en-US"/>
        </w:rPr>
        <w:t xml:space="preserve">Friedman, M.  (1994).  “ Do Old Fallacies Ever Die?”.  </w:t>
      </w:r>
      <w:r w:rsidRPr="005B5FEE">
        <w:rPr>
          <w:i/>
          <w:szCs w:val="24"/>
          <w:lang w:val="en-US"/>
        </w:rPr>
        <w:t>Journal of Economic Literature</w:t>
      </w:r>
      <w:r w:rsidRPr="005B5FEE">
        <w:rPr>
          <w:szCs w:val="24"/>
          <w:lang w:val="en-US"/>
        </w:rPr>
        <w:t>, vol. 30, pp 2129-2132.</w:t>
      </w:r>
    </w:p>
    <w:p w:rsidR="009B59BB" w:rsidRPr="005B5FEE" w:rsidRDefault="009B59BB" w:rsidP="009B59BB">
      <w:pPr>
        <w:tabs>
          <w:tab w:val="num" w:pos="720"/>
        </w:tabs>
        <w:spacing w:after="240" w:line="240" w:lineRule="auto"/>
        <w:ind w:left="648" w:hanging="720"/>
        <w:jc w:val="left"/>
        <w:rPr>
          <w:szCs w:val="24"/>
          <w:lang w:val="en-US"/>
        </w:rPr>
      </w:pPr>
      <w:r>
        <w:rPr>
          <w:szCs w:val="24"/>
          <w:lang w:val="en-US"/>
        </w:rPr>
        <w:t>Galor, O.</w:t>
      </w:r>
      <w:r w:rsidRPr="005B5FEE">
        <w:rPr>
          <w:szCs w:val="24"/>
          <w:lang w:val="en-US"/>
        </w:rPr>
        <w:t>(1</w:t>
      </w:r>
      <w:r>
        <w:rPr>
          <w:szCs w:val="24"/>
          <w:lang w:val="en-US"/>
        </w:rPr>
        <w:t xml:space="preserve"> 996). </w:t>
      </w:r>
      <w:r w:rsidRPr="005B5FEE">
        <w:rPr>
          <w:szCs w:val="24"/>
          <w:lang w:val="en-US"/>
        </w:rPr>
        <w:t>“Convergence? Infer</w:t>
      </w:r>
      <w:r>
        <w:rPr>
          <w:szCs w:val="24"/>
          <w:lang w:val="en-US"/>
        </w:rPr>
        <w:t xml:space="preserve">ence from Theoretical Models”. </w:t>
      </w:r>
      <w:r w:rsidRPr="005B5FEE">
        <w:rPr>
          <w:i/>
          <w:szCs w:val="24"/>
          <w:lang w:val="en-US"/>
        </w:rPr>
        <w:t>Economic Journal</w:t>
      </w:r>
      <w:r w:rsidRPr="005B5FEE">
        <w:rPr>
          <w:szCs w:val="24"/>
          <w:lang w:val="en-US"/>
        </w:rPr>
        <w:t xml:space="preserve">, vol. 106, pp 1056-1069. </w:t>
      </w:r>
    </w:p>
    <w:p w:rsidR="009B59BB" w:rsidRPr="005B5FEE" w:rsidRDefault="009B59BB" w:rsidP="009B59BB">
      <w:pPr>
        <w:tabs>
          <w:tab w:val="num" w:pos="720"/>
        </w:tabs>
        <w:spacing w:after="240" w:line="240" w:lineRule="auto"/>
        <w:ind w:left="648" w:hanging="720"/>
        <w:jc w:val="left"/>
        <w:rPr>
          <w:szCs w:val="24"/>
          <w:lang w:val="en-US"/>
        </w:rPr>
      </w:pPr>
      <w:r w:rsidRPr="005B5FEE">
        <w:rPr>
          <w:szCs w:val="24"/>
          <w:lang w:val="en-US"/>
        </w:rPr>
        <w:t>Ganong, P y D. Shoag. (2012). “Why Has Regional Convergence in the U.S. Stopped?”.  Regulatory Policy Program, Mossavar-Rahmani Center for Business and Government, Harvard Kennedy School.</w:t>
      </w:r>
    </w:p>
    <w:p w:rsidR="009B59BB" w:rsidRPr="005B5FEE" w:rsidRDefault="009B59BB" w:rsidP="009B59BB">
      <w:pPr>
        <w:tabs>
          <w:tab w:val="num" w:pos="720"/>
        </w:tabs>
        <w:spacing w:after="240" w:line="240" w:lineRule="auto"/>
        <w:ind w:left="648" w:hanging="720"/>
        <w:jc w:val="left"/>
        <w:rPr>
          <w:szCs w:val="24"/>
          <w:lang w:val="en-US"/>
        </w:rPr>
      </w:pPr>
      <w:r w:rsidRPr="005B5FEE">
        <w:rPr>
          <w:szCs w:val="24"/>
          <w:lang w:val="en-US"/>
        </w:rPr>
        <w:t>Gomme, P., &amp; Rupert, P. (2004). “Per Capita Income Growth and Disparity in the United States: 1929-2003”.</w:t>
      </w:r>
      <w:r>
        <w:rPr>
          <w:szCs w:val="24"/>
          <w:lang w:val="en-US"/>
        </w:rPr>
        <w:t xml:space="preserve">  Economic Commentary.</w:t>
      </w:r>
      <w:r w:rsidRPr="005B5FEE">
        <w:rPr>
          <w:szCs w:val="24"/>
          <w:lang w:val="en-US"/>
        </w:rPr>
        <w:t xml:space="preserve"> Banco de la Reserva Federal de Cleveland.</w:t>
      </w:r>
    </w:p>
    <w:p w:rsidR="009B59BB" w:rsidRPr="005B5FEE" w:rsidRDefault="009B59BB" w:rsidP="009B59BB">
      <w:pPr>
        <w:tabs>
          <w:tab w:val="num" w:pos="720"/>
        </w:tabs>
        <w:spacing w:after="240" w:line="240" w:lineRule="auto"/>
        <w:ind w:left="648" w:hanging="720"/>
        <w:jc w:val="left"/>
        <w:rPr>
          <w:szCs w:val="24"/>
          <w:lang w:val="en-US"/>
        </w:rPr>
      </w:pPr>
      <w:r w:rsidRPr="005B5FEE">
        <w:rPr>
          <w:szCs w:val="24"/>
          <w:lang w:val="en-US"/>
        </w:rPr>
        <w:t>Higgins, M., Levy, D., &amp; Young, A. (2006). “Growth and Convergence across the United States: Evidence from County-Level Data”.</w:t>
      </w:r>
      <w:r>
        <w:rPr>
          <w:szCs w:val="24"/>
          <w:lang w:val="en-US"/>
        </w:rPr>
        <w:t xml:space="preserve"> </w:t>
      </w:r>
      <w:r w:rsidRPr="005B5FEE">
        <w:rPr>
          <w:szCs w:val="24"/>
          <w:lang w:val="en-US"/>
        </w:rPr>
        <w:t>Emory Economics 0306, Departamento de Economía, Emory University.</w:t>
      </w:r>
    </w:p>
    <w:p w:rsidR="009B59BB" w:rsidRPr="005B5FEE" w:rsidRDefault="009B59BB" w:rsidP="009B59BB">
      <w:pPr>
        <w:tabs>
          <w:tab w:val="num" w:pos="720"/>
        </w:tabs>
        <w:spacing w:after="240" w:line="240" w:lineRule="auto"/>
        <w:ind w:left="648" w:hanging="720"/>
        <w:jc w:val="left"/>
        <w:rPr>
          <w:szCs w:val="24"/>
          <w:lang w:val="en-US"/>
        </w:rPr>
      </w:pPr>
      <w:r w:rsidRPr="005B5FEE">
        <w:rPr>
          <w:szCs w:val="24"/>
          <w:lang w:val="en-US"/>
        </w:rPr>
        <w:t xml:space="preserve">Islam, N.  (2003).  “What have we Learnt from the Convergence </w:t>
      </w:r>
      <w:r>
        <w:rPr>
          <w:szCs w:val="24"/>
          <w:lang w:val="en-US"/>
        </w:rPr>
        <w:t xml:space="preserve">Debate?”. </w:t>
      </w:r>
      <w:r w:rsidRPr="005B5FEE">
        <w:rPr>
          <w:i/>
          <w:szCs w:val="24"/>
          <w:lang w:val="en-US"/>
        </w:rPr>
        <w:t>Journal of Economic Surveys</w:t>
      </w:r>
      <w:r w:rsidRPr="005B5FEE">
        <w:rPr>
          <w:szCs w:val="24"/>
          <w:lang w:val="en-US"/>
        </w:rPr>
        <w:t>, vol. 17, Núm. 3, pp 310-362.</w:t>
      </w:r>
      <w:r w:rsidRPr="005B5FEE">
        <w:rPr>
          <w:rFonts w:eastAsia="+mn-ea"/>
          <w:color w:val="000000"/>
          <w:kern w:val="24"/>
          <w:szCs w:val="24"/>
          <w:lang w:val="en-US"/>
        </w:rPr>
        <w:t xml:space="preserve"> </w:t>
      </w:r>
      <w:r w:rsidRPr="005B5FEE">
        <w:rPr>
          <w:szCs w:val="24"/>
          <w:lang w:val="en-US"/>
        </w:rPr>
        <w:t xml:space="preserve">Jones, C.  (1997).  </w:t>
      </w:r>
    </w:p>
    <w:p w:rsidR="009B59BB" w:rsidRPr="00C6176C" w:rsidRDefault="009B59BB" w:rsidP="009B59BB">
      <w:pPr>
        <w:tabs>
          <w:tab w:val="num" w:pos="720"/>
        </w:tabs>
        <w:spacing w:after="240" w:line="240" w:lineRule="auto"/>
        <w:ind w:left="648" w:hanging="720"/>
        <w:jc w:val="left"/>
        <w:rPr>
          <w:lang w:val="en-US"/>
        </w:rPr>
      </w:pPr>
      <w:r>
        <w:rPr>
          <w:szCs w:val="24"/>
          <w:lang w:val="en-US"/>
        </w:rPr>
        <w:t xml:space="preserve">Jones, C. (1997). “Convergence Revisited”. </w:t>
      </w:r>
      <w:r w:rsidRPr="00C6176C">
        <w:rPr>
          <w:i/>
          <w:szCs w:val="24"/>
          <w:lang w:val="en-US"/>
        </w:rPr>
        <w:t>Journal of Economic Growth</w:t>
      </w:r>
      <w:r>
        <w:rPr>
          <w:szCs w:val="24"/>
          <w:lang w:val="en-US"/>
        </w:rPr>
        <w:t>, núm.</w:t>
      </w:r>
      <w:r w:rsidRPr="00C6176C">
        <w:rPr>
          <w:szCs w:val="24"/>
          <w:lang w:val="en-US"/>
        </w:rPr>
        <w:t>2, pp 131-153.</w:t>
      </w:r>
      <w:r w:rsidRPr="00C6176C">
        <w:rPr>
          <w:lang w:val="en-US"/>
        </w:rPr>
        <w:t xml:space="preserve"> </w:t>
      </w:r>
    </w:p>
    <w:p w:rsidR="009B59BB" w:rsidRDefault="009B59BB" w:rsidP="009B59BB">
      <w:pPr>
        <w:tabs>
          <w:tab w:val="num" w:pos="720"/>
        </w:tabs>
        <w:spacing w:after="240" w:line="240" w:lineRule="auto"/>
        <w:ind w:left="648" w:hanging="720"/>
        <w:jc w:val="left"/>
        <w:rPr>
          <w:szCs w:val="24"/>
        </w:rPr>
      </w:pPr>
      <w:r>
        <w:rPr>
          <w:szCs w:val="24"/>
        </w:rPr>
        <w:t>Junta de Planificación</w:t>
      </w:r>
      <w:r w:rsidRPr="00AF4132">
        <w:rPr>
          <w:szCs w:val="24"/>
        </w:rPr>
        <w:t xml:space="preserve">. (2013). Ciclos Económicos. Recuperado el 1 de febrero de 2014, de </w:t>
      </w:r>
      <w:hyperlink r:id="rId199" w:history="1">
        <w:r w:rsidRPr="00497261">
          <w:rPr>
            <w:rStyle w:val="Hyperlink"/>
            <w:szCs w:val="24"/>
          </w:rPr>
          <w:t>http://www.jp.gobierno.pr/</w:t>
        </w:r>
      </w:hyperlink>
    </w:p>
    <w:p w:rsidR="009B59BB" w:rsidRPr="00AF4132" w:rsidRDefault="009B59BB" w:rsidP="009B59BB">
      <w:pPr>
        <w:tabs>
          <w:tab w:val="num" w:pos="720"/>
        </w:tabs>
        <w:spacing w:after="240" w:line="240" w:lineRule="auto"/>
        <w:ind w:left="720" w:hanging="720"/>
        <w:jc w:val="left"/>
        <w:rPr>
          <w:szCs w:val="24"/>
        </w:rPr>
      </w:pPr>
      <w:r w:rsidRPr="00AF4132">
        <w:rPr>
          <w:szCs w:val="24"/>
        </w:rPr>
        <w:t>Junta de Planificación de Puerto Rico. (1993). Impacto de las firmas manufactureras 936 sobre la economía de Puerto Rico: Un análisis usando la técnica del Insumo-Producto. Recu</w:t>
      </w:r>
      <w:r>
        <w:rPr>
          <w:szCs w:val="24"/>
        </w:rPr>
        <w:t xml:space="preserve">perado el 2 de febrero de 2014, </w:t>
      </w:r>
      <w:r w:rsidRPr="00AF4132">
        <w:rPr>
          <w:szCs w:val="24"/>
        </w:rPr>
        <w:t xml:space="preserve">de </w:t>
      </w:r>
      <w:hyperlink r:id="rId200" w:history="1">
        <w:r w:rsidRPr="00497261">
          <w:rPr>
            <w:rStyle w:val="Hyperlink"/>
            <w:szCs w:val="24"/>
          </w:rPr>
          <w:t>http://jp.pr.gov/Portal_JP/Portals/0/Publicaciones/PublicacionesHistoricasOnline/Impacto936.pdf</w:t>
        </w:r>
      </w:hyperlink>
    </w:p>
    <w:p w:rsidR="009B59BB" w:rsidRPr="00C6176C" w:rsidRDefault="009B59BB" w:rsidP="009B59BB">
      <w:pPr>
        <w:tabs>
          <w:tab w:val="num" w:pos="720"/>
        </w:tabs>
        <w:spacing w:after="240" w:line="240" w:lineRule="auto"/>
        <w:ind w:left="648" w:hanging="720"/>
        <w:jc w:val="left"/>
        <w:rPr>
          <w:szCs w:val="24"/>
          <w:lang w:val="en-US"/>
        </w:rPr>
      </w:pPr>
      <w:r>
        <w:rPr>
          <w:szCs w:val="24"/>
          <w:lang w:val="en-US"/>
        </w:rPr>
        <w:t xml:space="preserve">Kane, R. (2001). </w:t>
      </w:r>
      <w:r w:rsidRPr="00C6176C">
        <w:rPr>
          <w:szCs w:val="24"/>
          <w:lang w:val="en-US"/>
        </w:rPr>
        <w:t xml:space="preserve">“Investigating Convergence of the U.S. Regions: A Time Series Analysis”.  </w:t>
      </w:r>
      <w:r w:rsidRPr="00C6176C">
        <w:rPr>
          <w:i/>
          <w:szCs w:val="24"/>
          <w:lang w:val="en-US"/>
        </w:rPr>
        <w:t>The Journal of Regional Analysis and Policy</w:t>
      </w:r>
      <w:r w:rsidRPr="00C6176C">
        <w:rPr>
          <w:szCs w:val="24"/>
          <w:lang w:val="en-US"/>
        </w:rPr>
        <w:t>, vol. 31, núm. 1, pp 1-22.</w:t>
      </w:r>
    </w:p>
    <w:p w:rsidR="009B59BB" w:rsidRPr="00C6176C" w:rsidRDefault="009B59BB" w:rsidP="009B59BB">
      <w:pPr>
        <w:tabs>
          <w:tab w:val="num" w:pos="720"/>
        </w:tabs>
        <w:spacing w:after="240" w:line="240" w:lineRule="auto"/>
        <w:ind w:left="648" w:hanging="720"/>
        <w:jc w:val="left"/>
        <w:rPr>
          <w:szCs w:val="24"/>
          <w:lang w:val="en-US"/>
        </w:rPr>
      </w:pPr>
      <w:r w:rsidRPr="00C6176C">
        <w:rPr>
          <w:lang w:val="en-US"/>
        </w:rPr>
        <w:t xml:space="preserve"> </w:t>
      </w:r>
      <w:r w:rsidRPr="00C6176C">
        <w:rPr>
          <w:szCs w:val="24"/>
          <w:lang w:val="en-US"/>
        </w:rPr>
        <w:t>Knoop, T. (2010). Recessions and Depressions: Understanding Business Cycles.</w:t>
      </w:r>
    </w:p>
    <w:p w:rsidR="009B59BB" w:rsidRPr="009C4EE2" w:rsidRDefault="009B59BB" w:rsidP="009B59BB">
      <w:pPr>
        <w:tabs>
          <w:tab w:val="num" w:pos="720"/>
        </w:tabs>
        <w:spacing w:after="240" w:line="240" w:lineRule="auto"/>
        <w:ind w:left="648" w:hanging="720"/>
        <w:jc w:val="left"/>
        <w:rPr>
          <w:szCs w:val="24"/>
        </w:rPr>
      </w:pPr>
      <w:r>
        <w:rPr>
          <w:szCs w:val="24"/>
          <w:lang w:val="en-US"/>
        </w:rPr>
        <w:t>Lefort, F.</w:t>
      </w:r>
      <w:r w:rsidRPr="00C6176C">
        <w:rPr>
          <w:szCs w:val="24"/>
          <w:lang w:val="en-US"/>
        </w:rPr>
        <w:t xml:space="preserve"> (1997). “Is Puerto Rico Conv</w:t>
      </w:r>
      <w:r>
        <w:rPr>
          <w:szCs w:val="24"/>
          <w:lang w:val="en-US"/>
        </w:rPr>
        <w:t xml:space="preserve">erging to the United States?”. </w:t>
      </w:r>
      <w:r w:rsidRPr="009C4EE2">
        <w:rPr>
          <w:szCs w:val="24"/>
        </w:rPr>
        <w:t>Documentos de trabajo del Banco Central, de Chile, núm. 9.</w:t>
      </w:r>
    </w:p>
    <w:p w:rsidR="009B59BB" w:rsidRDefault="009B59BB" w:rsidP="009B59BB">
      <w:pPr>
        <w:tabs>
          <w:tab w:val="num" w:pos="720"/>
        </w:tabs>
        <w:spacing w:after="240" w:line="240" w:lineRule="auto"/>
        <w:ind w:left="648" w:hanging="720"/>
        <w:jc w:val="left"/>
      </w:pPr>
      <w:r>
        <w:rPr>
          <w:szCs w:val="24"/>
        </w:rPr>
        <w:t>Lefort, F</w:t>
      </w:r>
      <w:r w:rsidRPr="00ED05E9">
        <w:rPr>
          <w:szCs w:val="24"/>
        </w:rPr>
        <w:t xml:space="preserve">.  (1997).  “Puerto Rico: Divergence not Convergence”.  </w:t>
      </w:r>
      <w:r w:rsidRPr="00F45C5E">
        <w:rPr>
          <w:i/>
          <w:szCs w:val="24"/>
        </w:rPr>
        <w:t>Puerto Rico Herald</w:t>
      </w:r>
      <w:r w:rsidRPr="00F45C5E">
        <w:rPr>
          <w:szCs w:val="24"/>
        </w:rPr>
        <w:t>.</w:t>
      </w:r>
      <w:r w:rsidRPr="00CA24DD">
        <w:t xml:space="preserve"> </w:t>
      </w:r>
    </w:p>
    <w:p w:rsidR="009B59BB" w:rsidRPr="005D0864" w:rsidRDefault="009B59BB" w:rsidP="009B59BB">
      <w:pPr>
        <w:tabs>
          <w:tab w:val="num" w:pos="720"/>
        </w:tabs>
        <w:spacing w:after="240" w:line="240" w:lineRule="auto"/>
        <w:ind w:left="648" w:hanging="720"/>
        <w:jc w:val="left"/>
        <w:rPr>
          <w:szCs w:val="24"/>
        </w:rPr>
      </w:pPr>
      <w:r w:rsidRPr="00CA24DD">
        <w:rPr>
          <w:szCs w:val="24"/>
        </w:rPr>
        <w:t xml:space="preserve">Martínez, J. (2013). La Sección 936. Recuperado el 31 de enero de </w:t>
      </w:r>
      <w:r>
        <w:rPr>
          <w:szCs w:val="24"/>
        </w:rPr>
        <w:t xml:space="preserve">2014, de Enciclopedia de Puerto </w:t>
      </w:r>
      <w:r w:rsidRPr="00CA24DD">
        <w:rPr>
          <w:szCs w:val="24"/>
        </w:rPr>
        <w:t xml:space="preserve">Rico: </w:t>
      </w:r>
      <w:hyperlink r:id="rId201" w:history="1">
        <w:r w:rsidRPr="00497261">
          <w:rPr>
            <w:rStyle w:val="Hyperlink"/>
            <w:szCs w:val="24"/>
          </w:rPr>
          <w:t>http://www.enciclopediapr.org/esp/article.cfm?ref=13071108&amp;page=2</w:t>
        </w:r>
      </w:hyperlink>
    </w:p>
    <w:p w:rsidR="009B59BB" w:rsidRPr="00FE7FCE" w:rsidRDefault="009B59BB" w:rsidP="009B59BB">
      <w:pPr>
        <w:tabs>
          <w:tab w:val="num" w:pos="720"/>
        </w:tabs>
        <w:spacing w:after="240" w:line="240" w:lineRule="auto"/>
        <w:ind w:left="720" w:hanging="720"/>
        <w:jc w:val="left"/>
        <w:rPr>
          <w:szCs w:val="24"/>
        </w:rPr>
      </w:pPr>
      <w:r w:rsidRPr="00C6176C">
        <w:rPr>
          <w:szCs w:val="24"/>
          <w:lang w:val="en-US"/>
        </w:rPr>
        <w:t xml:space="preserve">National Bureau of Economic Research. (s.f.). US Business Cycle Expansions and Contractions. </w:t>
      </w:r>
      <w:r w:rsidRPr="00CA24DD">
        <w:rPr>
          <w:szCs w:val="24"/>
        </w:rPr>
        <w:t>Rec</w:t>
      </w:r>
      <w:r>
        <w:rPr>
          <w:szCs w:val="24"/>
        </w:rPr>
        <w:t xml:space="preserve">uperado el 30 de enero de 2014, </w:t>
      </w:r>
      <w:r w:rsidRPr="00CA24DD">
        <w:rPr>
          <w:szCs w:val="24"/>
        </w:rPr>
        <w:t>de</w:t>
      </w:r>
      <w:r>
        <w:rPr>
          <w:szCs w:val="24"/>
        </w:rPr>
        <w:t xml:space="preserve"> </w:t>
      </w:r>
      <w:hyperlink r:id="rId202" w:anchor="navDiv=4" w:history="1">
        <w:r w:rsidRPr="00497261">
          <w:rPr>
            <w:rStyle w:val="Hyperlink"/>
            <w:szCs w:val="24"/>
          </w:rPr>
          <w:t>http://www.nber.org/cycles/cyclesmain.html#navDiv=4</w:t>
        </w:r>
      </w:hyperlink>
    </w:p>
    <w:p w:rsidR="009B59BB" w:rsidRPr="00A226D8" w:rsidRDefault="009B59BB" w:rsidP="009B59BB">
      <w:pPr>
        <w:tabs>
          <w:tab w:val="num" w:pos="720"/>
        </w:tabs>
        <w:spacing w:after="240" w:line="240" w:lineRule="auto"/>
        <w:ind w:left="648" w:hanging="720"/>
        <w:jc w:val="left"/>
        <w:rPr>
          <w:szCs w:val="24"/>
        </w:rPr>
      </w:pPr>
      <w:r w:rsidRPr="00A226D8">
        <w:rPr>
          <w:szCs w:val="24"/>
        </w:rPr>
        <w:t>Parkin, M. (2009). Economía.</w:t>
      </w:r>
    </w:p>
    <w:p w:rsidR="009B59BB" w:rsidRPr="00C6176C" w:rsidRDefault="009B59BB" w:rsidP="009B59BB">
      <w:pPr>
        <w:tabs>
          <w:tab w:val="num" w:pos="720"/>
        </w:tabs>
        <w:spacing w:after="240" w:line="240" w:lineRule="auto"/>
        <w:ind w:left="648" w:hanging="720"/>
        <w:jc w:val="left"/>
        <w:rPr>
          <w:szCs w:val="24"/>
          <w:lang w:val="en-US"/>
        </w:rPr>
      </w:pPr>
      <w:r w:rsidRPr="00A226D8">
        <w:rPr>
          <w:szCs w:val="24"/>
        </w:rPr>
        <w:t xml:space="preserve">Quah, D.  </w:t>
      </w:r>
      <w:r>
        <w:rPr>
          <w:szCs w:val="24"/>
          <w:lang w:val="en-US"/>
        </w:rPr>
        <w:t xml:space="preserve">(1993). </w:t>
      </w:r>
      <w:r w:rsidRPr="00C6176C">
        <w:rPr>
          <w:szCs w:val="24"/>
          <w:lang w:val="en-US"/>
        </w:rPr>
        <w:t xml:space="preserve">“Galton’s Fallacy and Tests of the Convergence Hypothesis”.  </w:t>
      </w:r>
      <w:r w:rsidRPr="00C6176C">
        <w:rPr>
          <w:i/>
          <w:szCs w:val="24"/>
          <w:lang w:val="en-US"/>
        </w:rPr>
        <w:t>Scandinavian Journal of Economics</w:t>
      </w:r>
      <w:r w:rsidRPr="00C6176C">
        <w:rPr>
          <w:szCs w:val="24"/>
          <w:lang w:val="en-US"/>
        </w:rPr>
        <w:t>, vol. 95, pp427-443.</w:t>
      </w:r>
    </w:p>
    <w:p w:rsidR="009B59BB" w:rsidRPr="00C6176C" w:rsidRDefault="009B59BB" w:rsidP="009B59BB">
      <w:pPr>
        <w:tabs>
          <w:tab w:val="num" w:pos="720"/>
        </w:tabs>
        <w:spacing w:after="240" w:line="240" w:lineRule="auto"/>
        <w:ind w:left="648" w:hanging="720"/>
        <w:jc w:val="left"/>
        <w:rPr>
          <w:szCs w:val="24"/>
          <w:lang w:val="en-US"/>
        </w:rPr>
      </w:pPr>
      <w:r w:rsidRPr="00C6176C">
        <w:rPr>
          <w:szCs w:val="24"/>
          <w:lang w:val="en-US"/>
        </w:rPr>
        <w:t xml:space="preserve">Rappaport, J. (1999).  "Local Growth Empirics," CID Working Papers 23, Center for International Development en la Universidad de Harvard.  </w:t>
      </w:r>
    </w:p>
    <w:p w:rsidR="009B59BB" w:rsidRPr="00916400" w:rsidRDefault="009B59BB" w:rsidP="009B59BB">
      <w:pPr>
        <w:tabs>
          <w:tab w:val="num" w:pos="720"/>
        </w:tabs>
        <w:spacing w:after="240" w:line="240" w:lineRule="auto"/>
        <w:ind w:left="648" w:hanging="720"/>
        <w:jc w:val="left"/>
        <w:rPr>
          <w:szCs w:val="24"/>
        </w:rPr>
      </w:pPr>
      <w:r w:rsidRPr="00916400">
        <w:rPr>
          <w:szCs w:val="24"/>
        </w:rPr>
        <w:t xml:space="preserve">Rivera, Á. (2009). El Índice de Indicadores Adelantados de Puerto Rico hacia finales del año 2009. Recuperado el 31 de enero de 2014, de Boletín de Economía UPRRP: </w:t>
      </w:r>
      <w:hyperlink r:id="rId203" w:history="1">
        <w:r w:rsidRPr="00497261">
          <w:rPr>
            <w:rStyle w:val="Hyperlink"/>
            <w:szCs w:val="24"/>
          </w:rPr>
          <w:t>http://economia.uprrp.edu/vol%2010%20num%202.pdf</w:t>
        </w:r>
      </w:hyperlink>
    </w:p>
    <w:p w:rsidR="009B59BB" w:rsidRPr="00ED05E9" w:rsidRDefault="009B59BB" w:rsidP="009B59BB">
      <w:pPr>
        <w:tabs>
          <w:tab w:val="num" w:pos="720"/>
        </w:tabs>
        <w:spacing w:after="240" w:line="240" w:lineRule="auto"/>
        <w:ind w:left="648" w:hanging="720"/>
        <w:jc w:val="left"/>
        <w:rPr>
          <w:szCs w:val="24"/>
        </w:rPr>
      </w:pPr>
      <w:r w:rsidRPr="00ED05E9">
        <w:rPr>
          <w:szCs w:val="24"/>
        </w:rPr>
        <w:t>Rodrik, D.  (2011).  “The future of Economic Convergence”  artículo presentado en el Jackson Hole Symposium del Banco de la Reserva Federal de Kansas.</w:t>
      </w:r>
    </w:p>
    <w:p w:rsidR="009B59BB" w:rsidRDefault="009B59BB" w:rsidP="009B59BB">
      <w:pPr>
        <w:tabs>
          <w:tab w:val="num" w:pos="720"/>
        </w:tabs>
        <w:spacing w:after="240" w:line="240" w:lineRule="auto"/>
        <w:ind w:left="720" w:hanging="720"/>
        <w:jc w:val="left"/>
      </w:pPr>
      <w:r>
        <w:rPr>
          <w:szCs w:val="24"/>
        </w:rPr>
        <w:t xml:space="preserve">Romer, D. (2006). </w:t>
      </w:r>
      <w:r w:rsidRPr="00C83E7D">
        <w:rPr>
          <w:i/>
          <w:szCs w:val="24"/>
        </w:rPr>
        <w:t>Macroeconomía avanzada</w:t>
      </w:r>
      <w:r>
        <w:rPr>
          <w:szCs w:val="24"/>
        </w:rPr>
        <w:t xml:space="preserve">. Tercera edición, </w:t>
      </w:r>
      <w:r w:rsidRPr="00ED05E9">
        <w:rPr>
          <w:szCs w:val="24"/>
        </w:rPr>
        <w:t>McGraw-Hill/Interamericana de España.</w:t>
      </w:r>
      <w:r w:rsidRPr="00916400">
        <w:t xml:space="preserve"> </w:t>
      </w:r>
    </w:p>
    <w:p w:rsidR="009B59BB" w:rsidRPr="00C6176C" w:rsidRDefault="009B59BB" w:rsidP="009B59BB">
      <w:pPr>
        <w:tabs>
          <w:tab w:val="num" w:pos="720"/>
        </w:tabs>
        <w:spacing w:after="240" w:line="240" w:lineRule="auto"/>
        <w:ind w:left="648" w:hanging="720"/>
        <w:jc w:val="left"/>
        <w:rPr>
          <w:szCs w:val="24"/>
          <w:lang w:val="en-US"/>
        </w:rPr>
      </w:pPr>
      <w:r>
        <w:rPr>
          <w:szCs w:val="24"/>
          <w:lang w:val="en-US"/>
        </w:rPr>
        <w:t xml:space="preserve">Sala-i-Martin, X. (1996). </w:t>
      </w:r>
      <w:r w:rsidRPr="00C6176C">
        <w:rPr>
          <w:szCs w:val="24"/>
          <w:lang w:val="en-US"/>
        </w:rPr>
        <w:t>“The Classical Appr</w:t>
      </w:r>
      <w:r>
        <w:rPr>
          <w:szCs w:val="24"/>
          <w:lang w:val="en-US"/>
        </w:rPr>
        <w:t xml:space="preserve">oach to Convergence Analysis”. </w:t>
      </w:r>
      <w:r w:rsidRPr="00C6176C">
        <w:rPr>
          <w:i/>
          <w:szCs w:val="24"/>
          <w:lang w:val="en-US"/>
        </w:rPr>
        <w:t>The Economic Journal</w:t>
      </w:r>
      <w:r w:rsidRPr="00C6176C">
        <w:rPr>
          <w:szCs w:val="24"/>
          <w:lang w:val="en-US"/>
        </w:rPr>
        <w:t xml:space="preserve">, vol. 106, núm. 437, pp 1019-1033. </w:t>
      </w:r>
    </w:p>
    <w:p w:rsidR="009B59BB" w:rsidRPr="00C6176C" w:rsidRDefault="009B59BB" w:rsidP="009B59BB">
      <w:pPr>
        <w:tabs>
          <w:tab w:val="num" w:pos="720"/>
        </w:tabs>
        <w:spacing w:after="240" w:line="240" w:lineRule="auto"/>
        <w:ind w:left="648" w:hanging="720"/>
        <w:jc w:val="left"/>
        <w:rPr>
          <w:szCs w:val="24"/>
          <w:lang w:val="en-US"/>
        </w:rPr>
      </w:pPr>
      <w:r>
        <w:rPr>
          <w:szCs w:val="24"/>
          <w:lang w:val="en-US"/>
        </w:rPr>
        <w:t xml:space="preserve">Solow, R.  (1956). </w:t>
      </w:r>
      <w:r w:rsidRPr="00C6176C">
        <w:rPr>
          <w:szCs w:val="24"/>
          <w:lang w:val="en-US"/>
        </w:rPr>
        <w:t>“A Contribution to the Theor</w:t>
      </w:r>
      <w:r>
        <w:rPr>
          <w:szCs w:val="24"/>
          <w:lang w:val="en-US"/>
        </w:rPr>
        <w:t xml:space="preserve">y of Economic Growth”. </w:t>
      </w:r>
      <w:r w:rsidRPr="00C6176C">
        <w:rPr>
          <w:i/>
          <w:szCs w:val="24"/>
          <w:lang w:val="en-US"/>
        </w:rPr>
        <w:t>Quarterly Journal of Economics</w:t>
      </w:r>
      <w:r w:rsidRPr="00C6176C">
        <w:rPr>
          <w:szCs w:val="24"/>
          <w:lang w:val="en-US"/>
        </w:rPr>
        <w:t>, vol. 70, pp 65-94.</w:t>
      </w:r>
    </w:p>
    <w:p w:rsidR="009B59BB" w:rsidRPr="00C6176C" w:rsidRDefault="009B59BB" w:rsidP="009B59BB">
      <w:pPr>
        <w:tabs>
          <w:tab w:val="num" w:pos="720"/>
        </w:tabs>
        <w:spacing w:after="240" w:line="240" w:lineRule="auto"/>
        <w:ind w:left="648" w:hanging="720"/>
        <w:jc w:val="left"/>
        <w:rPr>
          <w:szCs w:val="24"/>
          <w:lang w:val="en-US"/>
        </w:rPr>
      </w:pPr>
      <w:r>
        <w:rPr>
          <w:szCs w:val="24"/>
          <w:lang w:val="en-US"/>
        </w:rPr>
        <w:t>Solow, R</w:t>
      </w:r>
      <w:r w:rsidRPr="00C6176C">
        <w:rPr>
          <w:szCs w:val="24"/>
          <w:lang w:val="en-US"/>
        </w:rPr>
        <w:t xml:space="preserve">.  (1970).  </w:t>
      </w:r>
      <w:r w:rsidRPr="00C6176C">
        <w:rPr>
          <w:i/>
          <w:szCs w:val="24"/>
          <w:lang w:val="en-US"/>
        </w:rPr>
        <w:t>Growth Theory: An Exposition</w:t>
      </w:r>
      <w:r w:rsidRPr="00C6176C">
        <w:rPr>
          <w:szCs w:val="24"/>
          <w:lang w:val="en-US"/>
        </w:rPr>
        <w:t>, Cambridge University Press, London.</w:t>
      </w:r>
    </w:p>
    <w:p w:rsidR="009B59BB" w:rsidRPr="00EF04DF" w:rsidRDefault="009B59BB" w:rsidP="009B59BB">
      <w:pPr>
        <w:tabs>
          <w:tab w:val="num" w:pos="720"/>
        </w:tabs>
        <w:spacing w:after="240" w:line="240" w:lineRule="auto"/>
        <w:ind w:left="648" w:hanging="720"/>
        <w:jc w:val="left"/>
        <w:rPr>
          <w:szCs w:val="24"/>
        </w:rPr>
      </w:pPr>
      <w:r>
        <w:rPr>
          <w:szCs w:val="24"/>
          <w:lang w:val="en-US"/>
        </w:rPr>
        <w:t>Swan, T. W.  (1956).</w:t>
      </w:r>
      <w:r w:rsidRPr="00C6176C">
        <w:rPr>
          <w:szCs w:val="24"/>
          <w:lang w:val="en-US"/>
        </w:rPr>
        <w:t xml:space="preserve"> “Economic Growth and Capital Accumulation”.  </w:t>
      </w:r>
      <w:r w:rsidRPr="00EF04DF">
        <w:rPr>
          <w:i/>
          <w:szCs w:val="24"/>
        </w:rPr>
        <w:t>Economic Record</w:t>
      </w:r>
      <w:r w:rsidRPr="00EF04DF">
        <w:rPr>
          <w:szCs w:val="24"/>
        </w:rPr>
        <w:t>, vol. 32, pp 334-361.</w:t>
      </w:r>
    </w:p>
    <w:p w:rsidR="009B59BB" w:rsidRPr="00ED05E9" w:rsidRDefault="009B59BB" w:rsidP="009B59BB">
      <w:pPr>
        <w:tabs>
          <w:tab w:val="num" w:pos="720"/>
        </w:tabs>
        <w:spacing w:after="240" w:line="240" w:lineRule="auto"/>
        <w:ind w:left="648" w:hanging="720"/>
        <w:jc w:val="left"/>
        <w:rPr>
          <w:szCs w:val="24"/>
        </w:rPr>
      </w:pPr>
      <w:r w:rsidRPr="00916400">
        <w:rPr>
          <w:szCs w:val="24"/>
        </w:rPr>
        <w:t xml:space="preserve">Toledo, W. (2005). Cambios Tecnológicos y las Fluctuaciones Económicas. Recuperado el 1 de febrero de 2014, de </w:t>
      </w:r>
      <w:hyperlink r:id="rId204" w:history="1">
        <w:r w:rsidRPr="00497261">
          <w:rPr>
            <w:rStyle w:val="Hyperlink"/>
            <w:szCs w:val="24"/>
          </w:rPr>
          <w:t>http://economia.uprrp.edu/ensayo%20127.pdf</w:t>
        </w:r>
      </w:hyperlink>
    </w:p>
    <w:p w:rsidR="009B59BB" w:rsidRPr="00C6176C" w:rsidRDefault="009B59BB" w:rsidP="009B59BB">
      <w:pPr>
        <w:tabs>
          <w:tab w:val="num" w:pos="720"/>
        </w:tabs>
        <w:spacing w:after="240" w:line="240" w:lineRule="auto"/>
        <w:ind w:left="648" w:hanging="720"/>
        <w:jc w:val="left"/>
        <w:rPr>
          <w:szCs w:val="24"/>
          <w:lang w:val="en-US"/>
        </w:rPr>
      </w:pPr>
      <w:r>
        <w:rPr>
          <w:szCs w:val="24"/>
          <w:lang w:val="en-US"/>
        </w:rPr>
        <w:t xml:space="preserve">Wolff, E. (1991). </w:t>
      </w:r>
      <w:r w:rsidRPr="00C6176C">
        <w:rPr>
          <w:szCs w:val="24"/>
          <w:lang w:val="en-US"/>
        </w:rPr>
        <w:t xml:space="preserve">“Capital Formation </w:t>
      </w:r>
      <w:r>
        <w:rPr>
          <w:szCs w:val="24"/>
          <w:lang w:val="en-US"/>
        </w:rPr>
        <w:t xml:space="preserve">and Productivity Convergence”. </w:t>
      </w:r>
      <w:r w:rsidRPr="00C6176C">
        <w:rPr>
          <w:i/>
          <w:szCs w:val="24"/>
          <w:lang w:val="en-US"/>
        </w:rPr>
        <w:t>American Economic Review</w:t>
      </w:r>
      <w:r w:rsidRPr="00C6176C">
        <w:rPr>
          <w:szCs w:val="24"/>
          <w:lang w:val="en-US"/>
        </w:rPr>
        <w:t>, vol. 81, pp 565-579.</w:t>
      </w:r>
    </w:p>
    <w:p w:rsidR="009B59BB" w:rsidRDefault="009B59BB" w:rsidP="009B59BB">
      <w:pPr>
        <w:tabs>
          <w:tab w:val="num" w:pos="720"/>
        </w:tabs>
        <w:spacing w:after="240" w:line="240" w:lineRule="auto"/>
        <w:ind w:left="648" w:hanging="720"/>
        <w:jc w:val="left"/>
        <w:rPr>
          <w:szCs w:val="24"/>
          <w:lang w:val="en-US"/>
        </w:rPr>
        <w:sectPr w:rsidR="009B59BB">
          <w:headerReference w:type="default" r:id="rId205"/>
          <w:pgSz w:w="12240" w:h="15840"/>
          <w:pgMar w:top="1440" w:right="1440" w:bottom="1440" w:left="1440" w:gutter="0"/>
          <w:titlePg/>
          <w:docGrid w:linePitch="360"/>
        </w:sectPr>
      </w:pPr>
      <w:r>
        <w:rPr>
          <w:szCs w:val="24"/>
          <w:lang w:val="en-US"/>
        </w:rPr>
        <w:t xml:space="preserve">Young, </w:t>
      </w:r>
      <w:r w:rsidRPr="00C6176C">
        <w:rPr>
          <w:szCs w:val="24"/>
          <w:lang w:val="en-US"/>
        </w:rPr>
        <w:t xml:space="preserve">A., Higgins, M., &amp; Levy, D. (2008). “Sigma-Convergence Versus Beta-Convergence: Evidence from U.S. County-Level Data”.  </w:t>
      </w:r>
      <w:r w:rsidRPr="00C6176C">
        <w:rPr>
          <w:i/>
          <w:szCs w:val="24"/>
          <w:lang w:val="en-US"/>
        </w:rPr>
        <w:t>Journal of Money, Credit and Banking</w:t>
      </w:r>
      <w:r w:rsidRPr="00C6176C">
        <w:rPr>
          <w:szCs w:val="24"/>
          <w:lang w:val="en-US"/>
        </w:rPr>
        <w:t xml:space="preserve">, vol. 40, núm. 5, pp 1084-1093. </w:t>
      </w:r>
    </w:p>
    <w:p w:rsidR="005A5E7D" w:rsidRPr="00873F5E" w:rsidRDefault="009B59BB" w:rsidP="009B59BB">
      <w:pPr>
        <w:pStyle w:val="Heading1"/>
        <w:rPr>
          <w:lang w:val="en-US"/>
        </w:rPr>
      </w:pPr>
      <w:bookmarkStart w:id="110" w:name="_Toc384769800"/>
      <w:r w:rsidRPr="00873F5E">
        <w:rPr>
          <w:lang w:val="en-US"/>
        </w:rPr>
        <w:t>C</w:t>
      </w:r>
      <w:r w:rsidR="005A5E7D" w:rsidRPr="00873F5E">
        <w:rPr>
          <w:lang w:val="en-US"/>
        </w:rPr>
        <w:t>apítulo 7: Conclusiones y recomendaciones</w:t>
      </w:r>
      <w:bookmarkEnd w:id="110"/>
    </w:p>
    <w:p w:rsidR="005A5E7D" w:rsidRPr="00873F5E" w:rsidRDefault="005A5E7D" w:rsidP="009B59BB">
      <w:pPr>
        <w:pStyle w:val="Heading1"/>
        <w:rPr>
          <w:lang w:val="en-US"/>
        </w:rPr>
      </w:pPr>
    </w:p>
    <w:p w:rsidR="005A5E7D" w:rsidRPr="0071276F" w:rsidRDefault="005A5E7D" w:rsidP="005A5E7D">
      <w:pPr>
        <w:spacing w:line="240" w:lineRule="auto"/>
        <w:jc w:val="right"/>
        <w:rPr>
          <w:b/>
          <w:i/>
          <w:lang w:val="es-ES_tradnl" w:eastAsia="ar-SA"/>
        </w:rPr>
      </w:pPr>
      <w:r w:rsidRPr="0071276F">
        <w:rPr>
          <w:b/>
          <w:i/>
          <w:lang w:val="es-ES_tradnl" w:eastAsia="ar-SA"/>
        </w:rPr>
        <w:t>Equipo de Investigadores</w:t>
      </w:r>
    </w:p>
    <w:p w:rsidR="005A5E7D" w:rsidRPr="0071276F" w:rsidRDefault="005A5E7D" w:rsidP="005A5E7D">
      <w:pPr>
        <w:spacing w:line="240" w:lineRule="auto"/>
        <w:jc w:val="right"/>
        <w:rPr>
          <w:i/>
          <w:lang w:val="es-ES_tradnl" w:eastAsia="ar-SA"/>
        </w:rPr>
      </w:pPr>
      <w:r w:rsidRPr="0071276F">
        <w:rPr>
          <w:i/>
          <w:lang w:val="es-ES_tradnl" w:eastAsia="ar-SA"/>
        </w:rPr>
        <w:t>Departamento de Economía</w:t>
      </w:r>
    </w:p>
    <w:p w:rsidR="005A5E7D" w:rsidRPr="0071276F" w:rsidRDefault="005A5E7D" w:rsidP="005A5E7D">
      <w:pPr>
        <w:spacing w:line="240" w:lineRule="auto"/>
        <w:jc w:val="right"/>
        <w:rPr>
          <w:i/>
          <w:lang w:val="es-ES_tradnl" w:eastAsia="ar-SA"/>
        </w:rPr>
      </w:pPr>
      <w:r w:rsidRPr="0071276F">
        <w:rPr>
          <w:i/>
          <w:lang w:val="es-ES_tradnl" w:eastAsia="ar-SA"/>
        </w:rPr>
        <w:t>Universidad de Puerto Rico</w:t>
      </w:r>
    </w:p>
    <w:p w:rsidR="005A5E7D" w:rsidRPr="0071276F" w:rsidRDefault="005A5E7D" w:rsidP="005A5E7D">
      <w:pPr>
        <w:spacing w:line="240" w:lineRule="auto"/>
        <w:jc w:val="right"/>
        <w:rPr>
          <w:i/>
          <w:lang w:val="es-ES_tradnl" w:eastAsia="ar-SA"/>
        </w:rPr>
      </w:pPr>
      <w:r w:rsidRPr="0071276F">
        <w:rPr>
          <w:i/>
          <w:lang w:val="es-ES_tradnl" w:eastAsia="ar-SA"/>
        </w:rPr>
        <w:t>Recinto de Río Piedras</w:t>
      </w:r>
    </w:p>
    <w:p w:rsidR="005A5E7D" w:rsidRPr="0071276F" w:rsidRDefault="005A5E7D" w:rsidP="005A5E7D">
      <w:pPr>
        <w:pStyle w:val="Heading2"/>
        <w:numPr>
          <w:ilvl w:val="0"/>
          <w:numId w:val="0"/>
        </w:numPr>
        <w:ind w:left="540"/>
        <w:rPr>
          <w:sz w:val="24"/>
          <w:lang w:val="es-ES_tradnl" w:eastAsia="ar-SA"/>
        </w:rPr>
      </w:pPr>
    </w:p>
    <w:p w:rsidR="005A5E7D" w:rsidRPr="0071276F" w:rsidRDefault="005A5E7D" w:rsidP="00CB3560">
      <w:pPr>
        <w:pStyle w:val="Heading2"/>
        <w:numPr>
          <w:ilvl w:val="0"/>
          <w:numId w:val="33"/>
        </w:numPr>
        <w:ind w:left="426" w:hanging="426"/>
        <w:rPr>
          <w:lang w:val="es-ES_tradnl"/>
        </w:rPr>
      </w:pPr>
      <w:bookmarkStart w:id="111" w:name="_Toc384769801"/>
      <w:r w:rsidRPr="0071276F">
        <w:rPr>
          <w:lang w:val="es-ES_tradnl"/>
        </w:rPr>
        <w:t>Introducción</w:t>
      </w:r>
      <w:bookmarkEnd w:id="111"/>
    </w:p>
    <w:p w:rsidR="005A5E7D" w:rsidRPr="0071276F" w:rsidRDefault="005A5E7D" w:rsidP="005A5E7D">
      <w:pPr>
        <w:spacing w:line="240" w:lineRule="auto"/>
        <w:rPr>
          <w:lang w:val="es-ES_tradnl"/>
        </w:rPr>
      </w:pPr>
    </w:p>
    <w:p w:rsidR="005A5E7D" w:rsidRDefault="005A5E7D" w:rsidP="005A5E7D">
      <w:pPr>
        <w:rPr>
          <w:lang w:val="es-ES_tradnl"/>
        </w:rPr>
      </w:pPr>
      <w:r w:rsidRPr="0071276F">
        <w:rPr>
          <w:lang w:val="es-ES_tradnl"/>
        </w:rPr>
        <w:t>En este capítulo final se presentan las conclusiones del estudio realizado por el equipo de investigadores y una lista de recomendaciones para atender los efectos en la competitividad de Puerto Rico de posibles cambios a su estatus político. En primer lugar, se presentan las conclusiones, siguiendo el mismo orden de los capítulos en este informe. Luego se incluye una sección de recomendaciones, en la misma secuencia ya indicada.</w:t>
      </w:r>
    </w:p>
    <w:p w:rsidR="00100E1E" w:rsidRPr="0071276F" w:rsidRDefault="00100E1E" w:rsidP="005A5E7D">
      <w:pPr>
        <w:rPr>
          <w:lang w:val="es-ES_tradnl"/>
        </w:rPr>
      </w:pPr>
    </w:p>
    <w:p w:rsidR="005A5E7D" w:rsidRPr="0071276F" w:rsidRDefault="005A5E7D" w:rsidP="005A5E7D">
      <w:pPr>
        <w:spacing w:line="240" w:lineRule="auto"/>
        <w:rPr>
          <w:sz w:val="8"/>
          <w:lang w:val="es-ES_tradnl"/>
        </w:rPr>
      </w:pPr>
    </w:p>
    <w:p w:rsidR="005A5E7D" w:rsidRPr="0071276F" w:rsidRDefault="005A5E7D" w:rsidP="005A5E7D">
      <w:pPr>
        <w:pStyle w:val="Heading2"/>
        <w:numPr>
          <w:ilvl w:val="0"/>
          <w:numId w:val="10"/>
        </w:numPr>
        <w:rPr>
          <w:lang w:val="es-ES_tradnl"/>
        </w:rPr>
      </w:pPr>
      <w:bookmarkStart w:id="112" w:name="_Toc384769802"/>
      <w:r w:rsidRPr="0071276F">
        <w:rPr>
          <w:lang w:val="es-ES_tradnl"/>
        </w:rPr>
        <w:t>El Congreso de Estados Unidos y los escenarios de estatus</w:t>
      </w:r>
      <w:bookmarkEnd w:id="112"/>
    </w:p>
    <w:p w:rsidR="005A5E7D" w:rsidRPr="0071276F" w:rsidRDefault="005A5E7D" w:rsidP="005A5E7D">
      <w:pPr>
        <w:spacing w:line="240" w:lineRule="auto"/>
        <w:rPr>
          <w:lang w:val="es-ES_tradnl"/>
        </w:rPr>
      </w:pPr>
    </w:p>
    <w:p w:rsidR="005A5E7D" w:rsidRPr="0071276F" w:rsidRDefault="005A5E7D" w:rsidP="005A5E7D">
      <w:pPr>
        <w:ind w:firstLine="706"/>
        <w:rPr>
          <w:szCs w:val="24"/>
          <w:lang w:val="es-ES_tradnl"/>
        </w:rPr>
      </w:pPr>
      <w:r w:rsidRPr="0071276F">
        <w:rPr>
          <w:szCs w:val="24"/>
          <w:lang w:val="es-ES_tradnl"/>
        </w:rPr>
        <w:t xml:space="preserve">La única petición de alteración sustantiva a las relaciones políticas presentes que está sobre la mesa en estos momentos. Es el proyecto de la Cámara de Representantes federal HR 2000 (2013), que propone un voto a favor o en contra de la estadidad como paso previo a la admisión de Puerto Rico como estado de la unión. No obstante, las probabilidades de aprobación de este proyecto de ley son mínimas, luego de que el Congreso de Estados Unidos adoptara la iniciativa, eminentemente procesal, del presidente Barack Obama, la cual está dirigida a facilitar la celebración de un nuevo plebiscito de estatus bajo la responsabilidad del Gobierno de Puerto Rico. </w:t>
      </w:r>
    </w:p>
    <w:p w:rsidR="005A5E7D" w:rsidRDefault="005A5E7D" w:rsidP="005A5E7D">
      <w:pPr>
        <w:ind w:firstLine="708"/>
        <w:rPr>
          <w:szCs w:val="24"/>
          <w:lang w:val="es-ES_tradnl"/>
        </w:rPr>
      </w:pPr>
      <w:r w:rsidRPr="0071276F">
        <w:rPr>
          <w:szCs w:val="24"/>
          <w:lang w:val="es-ES_tradnl"/>
        </w:rPr>
        <w:t>El escenario político e institucional del Congreso, donde se ubica constitucionalmente la resolución del problema del estatus, le impone retos enormes al pueblo de Puerto Rico en su empeño por darle continuidad a los esfuerzos de autodeterminación. En Estados Unidos no parece existir, al momento, un consenso político o académico suficiente para encaminar a corto plazo una alteración exitosa de un cambio del marco jurídico-político. La intensa polarización política interna de Estados Unidos afecta a Puerto Rico de forma directa. En este contexto, es prácticamente imposible impulsar una estrategia partidista dirigida a la alteración del estatus político presente.</w:t>
      </w:r>
    </w:p>
    <w:p w:rsidR="00100E1E" w:rsidRPr="0071276F" w:rsidRDefault="00100E1E" w:rsidP="005A5E7D">
      <w:pPr>
        <w:ind w:firstLine="708"/>
        <w:rPr>
          <w:szCs w:val="24"/>
          <w:lang w:val="es-ES_tradnl"/>
        </w:rPr>
      </w:pPr>
    </w:p>
    <w:p w:rsidR="005A5E7D" w:rsidRPr="0071276F" w:rsidRDefault="005A5E7D" w:rsidP="005A5E7D">
      <w:pPr>
        <w:pStyle w:val="Heading2"/>
        <w:numPr>
          <w:ilvl w:val="0"/>
          <w:numId w:val="10"/>
        </w:numPr>
        <w:rPr>
          <w:szCs w:val="24"/>
          <w:lang w:val="es-ES_tradnl"/>
        </w:rPr>
      </w:pPr>
      <w:r w:rsidRPr="0071276F">
        <w:rPr>
          <w:szCs w:val="24"/>
          <w:lang w:val="es-ES_tradnl"/>
        </w:rPr>
        <w:t xml:space="preserve"> </w:t>
      </w:r>
      <w:bookmarkStart w:id="113" w:name="_Toc384769803"/>
      <w:r w:rsidRPr="0071276F">
        <w:rPr>
          <w:szCs w:val="24"/>
          <w:lang w:val="es-ES_tradnl"/>
        </w:rPr>
        <w:t>Reseña de la literatura sobre el tema bajo estudio</w:t>
      </w:r>
      <w:bookmarkEnd w:id="113"/>
    </w:p>
    <w:p w:rsidR="005A5E7D" w:rsidRPr="0071276F" w:rsidRDefault="005A5E7D" w:rsidP="005A5E7D">
      <w:pPr>
        <w:spacing w:line="240" w:lineRule="auto"/>
        <w:rPr>
          <w:sz w:val="16"/>
          <w:lang w:val="es-ES_tradnl"/>
        </w:rPr>
      </w:pPr>
    </w:p>
    <w:p w:rsidR="005A5E7D" w:rsidRPr="0071276F" w:rsidRDefault="005A5E7D" w:rsidP="005A5E7D">
      <w:pPr>
        <w:rPr>
          <w:szCs w:val="24"/>
          <w:lang w:val="es-ES_tradnl"/>
        </w:rPr>
      </w:pPr>
      <w:r w:rsidRPr="0071276F">
        <w:rPr>
          <w:szCs w:val="24"/>
          <w:lang w:val="es-ES_tradnl"/>
        </w:rPr>
        <w:t xml:space="preserve">Gran parte del debate sobre el modelo de desarrollo y el estatus político ha girado en torno a los costos y beneficios de las diferentes opciones políticas para Puerto Rico </w:t>
      </w:r>
      <w:r w:rsidRPr="0071276F">
        <w:rPr>
          <w:lang w:val="es-ES_tradnl"/>
        </w:rPr>
        <w:t>(</w:t>
      </w:r>
      <w:r w:rsidRPr="0071276F">
        <w:rPr>
          <w:szCs w:val="24"/>
          <w:lang w:val="es-ES_tradnl"/>
        </w:rPr>
        <w:t>estadidad, independencia, Estado Libre Asociado o libre asociación</w:t>
      </w:r>
      <w:r w:rsidRPr="0071276F">
        <w:rPr>
          <w:lang w:val="es-ES_tradnl"/>
        </w:rPr>
        <w:t>)</w:t>
      </w:r>
      <w:r w:rsidRPr="0071276F">
        <w:rPr>
          <w:szCs w:val="24"/>
          <w:lang w:val="es-ES_tradnl"/>
        </w:rPr>
        <w:t xml:space="preserve"> y a la exención contributiva federal como eje de la política de promoción industrial. Sin embargo, el análisis de la literatura </w:t>
      </w:r>
      <w:r w:rsidRPr="0071276F">
        <w:rPr>
          <w:lang w:val="es-ES_tradnl"/>
        </w:rPr>
        <w:t>—</w:t>
      </w:r>
      <w:r w:rsidRPr="0071276F">
        <w:rPr>
          <w:szCs w:val="24"/>
          <w:lang w:val="es-ES_tradnl"/>
        </w:rPr>
        <w:t>especialmente del libro editado por Ruiz y Meléndez (Ruiz, A. y E. Meléndez, 1998)</w:t>
      </w:r>
      <w:r w:rsidRPr="0071276F">
        <w:rPr>
          <w:lang w:val="es-ES_tradnl"/>
        </w:rPr>
        <w:t>—</w:t>
      </w:r>
      <w:r w:rsidRPr="0071276F">
        <w:rPr>
          <w:szCs w:val="24"/>
          <w:lang w:val="es-ES_tradnl"/>
        </w:rPr>
        <w:t xml:space="preserve"> demuestra que ninguna de las fórmulas goza de una ventaja sustancial y que cualquier percepción de tal ventaja realmente depende de los supuestos que sustentan el análisis. Mucha de la literatura de principio de la década del 1990 al 2000 pone énfasis en la Sección 936 del Código de Rentas Internas federal, la cual fue eliminada en el 1995 y se le otorgó un período de transición hasta el año 2005. Nuevos análisis sobre el impacto económico de las diferentes opciones políticas deben evaluar el efecto que ha causado la eliminación de la Sección 936 en la economía de la Puerto Rico.</w:t>
      </w:r>
    </w:p>
    <w:p w:rsidR="005A5E7D" w:rsidRPr="0071276F" w:rsidRDefault="005A5E7D" w:rsidP="005A5E7D">
      <w:pPr>
        <w:rPr>
          <w:szCs w:val="24"/>
          <w:lang w:val="es-ES_tradnl"/>
        </w:rPr>
      </w:pPr>
      <w:r w:rsidRPr="0071276F">
        <w:rPr>
          <w:szCs w:val="24"/>
          <w:lang w:val="es-ES_tradnl"/>
        </w:rPr>
        <w:t xml:space="preserve">E1 verdadero reto está en ir más allá del debate sobre las alternativas políticas. La mayor parte de las recomendaciones de política pública que se derivan de los artículos analizados y reseñados en este estudio </w:t>
      </w:r>
      <w:r w:rsidRPr="0071276F">
        <w:rPr>
          <w:lang w:val="es-ES_tradnl"/>
        </w:rPr>
        <w:t>—</w:t>
      </w:r>
      <w:r w:rsidRPr="0071276F">
        <w:rPr>
          <w:szCs w:val="24"/>
          <w:lang w:val="es-ES_tradnl"/>
        </w:rPr>
        <w:t>incluidos en el Capítulo 2</w:t>
      </w:r>
      <w:r w:rsidRPr="0071276F">
        <w:rPr>
          <w:lang w:val="es-ES_tradnl"/>
        </w:rPr>
        <w:t>—</w:t>
      </w:r>
      <w:r w:rsidRPr="0071276F">
        <w:rPr>
          <w:szCs w:val="24"/>
          <w:lang w:val="es-ES_tradnl"/>
        </w:rPr>
        <w:t xml:space="preserve"> no dependen exclusivamente de la adopción de una alternativa política. De hecho, las tres fórmulas políticas pueden aspirar a beneficiarse de la prosperidad económica. Un mayor desarrollo económico promueve, a su vez, soluciones políticas sin las restricciones que impone el estancamiento económico.</w:t>
      </w:r>
    </w:p>
    <w:p w:rsidR="005A5E7D" w:rsidRPr="0071276F" w:rsidRDefault="005A5E7D" w:rsidP="005A5E7D">
      <w:pPr>
        <w:rPr>
          <w:szCs w:val="24"/>
          <w:lang w:val="es-ES_tradnl"/>
        </w:rPr>
      </w:pPr>
      <w:r w:rsidRPr="0071276F">
        <w:rPr>
          <w:szCs w:val="24"/>
          <w:lang w:val="es-ES_tradnl"/>
        </w:rPr>
        <w:t xml:space="preserve">Cada una de las fórmulas políticas consideradas lleva implícita una serie de ventajas y desventajas, las cuales se han visto seriamente afectadas con la eliminación de la Sección 936. El ELA puede todavía ofrecer una serie de ventajas sobre la estadidad o la independencia. Los reglamentos laborales y ambientales de Puerto Rico, la estructura contributiva de la Isla, los salarios y beneficios, así como otros costos, pueden atraer la inversión de ciertas empresas que preferirían a Puerto Rico sobre otros estados en Estados Unidos. De igual modo, también favorecen al ELA la protección legal y los derechos sobre la propiedad, la integración financiera y otros factores relacionados con la asociación que tiene Puerto Rico con Estados Unidos. En esta reseña, se incluyen recomendaciones que se pueden adoptar sin necesidad de un cambio en el estatus político. </w:t>
      </w:r>
    </w:p>
    <w:p w:rsidR="005A5E7D" w:rsidRPr="0071276F" w:rsidRDefault="005A5E7D" w:rsidP="005A5E7D">
      <w:pPr>
        <w:rPr>
          <w:szCs w:val="24"/>
          <w:lang w:val="es-ES_tradnl"/>
        </w:rPr>
      </w:pPr>
      <w:r w:rsidRPr="0071276F">
        <w:rPr>
          <w:szCs w:val="24"/>
          <w:lang w:val="es-ES_tradnl"/>
        </w:rPr>
        <w:t>La eliminación de la Sección 936 claramente aumenta el atractivo de la estadidad. La mayoría de estudios sobre el ELA suponen la continuación de los beneficios contributivos de la Sección 936. La posibilidad de que los créditos salariales sean menos ventajosos para el ELA que los que ofrecía la Sección 936, aumenta la importancia de las transferencias federales y su impacto en el debate político. En la medida en que el ELA pueda lograr paridad con los estados en lo relativo a programas y presupuesto, también se reducen las ventajas de la estadidad.</w:t>
      </w:r>
    </w:p>
    <w:p w:rsidR="005A5E7D" w:rsidRPr="0071276F" w:rsidRDefault="005A5E7D" w:rsidP="005A5E7D">
      <w:pPr>
        <w:rPr>
          <w:szCs w:val="24"/>
          <w:lang w:val="es-ES_tradnl"/>
        </w:rPr>
      </w:pPr>
      <w:r w:rsidRPr="0071276F">
        <w:rPr>
          <w:szCs w:val="24"/>
          <w:lang w:val="es-ES_tradnl"/>
        </w:rPr>
        <w:t>Desafortunadamente, la paridad en el presupuesto federal se vuelve menos importante cuando los estados tienen mayor responsabilidad fiscal por los programas de asistencia pública y de salud, así como otros programas federales consolidados bajo bloques presupuestarios. En estas condiciones, cuando se están reduciendo las transferencias federales a los estados, la opción de la estadidad pierde el atractivo que tenía en el pasado.</w:t>
      </w:r>
    </w:p>
    <w:p w:rsidR="005A5E7D" w:rsidRPr="0071276F" w:rsidRDefault="005A5E7D" w:rsidP="005A5E7D">
      <w:pPr>
        <w:rPr>
          <w:szCs w:val="24"/>
          <w:lang w:val="es-ES_tradnl"/>
        </w:rPr>
      </w:pPr>
      <w:r w:rsidRPr="0071276F">
        <w:rPr>
          <w:szCs w:val="24"/>
          <w:lang w:val="es-ES_tradnl"/>
        </w:rPr>
        <w:t xml:space="preserve">Se entiende que el problema de las opciones políticas </w:t>
      </w:r>
      <w:r w:rsidRPr="0071276F">
        <w:rPr>
          <w:lang w:val="es-ES_tradnl"/>
        </w:rPr>
        <w:t>no podrá decidirse, ni se decidirá, basándose solamente en consideraciones económicas</w:t>
      </w:r>
      <w:r w:rsidRPr="0071276F">
        <w:rPr>
          <w:szCs w:val="24"/>
          <w:lang w:val="es-ES_tradnl"/>
        </w:rPr>
        <w:t xml:space="preserve">. </w:t>
      </w:r>
      <w:r w:rsidRPr="0071276F">
        <w:rPr>
          <w:lang w:val="es-ES_tradnl"/>
        </w:rPr>
        <w:t>Por ejemplo, Bigelow comentó que “si bien es cierto que los análisis de costo-beneficio económico son herramientas valiosas”, no captan plenamente los aspectos socioculturales del debate sobre el estatus. Sostuvo que la identificación del debate sobre el estatus en el ámbito de las cuestiones morales acomoda mejor todos los aspectos de la condición política de Puerto Rico, incluyendo tanto los que se han estudiado en detalle —análisis económicos e ideológicos— y aquellos que se han ignorado por la erudición tradicional (Bigelow, Justin, 2007).</w:t>
      </w:r>
    </w:p>
    <w:p w:rsidR="005A5E7D" w:rsidRPr="0071276F" w:rsidRDefault="005A5E7D" w:rsidP="005A5E7D">
      <w:pPr>
        <w:rPr>
          <w:szCs w:val="24"/>
          <w:lang w:val="es-ES_tradnl"/>
        </w:rPr>
      </w:pPr>
      <w:r w:rsidRPr="0071276F">
        <w:rPr>
          <w:szCs w:val="24"/>
          <w:lang w:val="es-ES_tradnl"/>
        </w:rPr>
        <w:t>Debates congresionales previos, que consideraron las opciones políticas para Puerto Rico, claramente indican que hay consideraciones culturales, lingüísticas, políticas y raciales que afectan tanto la opinión pública como la postura que adopte el Congreso estadounidense. En muchas áreas, el efecto de un cambio político en Puerto Rico es relativamente mínimo. Por ejemplo, la estadidad o la continuación del ELA producen alteraciones mínimas en la composición o en el nivel migratorio. Solamente las restricciones estructurales asociadas con la independencia afectarían sustancialmente el flujo migratorio.</w:t>
      </w:r>
    </w:p>
    <w:p w:rsidR="005A5E7D" w:rsidRPr="0071276F" w:rsidRDefault="005A5E7D" w:rsidP="005A5E7D">
      <w:pPr>
        <w:rPr>
          <w:szCs w:val="24"/>
          <w:lang w:val="es-ES_tradnl"/>
        </w:rPr>
      </w:pPr>
      <w:r w:rsidRPr="0071276F">
        <w:rPr>
          <w:szCs w:val="24"/>
          <w:lang w:val="es-ES_tradnl"/>
        </w:rPr>
        <w:t xml:space="preserve">Por último, queda advertir que quizás las consecuencias económicas no sean los elementos más críticos cuando los puertorriqueños, o el Congreso, consideren las opciones políticas para Puerto Rico. Los trabajos que se reseñan en el segundo capítulo no entran a considerar </w:t>
      </w:r>
      <w:r w:rsidRPr="0071276F">
        <w:rPr>
          <w:lang w:val="es-ES_tradnl"/>
        </w:rPr>
        <w:t>—</w:t>
      </w:r>
      <w:r w:rsidRPr="0071276F">
        <w:rPr>
          <w:szCs w:val="24"/>
          <w:lang w:val="es-ES_tradnl"/>
        </w:rPr>
        <w:t>por lo menos en forma explícita</w:t>
      </w:r>
      <w:r w:rsidRPr="0071276F">
        <w:rPr>
          <w:lang w:val="es-ES_tradnl"/>
        </w:rPr>
        <w:t>—</w:t>
      </w:r>
      <w:r w:rsidRPr="0071276F">
        <w:rPr>
          <w:szCs w:val="24"/>
          <w:lang w:val="es-ES_tradnl"/>
        </w:rPr>
        <w:t xml:space="preserve"> en el análisis de los posibles efectos de las diferentes opciones políticas sobre la competitividad de la Isla en los mercados mundiales.</w:t>
      </w:r>
    </w:p>
    <w:p w:rsidR="005A5E7D" w:rsidRPr="0071276F" w:rsidRDefault="005A5E7D" w:rsidP="005A5E7D">
      <w:pPr>
        <w:rPr>
          <w:szCs w:val="24"/>
          <w:lang w:val="es-ES_tradnl"/>
        </w:rPr>
      </w:pPr>
      <w:r w:rsidRPr="0071276F">
        <w:rPr>
          <w:szCs w:val="24"/>
          <w:lang w:val="es-ES_tradnl"/>
        </w:rPr>
        <w:t xml:space="preserve">En el informe del Banco de la Reserva Federal de Nueva York (FRBNY, por sus siglas en inglés, 2012) hace cinco recomendaciones encaminadas a aumentar la competitividad de la Isla. Entre las más acertadas se encuentra la necesidad de crear empleos y aumentar la tasa de participación de la fuerza laboral, especialmente entre la población más joven. La de </w:t>
      </w:r>
      <w:r w:rsidRPr="0071276F">
        <w:rPr>
          <w:lang w:val="es-ES_tradnl"/>
        </w:rPr>
        <w:t xml:space="preserve">fomentar las asociaciones entre la industria y los centros de educación superior y las universidades, encaminadas a promover el desarrollo de tecnologías de “importancia mundial” </w:t>
      </w:r>
      <w:r w:rsidRPr="0071276F">
        <w:rPr>
          <w:szCs w:val="24"/>
          <w:lang w:val="es-ES_tradnl"/>
        </w:rPr>
        <w:t xml:space="preserve">es igualmente valiosa. Dos recomendaciones adicionales novedosas son: </w:t>
      </w:r>
      <w:r w:rsidRPr="0071276F">
        <w:rPr>
          <w:lang w:val="es-ES_tradnl"/>
        </w:rPr>
        <w:t>u</w:t>
      </w:r>
      <w:r w:rsidRPr="0071276F">
        <w:rPr>
          <w:szCs w:val="20"/>
          <w:lang w:val="es-ES_tradnl"/>
        </w:rPr>
        <w:t>na propone reducir el salario mínimo para jóvenes como una manera de promover el empleo y la otra recomienda una moratoria en la aplicación de la Ley de Cabotaje.</w:t>
      </w:r>
    </w:p>
    <w:p w:rsidR="005A5E7D" w:rsidRPr="0071276F" w:rsidRDefault="005A5E7D" w:rsidP="005A5E7D">
      <w:pPr>
        <w:rPr>
          <w:szCs w:val="24"/>
          <w:lang w:val="es-ES_tradnl"/>
        </w:rPr>
      </w:pPr>
      <w:r w:rsidRPr="0071276F">
        <w:rPr>
          <w:szCs w:val="24"/>
          <w:lang w:val="es-ES_tradnl"/>
        </w:rPr>
        <w:t>El Banco de la Reserva Federal recomienda una exención temporal,</w:t>
      </w:r>
      <w:r w:rsidRPr="0071276F">
        <w:rPr>
          <w:color w:val="000000"/>
          <w:szCs w:val="24"/>
          <w:lang w:val="es-ES_tradnl"/>
        </w:rPr>
        <w:t xml:space="preserve"> por un término experimental de cinco años,</w:t>
      </w:r>
      <w:r w:rsidRPr="0071276F">
        <w:rPr>
          <w:szCs w:val="24"/>
          <w:lang w:val="es-ES_tradnl"/>
        </w:rPr>
        <w:t xml:space="preserve"> de la Ley Jones en lo que se refiere a la Ley de Cabotaje. Para evaluar esta propuesta debe llevarse a cabo previamente un estudio en el cual se midan los costos comparativos de las diferentes marinas mercantes. Cabe la posibilidad que la desventaja para Puerto Rico bajo este estatuto no sea la que piensan muchos economistas de la Isla.</w:t>
      </w:r>
    </w:p>
    <w:p w:rsidR="005A5E7D" w:rsidRPr="0071276F" w:rsidRDefault="005A5E7D" w:rsidP="005A5E7D">
      <w:pPr>
        <w:rPr>
          <w:szCs w:val="24"/>
          <w:lang w:val="es-ES_tradnl"/>
        </w:rPr>
      </w:pPr>
      <w:r w:rsidRPr="0071276F">
        <w:rPr>
          <w:szCs w:val="24"/>
          <w:lang w:val="es-ES_tradnl"/>
        </w:rPr>
        <w:t xml:space="preserve">Otro punto importante que plantea el informe del Banco de la Reserva Federal tiene que ver con el desarrollo del capital humano. Planteó que aunque la fuerza trabajadora es una de las de mayor nivel educativo del mundo, Puerto Rico todavía sigue rezagado con respecto a la fuerza trabajadora de </w:t>
      </w:r>
      <w:r w:rsidRPr="0071276F">
        <w:rPr>
          <w:lang w:val="es-ES_tradnl"/>
        </w:rPr>
        <w:t xml:space="preserve">Estados Unidos </w:t>
      </w:r>
      <w:r w:rsidRPr="0071276F">
        <w:rPr>
          <w:szCs w:val="24"/>
          <w:lang w:val="es-ES_tradnl"/>
        </w:rPr>
        <w:t>y que existe abundancia de trabajadores poco calificados. El Banco de la Reserva no cubre aspectos relacionados a la baja productividad de la Isla y cómo afecta la competitividad.</w:t>
      </w:r>
    </w:p>
    <w:p w:rsidR="005A5E7D" w:rsidRPr="0071276F" w:rsidRDefault="005A5E7D" w:rsidP="005A5E7D">
      <w:pPr>
        <w:rPr>
          <w:szCs w:val="24"/>
          <w:lang w:val="es-ES_tradnl"/>
        </w:rPr>
      </w:pPr>
      <w:r w:rsidRPr="0071276F">
        <w:rPr>
          <w:szCs w:val="24"/>
          <w:lang w:val="es-ES_tradnl"/>
        </w:rPr>
        <w:t xml:space="preserve">Unos de los mayores obstáculos para el aumento en la competitividad es el deterioro en la productividad parcial del trabajo y la productividad total de los factores, según atestiguan varios estudios. No obstante, los estudios relacionados con el estatus político reseñados en este informe no entran en la discusión de este tema, por lo menos en forma explícita. Cuando se discuten las ventajas y desventajas de uno u otro estatus político, se pueden deducir conclusiones que indiquen alzas o bajas en productividad y, por ende, en la competitividad de la economía. Por ejemplo, la </w:t>
      </w:r>
      <w:r w:rsidRPr="0071276F">
        <w:rPr>
          <w:lang w:val="es-ES_tradnl"/>
        </w:rPr>
        <w:t>Oficina de Presupuesto del Congreso (</w:t>
      </w:r>
      <w:r w:rsidRPr="0071276F">
        <w:rPr>
          <w:i/>
          <w:lang w:val="es-ES_tradnl"/>
        </w:rPr>
        <w:t>Congressional Budget Office</w:t>
      </w:r>
      <w:r w:rsidRPr="0071276F">
        <w:rPr>
          <w:lang w:val="es-ES_tradnl"/>
        </w:rPr>
        <w:t>, CBO)</w:t>
      </w:r>
      <w:r w:rsidRPr="0071276F">
        <w:rPr>
          <w:szCs w:val="24"/>
          <w:lang w:val="es-ES_tradnl"/>
        </w:rPr>
        <w:t xml:space="preserve"> </w:t>
      </w:r>
      <w:r w:rsidRPr="0071276F">
        <w:rPr>
          <w:lang w:val="es-ES_tradnl"/>
        </w:rPr>
        <w:t>argumentó que los promotores del ELA sostienen que dará lugar a una mayor expansión de la inversión directa en la industria manufacturera de Puerto Rico</w:t>
      </w:r>
      <w:r w:rsidRPr="0071276F">
        <w:rPr>
          <w:szCs w:val="24"/>
          <w:lang w:val="es-ES_tradnl"/>
        </w:rPr>
        <w:t xml:space="preserve">. Le dan mayor énfasis a la posibilidad de una mayor inversión por parte de las empresas de fuera de Estados Unidos que podrían invertir en la Isla como expansiones de sus operaciones continentales y otros beneficios adicionales. </w:t>
      </w:r>
      <w:r w:rsidRPr="0071276F">
        <w:rPr>
          <w:lang w:val="es-ES_tradnl"/>
        </w:rPr>
        <w:t>Podríamos inferir de esta aseveración que ello generaría un aumento en la competitividad</w:t>
      </w:r>
      <w:r w:rsidRPr="0071276F">
        <w:rPr>
          <w:szCs w:val="24"/>
          <w:lang w:val="es-ES_tradnl"/>
        </w:rPr>
        <w:t>.</w:t>
      </w:r>
    </w:p>
    <w:p w:rsidR="005A5E7D" w:rsidRPr="0071276F" w:rsidRDefault="005A5E7D" w:rsidP="005A5E7D">
      <w:pPr>
        <w:rPr>
          <w:szCs w:val="24"/>
          <w:lang w:val="es-ES_tradnl"/>
        </w:rPr>
      </w:pPr>
      <w:r w:rsidRPr="0071276F">
        <w:rPr>
          <w:szCs w:val="24"/>
          <w:lang w:val="es-ES_tradnl"/>
        </w:rPr>
        <w:t>Otros efectos económicos posibles en virtud de la independencia son aún más especulativos. Por el lado positivo, la independencia podría conducir a una menor dependencia económica, la mejora de políticas arancelarias, costos de envío reducidos y otros beneficios no cuantificables. Sin embargo, el acceso de un Puerto Rico independiente a los mercados financieros de Estados Unidos sería menos ventajoso que bajo el estado actual o bajo la estadidad.</w:t>
      </w:r>
    </w:p>
    <w:p w:rsidR="005A5E7D" w:rsidRPr="0071276F" w:rsidRDefault="005A5E7D" w:rsidP="005A5E7D">
      <w:pPr>
        <w:rPr>
          <w:szCs w:val="24"/>
          <w:lang w:val="es-ES_tradnl"/>
        </w:rPr>
      </w:pPr>
      <w:r w:rsidRPr="0071276F">
        <w:rPr>
          <w:szCs w:val="24"/>
          <w:lang w:val="es-ES_tradnl"/>
        </w:rPr>
        <w:t xml:space="preserve">Otra posibilidad es que, bajo la independencia, la nueva nación tendría dificultades de endeudamiento a cualquier tasa de interés, como lo han hecho otros países en desarrollo en los últimos años. Este resultado pesimista sería más probable si la inversión directa en Puerto Rico se redujese, lo que conduciría a un menor crecimiento de las exportaciones </w:t>
      </w:r>
      <w:r w:rsidRPr="0071276F">
        <w:rPr>
          <w:lang w:val="es-ES_tradnl"/>
        </w:rPr>
        <w:t xml:space="preserve">de la Isla </w:t>
      </w:r>
      <w:r w:rsidRPr="0071276F">
        <w:rPr>
          <w:szCs w:val="24"/>
          <w:lang w:val="es-ES_tradnl"/>
        </w:rPr>
        <w:t>y, a su vez, a una menor aportación de la inversión al financiamiento del déficit de la balanza de pagos. En este caso, no se pueden inferir conclusiones contundentes en cuanto al impacto en la competitividad.</w:t>
      </w:r>
    </w:p>
    <w:p w:rsidR="005A5E7D" w:rsidRPr="0071276F" w:rsidRDefault="005A5E7D" w:rsidP="005A5E7D">
      <w:pPr>
        <w:rPr>
          <w:szCs w:val="24"/>
          <w:lang w:val="es-ES_tradnl"/>
        </w:rPr>
      </w:pPr>
      <w:r w:rsidRPr="0071276F">
        <w:rPr>
          <w:szCs w:val="24"/>
          <w:lang w:val="es-ES_tradnl"/>
        </w:rPr>
        <w:t>La literatura reseñada incluye trabajos que aunque no se refieren directamente a los costos y beneficios de las diferentes opciones de estatus, inciden sobre la situación actual de la economía de Puerto Rico y hacen valiosas recomendaciones para mejorar la situación actual sin necesidad de un cambio de estatus. Uno de estos aspectos está relacionado con la globalización. La inserción de la Isla en el proceso de globalización incide en el desarrollo económico de Puerto Rico. La estrategia de crecimiento económico de los Gobiernos locales se ha centrado históricamente en atraer inversiones extranjeras y de Estados Unidos. Esta política ha dado lugar a una falla en el desarrollo de sectores locales exportadores competitivos. La “falla” en promover la inversión manufacturera de la Isla no solo para la producción para el mercado local sino también para la exportación, ha sido una de las críticas continuas en diversos informes y artículos.</w:t>
      </w:r>
    </w:p>
    <w:p w:rsidR="005A5E7D" w:rsidRPr="0071276F" w:rsidRDefault="005A5E7D" w:rsidP="005A5E7D">
      <w:pPr>
        <w:spacing w:line="240" w:lineRule="auto"/>
        <w:rPr>
          <w:szCs w:val="24"/>
          <w:lang w:val="es-ES_tradnl"/>
        </w:rPr>
      </w:pPr>
    </w:p>
    <w:p w:rsidR="00100E1E" w:rsidRDefault="00100E1E">
      <w:pPr>
        <w:spacing w:line="240" w:lineRule="auto"/>
        <w:ind w:firstLine="0"/>
        <w:jc w:val="left"/>
        <w:rPr>
          <w:rFonts w:eastAsia="Times New Roman"/>
          <w:b/>
          <w:bCs/>
          <w:color w:val="4F81BD" w:themeColor="accent1"/>
          <w:sz w:val="28"/>
          <w:szCs w:val="26"/>
          <w:lang w:val="es-ES_tradnl"/>
        </w:rPr>
      </w:pPr>
      <w:r>
        <w:rPr>
          <w:lang w:val="es-ES_tradnl"/>
        </w:rPr>
        <w:br w:type="page"/>
      </w:r>
    </w:p>
    <w:p w:rsidR="005A5E7D" w:rsidRPr="0071276F" w:rsidRDefault="005A5E7D" w:rsidP="005A5E7D">
      <w:pPr>
        <w:pStyle w:val="Heading2"/>
        <w:numPr>
          <w:ilvl w:val="0"/>
          <w:numId w:val="10"/>
        </w:numPr>
        <w:rPr>
          <w:lang w:val="es-ES_tradnl"/>
        </w:rPr>
      </w:pPr>
      <w:bookmarkStart w:id="114" w:name="_Toc384769804"/>
      <w:r w:rsidRPr="0071276F">
        <w:rPr>
          <w:lang w:val="es-ES_tradnl"/>
        </w:rPr>
        <w:t>Reestructuración del sistema fiscal bajo la estadidad</w:t>
      </w:r>
      <w:bookmarkEnd w:id="114"/>
    </w:p>
    <w:p w:rsidR="005A5E7D" w:rsidRPr="0071276F" w:rsidRDefault="005A5E7D" w:rsidP="005A5E7D">
      <w:pPr>
        <w:spacing w:line="360" w:lineRule="auto"/>
        <w:rPr>
          <w:lang w:val="es-ES_tradnl"/>
        </w:rPr>
      </w:pPr>
    </w:p>
    <w:p w:rsidR="005A5E7D" w:rsidRPr="0071276F" w:rsidRDefault="005A5E7D" w:rsidP="005A5E7D">
      <w:pPr>
        <w:suppressAutoHyphens/>
        <w:ind w:firstLine="706"/>
        <w:rPr>
          <w:lang w:val="es-ES_tradnl" w:eastAsia="ar-SA"/>
        </w:rPr>
      </w:pPr>
      <w:r w:rsidRPr="0071276F">
        <w:rPr>
          <w:lang w:val="es-ES_tradnl" w:eastAsia="ar-SA"/>
        </w:rPr>
        <w:t>Llaman la atención dos aspectos significativos sobre la estructura fiscal de Puerto Rico, en comparación con la de los 50 estados. Se encontró que las aportaciones federales al Gobierno de Puerto Rico representan la misma proporción (36%) que para los estados. A su vez, la participación relativa de la contribución sobre el ingreso de los individuos también es similar, con 16% en los estados versus 17% en Puerto Rico.</w:t>
      </w:r>
    </w:p>
    <w:p w:rsidR="005A5E7D" w:rsidRPr="0071276F" w:rsidRDefault="005A5E7D" w:rsidP="005A5E7D">
      <w:pPr>
        <w:ind w:firstLine="706"/>
        <w:rPr>
          <w:rFonts w:eastAsia="+mn-ea" w:cs="Calibri"/>
          <w:color w:val="000000"/>
          <w:lang w:val="es-ES_tradnl" w:eastAsia="ar-SA"/>
        </w:rPr>
      </w:pPr>
      <w:r w:rsidRPr="0071276F">
        <w:rPr>
          <w:rFonts w:eastAsia="+mn-ea" w:cs="Calibri"/>
          <w:color w:val="000000"/>
          <w:lang w:val="es-ES_tradnl" w:eastAsia="ar-SA"/>
        </w:rPr>
        <w:t>Si el Gobierno de Puerto Rico hubiese recibido la misma cantidad de transferencias per cápita que recibieron en promedio los estados en el 2011, las transferencias federales al Gobierno hubiesen aumentado de $4,482 millones a $7,750 millones. La razón más importante para este aumento sería los cambios en las aportaciones al programa de Medicaid.</w:t>
      </w:r>
    </w:p>
    <w:p w:rsidR="005A5E7D" w:rsidRPr="0071276F" w:rsidRDefault="005A5E7D" w:rsidP="005A5E7D">
      <w:pPr>
        <w:suppressAutoHyphens/>
        <w:ind w:firstLine="706"/>
        <w:rPr>
          <w:lang w:val="es-ES_tradnl" w:eastAsia="ar-SA"/>
        </w:rPr>
      </w:pPr>
      <w:r w:rsidRPr="0071276F">
        <w:rPr>
          <w:lang w:val="es-ES_tradnl" w:eastAsia="ar-SA"/>
        </w:rPr>
        <w:t>Si Puerto Rico hubiese alcanzado el mismo gasto per cápita promedio que los estados ($1,287), el gasto total en Medicaid en Puerto Rico habría sido $4,700 millones. Bajo la premisa de que a Puerto Rico le aplicaría la tasa máxima de pareo, esto podría significar hasta un máximo de $3,900 millones en aportaciones federales para Medicaid. A su vez, si se asignara el gast</w:t>
      </w:r>
      <w:r>
        <w:rPr>
          <w:lang w:val="es-ES_tradnl" w:eastAsia="ar-SA"/>
        </w:rPr>
        <w:t>o mínimo per cápita que en Misisi</w:t>
      </w:r>
      <w:r w:rsidRPr="0071276F">
        <w:rPr>
          <w:lang w:val="es-ES_tradnl" w:eastAsia="ar-SA"/>
        </w:rPr>
        <w:t xml:space="preserve">pi de $1,492, el gasto total de Medicaid en Puerto Rico hubiese sido $5,500 millones. </w:t>
      </w:r>
    </w:p>
    <w:p w:rsidR="005A5E7D" w:rsidRPr="0071276F" w:rsidRDefault="005A5E7D" w:rsidP="005A5E7D">
      <w:pPr>
        <w:rPr>
          <w:rFonts w:eastAsia="SimSun"/>
          <w:color w:val="C32D2E"/>
          <w:lang w:val="es-ES_tradnl" w:eastAsia="ar-SA"/>
        </w:rPr>
      </w:pPr>
      <w:r w:rsidRPr="0071276F">
        <w:rPr>
          <w:lang w:val="es-ES_tradnl" w:eastAsia="ar-SA"/>
        </w:rPr>
        <w:t>A pesar de que los impuestos per cápita en Puerto Rico son más bajos (aunque no significativamente distintos) al promedio para los 50 estados, la carga tributaria es significativamente mayor, tanto cuando se mide como la razón entre impuestos totales y PNB o como la razón entre impuestos per cápita e ingreso personal per cápita.</w:t>
      </w:r>
      <w:r w:rsidRPr="0071276F">
        <w:rPr>
          <w:rFonts w:eastAsia="SimSun"/>
          <w:color w:val="C32D2E"/>
          <w:lang w:val="es-ES_tradnl" w:eastAsia="ar-SA"/>
        </w:rPr>
        <w:t xml:space="preserve"> </w:t>
      </w:r>
      <w:r w:rsidRPr="0071276F">
        <w:rPr>
          <w:lang w:val="es-ES_tradnl" w:eastAsia="ar-SA"/>
        </w:rPr>
        <w:t xml:space="preserve">Esto presenta un reto importante en caso de que la Isla fuese a incorporarse totalmente al sistema fiscal federal. Esto es así debido a que en el caso de los estados los impuestos se canalizan a través del Gobierno federal, que luego los revierte a los estados por vía de programas de subvenciones y otras transferencias, las que a su vez responden a las prioridades del Gobierno federal. Por el contrario, Puerto Rico recibe muchas de dichas subvenciones, pero sin ceder la mayoría de sus recaudos al Gobierno federal. </w:t>
      </w:r>
    </w:p>
    <w:p w:rsidR="005A5E7D" w:rsidRPr="0071276F" w:rsidRDefault="004C2F35" w:rsidP="005A5E7D">
      <w:pPr>
        <w:rPr>
          <w:lang w:val="es-ES_tradnl" w:eastAsia="ar-SA"/>
        </w:rPr>
      </w:pPr>
      <w:r w:rsidRPr="003A21B9">
        <w:rPr>
          <w:lang w:eastAsia="ar-SA"/>
        </w:rPr>
        <w:t>Se estim</w:t>
      </w:r>
      <w:r>
        <w:rPr>
          <w:lang w:eastAsia="ar-SA"/>
        </w:rPr>
        <w:t>ó</w:t>
      </w:r>
      <w:r w:rsidRPr="003A21B9">
        <w:rPr>
          <w:lang w:eastAsia="ar-SA"/>
        </w:rPr>
        <w:t xml:space="preserve"> que los indivi</w:t>
      </w:r>
      <w:r>
        <w:rPr>
          <w:lang w:eastAsia="ar-SA"/>
        </w:rPr>
        <w:t>duos en Puerto Rico pagarían $1,</w:t>
      </w:r>
      <w:r w:rsidRPr="003A21B9">
        <w:rPr>
          <w:lang w:eastAsia="ar-SA"/>
        </w:rPr>
        <w:t>92</w:t>
      </w:r>
      <w:r>
        <w:rPr>
          <w:lang w:eastAsia="ar-SA"/>
        </w:rPr>
        <w:t>0 m</w:t>
      </w:r>
      <w:r w:rsidRPr="003A21B9">
        <w:rPr>
          <w:lang w:eastAsia="ar-SA"/>
        </w:rPr>
        <w:t>illones adicionales en contribuciones federales por concepto del ingreso de individuos.</w:t>
      </w:r>
      <w:r>
        <w:rPr>
          <w:lang w:eastAsia="ar-SA"/>
        </w:rPr>
        <w:t xml:space="preserve">  </w:t>
      </w:r>
      <w:r w:rsidR="005A5E7D" w:rsidRPr="0071276F">
        <w:rPr>
          <w:lang w:val="es-ES_tradnl" w:eastAsia="ar-SA"/>
        </w:rPr>
        <w:t>Las corporaciones radicadas en Puerto Rico sujetas a contribución regular podrían pagar $758 millones al fisco federal. Por otro lado, las empresas radicadas en Puerto Rico que actualmente reciben incentivos contributivos tendrían que pagar impuestos sustanciales al Gobierno federal, lo que deja sin efecto la estrategia de atracción de inversión por muchos años utilizada en Puerto Rico de ser un paraíso fiscal. Dichas empresas aportaron al fisco de Puerto Rico $306 millones en el 2011, los cuales probablemente dejarían de recibirse si se relocalizan fuera de la Isla. La diferencia mayor en el impuesto corporativo federal que pagarían las empresas radicadas en Puerto Rico, surge precisamente del pago que tendrían que realizar las empresas que actualmente se consideran exentas. Se evidencia que una vez dichas empresas estén sujetas al pago de contribuciones federales, la ventaja competitiva de Puerto Rico para retenerlas se afectaría de manera significativa.</w:t>
      </w:r>
    </w:p>
    <w:p w:rsidR="005A5E7D" w:rsidRPr="0071276F" w:rsidRDefault="005A5E7D" w:rsidP="005A5E7D">
      <w:pPr>
        <w:rPr>
          <w:lang w:val="es-ES_tradnl" w:eastAsia="ar-SA"/>
        </w:rPr>
      </w:pPr>
      <w:r w:rsidRPr="0071276F">
        <w:rPr>
          <w:lang w:val="es-ES_tradnl" w:eastAsia="ar-SA"/>
        </w:rPr>
        <w:t xml:space="preserve">La aplicabilidad de la Ley 154 a las empresas estadounidenses </w:t>
      </w:r>
      <w:r w:rsidRPr="0071276F">
        <w:rPr>
          <w:lang w:val="es-ES_tradnl"/>
        </w:rPr>
        <w:t>—</w:t>
      </w:r>
      <w:r w:rsidRPr="0071276F">
        <w:rPr>
          <w:color w:val="000000"/>
          <w:szCs w:val="24"/>
          <w:lang w:val="es-ES_tradnl"/>
        </w:rPr>
        <w:t>sujetas a este impuesto</w:t>
      </w:r>
      <w:r w:rsidRPr="0071276F">
        <w:rPr>
          <w:lang w:val="es-ES_tradnl"/>
        </w:rPr>
        <w:t>—</w:t>
      </w:r>
      <w:r w:rsidRPr="0071276F">
        <w:rPr>
          <w:lang w:val="es-ES_tradnl" w:eastAsia="ar-SA"/>
        </w:rPr>
        <w:t xml:space="preserve"> quedaría anulada con la estadidad, obligando al Gobierno a buscar formas alternas y efectivas de sustituir dicho ingreso. </w:t>
      </w:r>
      <w:r w:rsidRPr="0071276F">
        <w:rPr>
          <w:lang w:val="es-ES_tradnl"/>
        </w:rPr>
        <w:t xml:space="preserve">Esta ley grava las ventas a las afiliadas de las subsidiarias de empresas extranjeras que operan en Puerto Rico. </w:t>
      </w:r>
      <w:r w:rsidRPr="0071276F">
        <w:rPr>
          <w:lang w:val="es-ES_tradnl" w:eastAsia="ar-SA"/>
        </w:rPr>
        <w:t>Aplica a individuos no residentes y a corporaciones o sociedades extranjeras. El arbitrio se implantó como sustituto (</w:t>
      </w:r>
      <w:r w:rsidRPr="0071276F">
        <w:rPr>
          <w:i/>
          <w:lang w:val="es-ES_tradnl" w:eastAsia="ar-SA"/>
        </w:rPr>
        <w:t xml:space="preserve">in lieu of) </w:t>
      </w:r>
      <w:r w:rsidRPr="0071276F">
        <w:rPr>
          <w:lang w:val="es-ES_tradnl" w:eastAsia="ar-SA"/>
        </w:rPr>
        <w:t>de un impuesto al ingreso.</w:t>
      </w:r>
    </w:p>
    <w:p w:rsidR="005A5E7D" w:rsidRPr="0071276F" w:rsidRDefault="005A5E7D" w:rsidP="005A5E7D">
      <w:pPr>
        <w:rPr>
          <w:lang w:val="es-ES_tradnl" w:eastAsia="ar-SA"/>
        </w:rPr>
      </w:pPr>
      <w:r w:rsidRPr="0071276F">
        <w:rPr>
          <w:lang w:val="es-ES_tradnl" w:eastAsia="ar-SA"/>
        </w:rPr>
        <w:t xml:space="preserve">El 30 de marzo de 2011, el </w:t>
      </w:r>
      <w:r w:rsidRPr="0071276F">
        <w:rPr>
          <w:lang w:val="es-ES_tradnl"/>
        </w:rPr>
        <w:t>Servicio de Rentas Internas federal (IRS, por sus siglas en inglés)</w:t>
      </w:r>
      <w:r w:rsidRPr="0071276F">
        <w:rPr>
          <w:lang w:val="es-ES_tradnl" w:eastAsia="ar-SA"/>
        </w:rPr>
        <w:t xml:space="preserve"> hizo un pronunciamiento temporal de que se acreditará a las empresas afiliadas el pago de arbitrios en Puerto Rico, bajo el amparo de las secciones 901 y 903 del Código de Rentas Internas de Estados Unidos. Mientras se evalúa la aplicabilidad y constitucionalidad de la Ley, se otorgan créditos contributivos por los impuestos pagados en países extranjeros. Sin embargo, el IRS aún no ha hecho un pronunciamiento permanente al respecto.</w:t>
      </w:r>
    </w:p>
    <w:p w:rsidR="005A5E7D" w:rsidRPr="0071276F" w:rsidRDefault="005A5E7D" w:rsidP="005A5E7D">
      <w:pPr>
        <w:rPr>
          <w:lang w:val="es-ES_tradnl" w:eastAsia="ar-SA"/>
        </w:rPr>
      </w:pPr>
      <w:r w:rsidRPr="0071276F">
        <w:rPr>
          <w:lang w:val="es-ES_tradnl" w:eastAsia="ar-SA"/>
        </w:rPr>
        <w:t>La estadidad eliminaría la posibilidad de que las empresas estadounidenses que operan en Puerto Rico se definan como corporaciones foráneas bajo la Sección 901, lo que las excluiría de la aplicación de la Ley 154 de 2010 de Puerto Rico. Consecuentemente, la estadidad limitaría que dichas empresas puedan reducir su carga tributaria a nivel federal y aumentaría la posibilidad de que se relocalicen. Toda vez que las empresas foráneas se concentran en el sector manufacturero, su relocalización provocaría una reducción significativa en el empleo de dicho sector. La pérdida de empleos en el sector privado podría agudizarse por la mayor incidencia que tendrían los impuestos corporativos a nivel federal sobre las empresas de Puerto Rico.</w:t>
      </w:r>
    </w:p>
    <w:p w:rsidR="005A5E7D" w:rsidRPr="0071276F" w:rsidRDefault="005A5E7D" w:rsidP="005A5E7D">
      <w:pPr>
        <w:rPr>
          <w:lang w:val="es-ES_tradnl" w:eastAsia="ar-SA"/>
        </w:rPr>
      </w:pPr>
      <w:r w:rsidRPr="0071276F">
        <w:rPr>
          <w:lang w:val="es-ES_tradnl" w:eastAsia="ar-SA"/>
        </w:rPr>
        <w:t xml:space="preserve"> La potencial eliminación de los recaudos por concepto de la Ley 154 es sumamente importante, ya que los arbitrios por concepto de esta ley han ido en aumento y, ante la situación recesionaria actual, el Gobierno ha pospuesto la disminución gradual de dicho arbitrio tal y como fue concebido originalmente. De $677.9 millones en el 2011, los recaudos de las corporaciones foráneas aumentaron a $1,883 millones en el 2012, lo que equivale al 23.5% de los recaudos de impuestos del Gobierno en dicho año. Por tanto, la probable reducción en los recaudos de las corporaciones foráneas, bajo la opción de la estadidad, tendría un efecto detrimental en los ingresos fiscales.</w:t>
      </w:r>
    </w:p>
    <w:p w:rsidR="005A5E7D" w:rsidRPr="0071276F" w:rsidRDefault="005A5E7D" w:rsidP="005A5E7D">
      <w:pPr>
        <w:rPr>
          <w:lang w:val="es-ES_tradnl" w:eastAsia="ar-SA"/>
        </w:rPr>
      </w:pPr>
      <w:r w:rsidRPr="0071276F">
        <w:rPr>
          <w:lang w:val="es-ES_tradnl" w:eastAsia="ar-SA"/>
        </w:rPr>
        <w:t xml:space="preserve">Queda claro que la incorporación de Puerto Rico al sistema fiscal federal representa un reto, en la medida en que tendría que reformularse la estructura contributiva y en particular los impuestos corporativos. Mientras mayor sea el efecto sobre las corporaciones, mayor es la probabilidad de que el Gobierno de Puerto Rico se vea presionado a reducir la proporción del ingreso que proviene de contribuciones a corporaciones, asemejándose más a la norma entre los estados. La necesidad de reducir el impuesto corporativo llevaría a reducir el alcance del Gobierno, especialmente con relación a los programas no subvencionados por el Gobierno federal, o incluso a tener que aumentar las contribuciones a los individuos. </w:t>
      </w:r>
    </w:p>
    <w:p w:rsidR="005A5E7D" w:rsidRPr="0071276F" w:rsidRDefault="005A5E7D" w:rsidP="005A5E7D">
      <w:pPr>
        <w:rPr>
          <w:lang w:val="es-ES_tradnl" w:eastAsia="ar-SA"/>
        </w:rPr>
      </w:pPr>
      <w:r w:rsidRPr="0071276F">
        <w:rPr>
          <w:lang w:val="es-ES_tradnl" w:eastAsia="ar-SA"/>
        </w:rPr>
        <w:t xml:space="preserve">Aun sin aumentar los impuestos al ingreso de individuos a nivel estatal, la extensión del impuesto federal a la Isla aumentaría la carga impositiva para los contribuyentes con ingresos medianos y altos. Este efecto contributivo adverso puede aumentar aún más las tendencias emigratorias y la fuga de cerebros. </w:t>
      </w:r>
    </w:p>
    <w:p w:rsidR="005A5E7D" w:rsidRPr="0071276F" w:rsidRDefault="005A5E7D" w:rsidP="005A5E7D">
      <w:pPr>
        <w:rPr>
          <w:lang w:val="es-ES_tradnl" w:eastAsia="ar-SA"/>
        </w:rPr>
      </w:pPr>
      <w:r w:rsidRPr="0071276F">
        <w:rPr>
          <w:lang w:val="es-ES_tradnl" w:eastAsia="ar-SA"/>
        </w:rPr>
        <w:t>Hay dos aspectos que afectan los recaudos contributivos bajo la estadidad: la pérdida de recaudos por concepto de la Ley 154 y la presión para reducir el impuesto corporativo. Paradójicamente, la actual situación de deuda pública en la Isla y los compromisos contraídos por COFINA limitan la posibilidad de reducir los impuestos en el corto plazo.</w:t>
      </w:r>
      <w:r w:rsidRPr="0071276F">
        <w:rPr>
          <w:vertAlign w:val="superscript"/>
          <w:lang w:val="es-ES_tradnl" w:eastAsia="ar-SA"/>
        </w:rPr>
        <w:footnoteReference w:id="56"/>
      </w:r>
      <w:r w:rsidRPr="0071276F">
        <w:rPr>
          <w:lang w:val="es-ES_tradnl" w:eastAsia="ar-SA"/>
        </w:rPr>
        <w:t xml:space="preserve"> Las alternativas restantes serían aumentar los impuestos a los individuos o reducir el tamaño y alcance del Gobierno. </w:t>
      </w:r>
    </w:p>
    <w:p w:rsidR="005A5E7D" w:rsidRPr="0071276F" w:rsidRDefault="005A5E7D" w:rsidP="005A5E7D">
      <w:pPr>
        <w:rPr>
          <w:lang w:val="es-ES_tradnl" w:eastAsia="ar-SA"/>
        </w:rPr>
      </w:pPr>
      <w:r w:rsidRPr="0071276F">
        <w:rPr>
          <w:lang w:val="es-ES_tradnl" w:eastAsia="ar-SA"/>
        </w:rPr>
        <w:t>Se concluye que, bajo la opción de la estadidad, Puerto Rico perdería la autonomía fiscal que tiene hoy día. La autonomía fiscal permite que se eximan individuos y corporaciones, tanto de la Isla como foráneas, del pago de contribuciones sobre ingresos cuya fuente se deriva en la Isla. En consecuencia, sería imperativo un cambio en la estructura fiscal, con ajustes que dependerán de los cambios en las transferencias y tributos federales a imponerse; del período de transición otorgado, los objetivos con respecto al cumplimiento de neutralidad fiscal federal; y de cualesquiera subvenciones de estadidad (</w:t>
      </w:r>
      <w:r w:rsidRPr="0071276F">
        <w:rPr>
          <w:i/>
          <w:lang w:val="es-ES_tradnl" w:eastAsia="ar-SA"/>
        </w:rPr>
        <w:t>statehood grants</w:t>
      </w:r>
      <w:r w:rsidRPr="0071276F">
        <w:rPr>
          <w:lang w:val="es-ES_tradnl" w:eastAsia="ar-SA"/>
        </w:rPr>
        <w:t xml:space="preserve">) a legislarse en el caso particular de Puerto Rico. </w:t>
      </w:r>
    </w:p>
    <w:p w:rsidR="005A5E7D" w:rsidRPr="0071276F" w:rsidRDefault="005A5E7D" w:rsidP="005A5E7D">
      <w:pPr>
        <w:rPr>
          <w:lang w:val="es-ES_tradnl" w:eastAsia="ar-SA"/>
        </w:rPr>
      </w:pPr>
      <w:r w:rsidRPr="0071276F">
        <w:rPr>
          <w:lang w:val="es-ES_tradnl" w:eastAsia="ar-SA"/>
        </w:rPr>
        <w:t xml:space="preserve">Se evaluaron posibles cambios a la estructura fiscal de Puerto Rico bajo los siguientes supuestos: que el Gobierno de la Isla recibiera las mismas transferencias federales per cápita que cada uno de cuatro estados seleccionado y que el sistema tributario en Puerto Rico se ajustara de manera que tuviese la misma razón de impuestos per cápita a ingreso personal per cápita que cada uno de los estados. Los ingresos fiscales en Puerto Rico se reducirían en comparación con Alabama y el promedio de los 50 estados. Por el contrario, al hacer la simulación con relación a Misisipi, Nuevo México y Hawái </w:t>
      </w:r>
      <w:r w:rsidRPr="0071276F">
        <w:rPr>
          <w:lang w:val="es-ES_tradnl"/>
        </w:rPr>
        <w:t>—</w:t>
      </w:r>
      <w:r w:rsidRPr="0071276F">
        <w:rPr>
          <w:lang w:val="es-ES_tradnl" w:eastAsia="ar-SA"/>
        </w:rPr>
        <w:t>que reciben transferencias altas</w:t>
      </w:r>
      <w:r w:rsidRPr="0071276F">
        <w:rPr>
          <w:lang w:val="es-ES_tradnl"/>
        </w:rPr>
        <w:t>—</w:t>
      </w:r>
      <w:r w:rsidRPr="0071276F">
        <w:rPr>
          <w:lang w:val="es-ES_tradnl" w:eastAsia="ar-SA"/>
        </w:rPr>
        <w:t xml:space="preserve"> las rentas fiscales aumentarían. Bajo estos distintos escenarios, la dependencia del Gobierno de las aportaciones federales fluctuaría entre un 59.1% (con respecto a Hawái) y un 71.1% (con respecto a Nuevo México). </w:t>
      </w:r>
    </w:p>
    <w:p w:rsidR="005A5E7D" w:rsidRPr="0071276F" w:rsidRDefault="005A5E7D" w:rsidP="005A5E7D">
      <w:pPr>
        <w:rPr>
          <w:lang w:val="es-ES_tradnl" w:eastAsia="ar-SA"/>
        </w:rPr>
      </w:pPr>
      <w:r w:rsidRPr="0071276F">
        <w:rPr>
          <w:lang w:val="es-ES_tradnl" w:eastAsia="ar-SA"/>
        </w:rPr>
        <w:t>Se reconoce que uno de los propósitos de los programas de los gobiernos estatales subvencionados con las aportaciones federales es promover que adopten las prioridades de política pública establecidas por el Gobierno federal. En la medida en que el Gobierno de Puerto Rico aumente su dependencia de aportaciones federales, es de esperarse que se reduzca aún más su autonomía en la implantación de política pública.</w:t>
      </w:r>
    </w:p>
    <w:p w:rsidR="005A5E7D" w:rsidRPr="0071276F" w:rsidRDefault="005A5E7D" w:rsidP="005A5E7D">
      <w:pPr>
        <w:rPr>
          <w:lang w:val="es-ES_tradnl" w:eastAsia="ar-SA"/>
        </w:rPr>
      </w:pPr>
      <w:r w:rsidRPr="0071276F">
        <w:rPr>
          <w:lang w:val="es-ES_tradnl" w:eastAsia="ar-SA"/>
        </w:rPr>
        <w:t>La reestructuración del gasto bajo la estadidad causaría un aumento en los gastos del programa Mi Salud, al aumentar la tasa de pareo del Gobierno federal para el programa. Es de esperarse que el gasto en salud tenga prioridad para Puerto Rico, ya que se ha demostrado que aunque los estados más pobres tienen menor capacidad para gastar en programas de bienestar, mantienen su gasto en salud subsidiados por el Gobierno federal. En la medida en que los gastos en salud continúen creciendo o que el Gobierno se vea en la obligación de reducir recaudos de fuentes propias, podría darse una eventual reducción en otros programas sociales.</w:t>
      </w:r>
    </w:p>
    <w:p w:rsidR="005A5E7D" w:rsidRPr="0071276F" w:rsidRDefault="005A5E7D" w:rsidP="005A5E7D">
      <w:pPr>
        <w:rPr>
          <w:lang w:val="es-ES_tradnl" w:eastAsia="ar-SA"/>
        </w:rPr>
      </w:pPr>
      <w:r w:rsidRPr="0071276F">
        <w:rPr>
          <w:noProof/>
          <w:lang w:val="es-ES_tradnl" w:eastAsia="ar-SA"/>
        </w:rPr>
        <w:t xml:space="preserve">El crecimiento de las aportaciones para los programas de salud </w:t>
      </w:r>
      <w:r w:rsidRPr="0071276F">
        <w:rPr>
          <w:lang w:val="es-ES_tradnl"/>
        </w:rPr>
        <w:t>—</w:t>
      </w:r>
      <w:r w:rsidRPr="0071276F">
        <w:rPr>
          <w:noProof/>
          <w:lang w:val="es-ES_tradnl" w:eastAsia="ar-SA"/>
        </w:rPr>
        <w:t>evidenciado en la Isla durante los últimos 20 años</w:t>
      </w:r>
      <w:r w:rsidRPr="0071276F">
        <w:rPr>
          <w:lang w:val="es-ES_tradnl"/>
        </w:rPr>
        <w:t>—</w:t>
      </w:r>
      <w:r w:rsidRPr="0071276F">
        <w:rPr>
          <w:noProof/>
          <w:lang w:val="es-ES_tradnl" w:eastAsia="ar-SA"/>
        </w:rPr>
        <w:t xml:space="preserve"> se ha neutralizado con una disminución de tamaño similar en las aportaciones federales para programas de transportación, educación y desarrollo regional. Estas tendencias explican algunas diferencias entre los gastos actuales del Gobierno de Puerto Rico versus los estados, a la vez que arrojan luz sobre como cambiaría la composición de los gastos del Gobierno bajo la estadidad.</w:t>
      </w:r>
      <w:r w:rsidRPr="0071276F">
        <w:rPr>
          <w:lang w:val="es-ES_tradnl" w:eastAsia="ar-SA"/>
        </w:rPr>
        <w:t xml:space="preserve"> La reducción de recaudos de fuentes locales también obligaría a la reducción de servicios que no reciban mayores subvenciones federales. </w:t>
      </w:r>
    </w:p>
    <w:p w:rsidR="005A5E7D" w:rsidRPr="0071276F" w:rsidRDefault="005A5E7D" w:rsidP="005A5E7D">
      <w:pPr>
        <w:rPr>
          <w:rFonts w:cs="Calibri"/>
          <w:lang w:val="es-ES_tradnl" w:eastAsia="ar-SA"/>
        </w:rPr>
      </w:pPr>
      <w:r w:rsidRPr="0071276F">
        <w:rPr>
          <w:rFonts w:cs="Calibri"/>
          <w:lang w:val="es-ES_tradnl" w:eastAsia="ar-SA"/>
        </w:rPr>
        <w:t>De Puerto Rico ser estado, se estima que las aportaciones federales pudiesen llegar a ser entre el 58% al 71% de los ingresos fiscales, a base de la experiencia promedio de los 50 estados y la experiencia de estados particulares. Esta dependencia compromete el desarrollo de programas y servicios públicos a las prioridades de políticas públicas del Gobierno federal, limitando el campo de opciones de estrategias de desarrollo económico y otras políticas públicas para la Isla.</w:t>
      </w:r>
    </w:p>
    <w:p w:rsidR="005A5E7D" w:rsidRPr="0071276F" w:rsidRDefault="005A5E7D" w:rsidP="005A5E7D">
      <w:pPr>
        <w:rPr>
          <w:lang w:val="es-ES_tradnl" w:eastAsia="ar-SA"/>
        </w:rPr>
      </w:pPr>
      <w:r w:rsidRPr="0071276F">
        <w:rPr>
          <w:lang w:val="es-ES_tradnl" w:eastAsia="ar-SA"/>
        </w:rPr>
        <w:t xml:space="preserve">Finalmente, los cambios previstos tienen implicaciones en términos del efecto multiplicador macroeconómico. Por un lado, la necesidad de reducir el gasto tendría un efecto recesionario en la economía, mientras el aumento en transferencias federales </w:t>
      </w:r>
      <w:r w:rsidRPr="0071276F">
        <w:rPr>
          <w:lang w:val="es-ES_tradnl"/>
        </w:rPr>
        <w:t>—</w:t>
      </w:r>
      <w:r w:rsidRPr="0071276F">
        <w:rPr>
          <w:lang w:val="es-ES_tradnl" w:eastAsia="ar-SA"/>
        </w:rPr>
        <w:t>tanto a individuos como al Gobierno</w:t>
      </w:r>
      <w:r w:rsidRPr="0071276F">
        <w:rPr>
          <w:lang w:val="es-ES_tradnl"/>
        </w:rPr>
        <w:t>—</w:t>
      </w:r>
      <w:r w:rsidRPr="0071276F">
        <w:rPr>
          <w:lang w:val="es-ES_tradnl" w:eastAsia="ar-SA"/>
        </w:rPr>
        <w:t xml:space="preserve"> trae consigo un efecto expansionario. Un ejemplo lo sería el potencial aumento en el empleo en el sector de la salud, a consecuencia del aumento en los fondos de Medicaid. El resultado final depende del comportamiento, en otras cosas, de los residentes de Puerto Rico con respecto a la tendencia migratoria, ya que el aumento en las contribuciones de individuos de ingresos medianos o altos puede aumentar la emigración de profesionales y la fuga de capital humano. También depende de cómo el aumento en la carga impositiva afecte el clima empresarial en la Isla.</w:t>
      </w:r>
    </w:p>
    <w:p w:rsidR="005A5E7D" w:rsidRPr="0071276F" w:rsidRDefault="005A5E7D" w:rsidP="005A5E7D">
      <w:pPr>
        <w:rPr>
          <w:lang w:val="es-ES_tradnl" w:eastAsia="ar-SA"/>
        </w:rPr>
      </w:pPr>
      <w:r w:rsidRPr="0071276F">
        <w:rPr>
          <w:lang w:val="es-ES_tradnl" w:eastAsia="ar-SA"/>
        </w:rPr>
        <w:t xml:space="preserve">Bajo la estadidad, se esperaría que el alcance del Gobierno de Puerto Rico se redujese en el largo plazo, acercándose más a la norma de los estados más pobres. </w:t>
      </w:r>
      <w:r w:rsidRPr="0071276F">
        <w:rPr>
          <w:rFonts w:eastAsia="+mn-ea"/>
          <w:color w:val="000000"/>
          <w:szCs w:val="24"/>
          <w:lang w:val="es-ES_tradnl"/>
        </w:rPr>
        <w:t xml:space="preserve">Una de las mayores limitaciones de la Isla en este proceso </w:t>
      </w:r>
      <w:r w:rsidRPr="0071276F">
        <w:rPr>
          <w:lang w:val="es-ES_tradnl"/>
        </w:rPr>
        <w:t>—</w:t>
      </w:r>
      <w:r w:rsidRPr="0071276F">
        <w:rPr>
          <w:rFonts w:eastAsia="+mn-ea"/>
          <w:color w:val="000000"/>
          <w:szCs w:val="24"/>
          <w:lang w:val="es-ES_tradnl"/>
        </w:rPr>
        <w:t>si se deseara continuar prestando los servicios básicos que necesita la población</w:t>
      </w:r>
      <w:r w:rsidRPr="0071276F">
        <w:rPr>
          <w:lang w:val="es-ES_tradnl"/>
        </w:rPr>
        <w:t>—</w:t>
      </w:r>
      <w:r w:rsidRPr="0071276F">
        <w:rPr>
          <w:rFonts w:eastAsia="+mn-ea"/>
          <w:color w:val="000000"/>
          <w:szCs w:val="24"/>
          <w:lang w:val="es-ES_tradnl"/>
        </w:rPr>
        <w:t xml:space="preserve"> es que el nivel económico y la situación fiscal no permitirían que el Gobierno de la Isla disminuyera sus contribuciones y remitiera la mayor parte del ingreso contributivo al fisco federal, como lo hacen los estados</w:t>
      </w:r>
      <w:r w:rsidRPr="0071276F">
        <w:rPr>
          <w:lang w:val="es-ES_tradnl" w:eastAsia="ar-SA"/>
        </w:rPr>
        <w:t>.</w:t>
      </w:r>
    </w:p>
    <w:p w:rsidR="005A5E7D" w:rsidRPr="0071276F" w:rsidRDefault="005A5E7D" w:rsidP="005A5E7D">
      <w:pPr>
        <w:spacing w:line="240" w:lineRule="auto"/>
        <w:rPr>
          <w:lang w:val="es-ES_tradnl" w:eastAsia="ar-SA"/>
        </w:rPr>
      </w:pPr>
    </w:p>
    <w:p w:rsidR="005A5E7D" w:rsidRPr="0071276F" w:rsidRDefault="005A5E7D" w:rsidP="005A5E7D">
      <w:pPr>
        <w:pStyle w:val="Heading2"/>
        <w:numPr>
          <w:ilvl w:val="0"/>
          <w:numId w:val="10"/>
        </w:numPr>
        <w:rPr>
          <w:lang w:val="es-ES_tradnl"/>
        </w:rPr>
      </w:pPr>
      <w:bookmarkStart w:id="115" w:name="_Toc384769805"/>
      <w:r w:rsidRPr="0071276F">
        <w:rPr>
          <w:lang w:val="es-ES_tradnl"/>
        </w:rPr>
        <w:t>Implicaciones para el comercio exterior y el sector empresarial</w:t>
      </w:r>
      <w:bookmarkEnd w:id="115"/>
    </w:p>
    <w:p w:rsidR="005A5E7D" w:rsidRPr="0071276F" w:rsidRDefault="005A5E7D" w:rsidP="005A5E7D">
      <w:pPr>
        <w:spacing w:line="360" w:lineRule="auto"/>
        <w:rPr>
          <w:lang w:val="es-ES_tradnl"/>
        </w:rPr>
      </w:pPr>
    </w:p>
    <w:p w:rsidR="005A5E7D" w:rsidRPr="0071276F" w:rsidRDefault="005A5E7D" w:rsidP="005A5E7D">
      <w:pPr>
        <w:rPr>
          <w:lang w:val="es-ES_tradnl"/>
        </w:rPr>
      </w:pPr>
      <w:r w:rsidRPr="0071276F">
        <w:rPr>
          <w:lang w:val="es-ES_tradnl"/>
        </w:rPr>
        <w:t xml:space="preserve">El análisis sirve de base para auscultar si la estadidad implica ventajas o limitaciones adicionales para el desarrollo del comercio exterior de Puerto Rico y las expectativas de internacionalización de su clase empresarial. Se tomaron en consideración los factores que delimitan el marco de acción de participación de la Isla en tratados comerciales vigentes, a luz de su condición territorial y su ubicación geográfica. Se evalúo el nivel y la concentración de las exportaciones a diversos países y regiones por tipo de industria o producto, utilizando el índice de concentración de Herfindahl-Hirschman (IHH). </w:t>
      </w:r>
    </w:p>
    <w:p w:rsidR="005A5E7D" w:rsidRPr="0071276F" w:rsidRDefault="005A5E7D" w:rsidP="005A5E7D">
      <w:pPr>
        <w:rPr>
          <w:lang w:val="es-ES_tradnl"/>
        </w:rPr>
      </w:pPr>
      <w:r w:rsidRPr="0071276F">
        <w:rPr>
          <w:lang w:val="es-ES_tradnl"/>
        </w:rPr>
        <w:t xml:space="preserve">Las exportaciones hacia Estados Unidos se mantuvieron en aproximadamente $47,000 millones entre el 2007 y el 2010; sin embargo, disminuyen a $41,000 millones en el 2013. Las exportaciones al resto del mundo alcanzaron un nivel máximo en el 2010 con $21,000 millones, pero se redujeron a $16,500 millones en el 2013. </w:t>
      </w:r>
    </w:p>
    <w:p w:rsidR="005A5E7D" w:rsidRPr="0071276F" w:rsidRDefault="005A5E7D" w:rsidP="005A5E7D">
      <w:pPr>
        <w:rPr>
          <w:lang w:val="es-ES_tradnl"/>
        </w:rPr>
      </w:pPr>
      <w:r w:rsidRPr="0071276F">
        <w:rPr>
          <w:lang w:val="es-ES_tradnl"/>
        </w:rPr>
        <w:t>El 77% de las exportaciones de Puerto Rico correspondían al sector de manufactura de productos químicos en 2013. Estas exportaciones, a su vez, constituían el 75% de las exportaciones a Estados Unidos y el 83% de las exportaciones al resto del mundo, lo cual manifiesta claramente la falta de diversificación del sector exportador en la Isla y la concentración de las exportaciones en el sector de productos químicos.</w:t>
      </w:r>
    </w:p>
    <w:p w:rsidR="005A5E7D" w:rsidRPr="0071276F" w:rsidRDefault="005A5E7D" w:rsidP="005A5E7D">
      <w:pPr>
        <w:rPr>
          <w:lang w:val="es-ES_tradnl"/>
        </w:rPr>
      </w:pPr>
      <w:r w:rsidRPr="0071276F">
        <w:rPr>
          <w:noProof/>
          <w:lang w:val="es-ES_tradnl"/>
        </w:rPr>
        <w:t xml:space="preserve">Del 2006 al 2013, el valor de las importaciones totales de Puerto Rico disminuyó en un 8% (de $45,000 millones a $40,500 millones), mientras las importaciones provenientes de Estados Unidos disminuyeron en un 15% (de $22,400 millones a $18,800 millones). </w:t>
      </w:r>
      <w:r w:rsidRPr="0071276F">
        <w:rPr>
          <w:lang w:val="es-ES_tradnl"/>
        </w:rPr>
        <w:t xml:space="preserve">El 53% de las importaciones procedentes de Estados Unidos corresponden a manufactura de químicos y el 22% a manufactura de productos de petróleo. Por su parte, las importaciones procedentes del resto del mundo tienen una composición más diversa: un 32% en manufactura de químicos, un 14% en manufactura de comida, un 10% manufactura de computadoras y equipos electrónicos, y un 9% en manufactura de equipos de transporte. </w:t>
      </w:r>
    </w:p>
    <w:p w:rsidR="005A5E7D" w:rsidRPr="0071276F" w:rsidRDefault="005A5E7D" w:rsidP="005A5E7D">
      <w:pPr>
        <w:rPr>
          <w:lang w:val="es-ES_tradnl"/>
        </w:rPr>
      </w:pPr>
      <w:r w:rsidRPr="0071276F">
        <w:rPr>
          <w:lang w:val="es-ES_tradnl"/>
        </w:rPr>
        <w:t xml:space="preserve">Para evaluar el efecto de la participación de Puerto Rico en el mercado común con Estados Unidos se midieron los cambios en el comercio de Puerto Rico con cada uno de los veinte países con los cuales Estados Unidos mantiene tratados de libre comercio para el período del 2003 al 2013. En el 2013, estos países recibían el 23% de las exportaciones de Estados Unidos, pero solo el 16% de las exportaciones de Puerto Rico al resto del mundo y el 6% de las exportaciones totales de Puerto Rico. </w:t>
      </w:r>
    </w:p>
    <w:p w:rsidR="005A5E7D" w:rsidRPr="0071276F" w:rsidRDefault="005A5E7D" w:rsidP="005A5E7D">
      <w:pPr>
        <w:rPr>
          <w:lang w:val="es-ES_tradnl"/>
        </w:rPr>
      </w:pPr>
      <w:r w:rsidRPr="0071276F">
        <w:rPr>
          <w:lang w:val="es-ES_tradnl"/>
        </w:rPr>
        <w:t>Entre el 2003 y el 2013, el valor nominal de las exportaciones de Estados Unidos a los veinte países con los cuales mantiene tratados de libre comercio (TLC) aumentó un 106%, mientras que las exportaciones de Puerto Rico a dichos países solo aumentaron un 4%. Sin embargo, durante el mismo período, las exportaciones de Puerto Rico a los países que no tienen TLC con Estados Unidos aumentaron un 89%. Esto es indicativo de que los TLC no han sido un motor importante para la promoción de las exportaciones en Puerto Rico.</w:t>
      </w:r>
    </w:p>
    <w:p w:rsidR="005A5E7D" w:rsidRPr="0071276F" w:rsidRDefault="005A5E7D" w:rsidP="005A5E7D">
      <w:pPr>
        <w:rPr>
          <w:lang w:val="es-ES_tradnl"/>
        </w:rPr>
      </w:pPr>
      <w:r w:rsidRPr="0071276F">
        <w:rPr>
          <w:lang w:val="es-ES_tradnl"/>
        </w:rPr>
        <w:t>La internacionalización de las empresas puertorriqueñas, particularmente las pymes, debe aumentar las exportaciones y su diversidad, por lo que conlleva aumentar las exportaciones a países que demandan mayor multiplicidad de bienes. De acuerdo con el índice de concentración estimado, el país que recibe la mayor diversidad de exportaciones desde Puerto Rico es la República Dominicana. Este país es el tercer mercado más importante para los productos de Puerto Rico, luego de Estados Unidos y Canadá. Contrario a lo deseable, las exportaciones a República Dominicana se redujeron en 17%, a pesar de haberse puesto en efecto el CAFTA en el 2007.</w:t>
      </w:r>
    </w:p>
    <w:p w:rsidR="005A5E7D" w:rsidRPr="0071276F" w:rsidRDefault="005A5E7D" w:rsidP="005A5E7D">
      <w:pPr>
        <w:rPr>
          <w:lang w:val="es-ES_tradnl"/>
        </w:rPr>
      </w:pPr>
      <w:r w:rsidRPr="0071276F">
        <w:rPr>
          <w:lang w:val="es-ES_tradnl"/>
        </w:rPr>
        <w:t>En general, podemos decir que los tratados comerciales con los que actualmente Estados Unidos mantiene relaciones no han devengado mayores beneficios para los exportadores de Puerto Rico. Las exportaciones a la República Dominicana han disminuido, mientras los aumentos en exportaciones se concentran mayormente en productos químicos. No obstante, cabe señalar la posibilidad de expandir el comercio con países como Perú, Costa Rica y Chile, los que demandan mayor diversidad de productos. Actualmente, las exportaciones de Puerto Rico a estos países comprenden una ínfima parte de las exportaciones de Puerto Rico al resto del mundo.</w:t>
      </w:r>
    </w:p>
    <w:p w:rsidR="005A5E7D" w:rsidRPr="0071276F" w:rsidRDefault="005A5E7D" w:rsidP="005A5E7D">
      <w:pPr>
        <w:rPr>
          <w:color w:val="000000"/>
          <w:shd w:val="clear" w:color="auto" w:fill="FFFFFF"/>
          <w:lang w:val="es-ES_tradnl"/>
        </w:rPr>
      </w:pPr>
      <w:r w:rsidRPr="0071276F">
        <w:rPr>
          <w:lang w:val="es-ES_tradnl"/>
        </w:rPr>
        <w:t xml:space="preserve">En los casos de CAFTA y NAFTA, que son zonas de libre comercio con Estados Unidos, no se distinguen beneficios sustanciales para Puerto Rico. Las exportaciones de Puerto Rico a la región del CAFTA disminuyeron un 15%, mientras que las exportaciones a NAFTA aumentaron solo un 1%. Por el contrario, las exportaciones hacia América del Sur han aumentado, tanto para el grupo de MERCOSUR como para la Comunidad Andina. </w:t>
      </w:r>
      <w:r w:rsidRPr="0071276F">
        <w:rPr>
          <w:color w:val="000000"/>
          <w:shd w:val="clear" w:color="auto" w:fill="FFFFFF"/>
          <w:lang w:val="es-ES_tradnl"/>
        </w:rPr>
        <w:t>Entre los sectores industriales que despuntan más allá de la manufactura de productos químicos y electrónicos, se incluyen la manufactura de ropa, comida y productos de metal, así como el reciclaje.</w:t>
      </w:r>
    </w:p>
    <w:p w:rsidR="005A5E7D" w:rsidRPr="0071276F" w:rsidRDefault="005A5E7D" w:rsidP="005A5E7D">
      <w:pPr>
        <w:rPr>
          <w:color w:val="000000"/>
          <w:shd w:val="clear" w:color="auto" w:fill="FFFFFF"/>
          <w:lang w:val="es-ES_tradnl"/>
        </w:rPr>
      </w:pPr>
      <w:r w:rsidRPr="0071276F">
        <w:rPr>
          <w:color w:val="000000"/>
          <w:shd w:val="clear" w:color="auto" w:fill="FFFFFF"/>
          <w:lang w:val="es-ES_tradnl"/>
        </w:rPr>
        <w:t>Se concluye que actualmente son muy limitadas las posibilidades de que el Gobierno de Puerto Rico pueda insertarse en acuerdos en los que no participa Estados Unidos. Bajo la estadidad, se cerraría la puerta a dicha posibilidad y se reducirían significativamente las posibilidades para aumentar la presencia institucional de la Isla en las diversas organizaciones internacionales. En cambio, bajo un ELA con mayor soberanía o bajo la independencia habría cabida para medidas más agresivas que establezcan lazos económicos con países con alto potencial de demanda para los productos que el Gobierno considere estratégicos para fomentar las exportaciones y lograr una mayor internacionalización de su clase empresarial, particularmente de las pymes.</w:t>
      </w:r>
    </w:p>
    <w:p w:rsidR="005A5E7D" w:rsidRPr="0071276F" w:rsidRDefault="005A5E7D" w:rsidP="005A5E7D">
      <w:pPr>
        <w:spacing w:line="240" w:lineRule="auto"/>
        <w:rPr>
          <w:color w:val="000000"/>
          <w:shd w:val="clear" w:color="auto" w:fill="FFFFFF"/>
          <w:lang w:val="es-ES_tradnl"/>
        </w:rPr>
      </w:pPr>
    </w:p>
    <w:p w:rsidR="005A5E7D" w:rsidRPr="0071276F" w:rsidRDefault="005A5E7D" w:rsidP="005A5E7D">
      <w:pPr>
        <w:pStyle w:val="Heading2"/>
        <w:numPr>
          <w:ilvl w:val="0"/>
          <w:numId w:val="10"/>
        </w:numPr>
        <w:rPr>
          <w:lang w:val="es-ES_tradnl"/>
        </w:rPr>
      </w:pPr>
      <w:bookmarkStart w:id="116" w:name="_Toc384769806"/>
      <w:r w:rsidRPr="0071276F">
        <w:rPr>
          <w:lang w:val="es-ES_tradnl"/>
        </w:rPr>
        <w:t>La perspectiva de la competitividad en el tema de la estadidad</w:t>
      </w:r>
      <w:bookmarkEnd w:id="116"/>
    </w:p>
    <w:p w:rsidR="005A5E7D" w:rsidRPr="0071276F" w:rsidRDefault="005A5E7D" w:rsidP="005A5E7D">
      <w:pPr>
        <w:spacing w:line="360" w:lineRule="auto"/>
        <w:rPr>
          <w:lang w:val="es-ES_tradnl"/>
        </w:rPr>
      </w:pPr>
    </w:p>
    <w:p w:rsidR="005A5E7D" w:rsidRPr="0071276F" w:rsidRDefault="005A5E7D" w:rsidP="005A5E7D">
      <w:pPr>
        <w:spacing w:after="120"/>
        <w:rPr>
          <w:lang w:val="es-ES_tradnl"/>
        </w:rPr>
      </w:pPr>
      <w:r w:rsidRPr="0071276F">
        <w:rPr>
          <w:lang w:val="es-ES_tradnl"/>
        </w:rPr>
        <w:t>En Puerto Rico se ha estudiado ampliamente el tema de la competitividad, tanto por académicos y profesionales, como por entidades privadas y gubernamentales. Según la CEPAL, "se puede decir que existe consenso en Puerto Rico en cuanto a que la economía ha sufrido la erosión sostenida de su competitividad en las últimas dos décadas y quizás desde antes" (CEPAL, 2006, 116). De manera similar, el Banco de la Reserva Federal de Nueva York ha indicó que la Isla "ha estado operando por debajo de su potencial por algún tiempo y la competitividad de la economía continúa deteriorándose" (FRBNY, 2012, 7). Señalamientos del mismo tenor pueden encontrarse en otros documentos sobre el tema.</w:t>
      </w:r>
    </w:p>
    <w:p w:rsidR="005A5E7D" w:rsidRPr="0071276F" w:rsidRDefault="005A5E7D" w:rsidP="005A5E7D">
      <w:pPr>
        <w:spacing w:after="120"/>
        <w:rPr>
          <w:lang w:val="es-ES_tradnl"/>
        </w:rPr>
      </w:pPr>
      <w:r w:rsidRPr="0071276F">
        <w:rPr>
          <w:lang w:val="es-ES_tradnl"/>
        </w:rPr>
        <w:t>Por otro lado, parece haber consenso de que Puerto Rico cuenta con ventajas competitivas realizadas y potenciales, y que puede revertir la pérdida de competitividad que ha sufrido en el pasado. Tanto la CEPAL como el FRBNY así lo indican. Por ejemplo, la CEPAL cita evidencia de ciertas ventajas competitivas en la manufactura y el turismo, mientras que el FRBNY indica que Puerto Rico tiene algunas características que la hacen una economía fuerte y con el potencial de ser altamente competitiva.</w:t>
      </w:r>
    </w:p>
    <w:p w:rsidR="005A5E7D" w:rsidRPr="0071276F" w:rsidRDefault="005A5E7D" w:rsidP="005A5E7D">
      <w:pPr>
        <w:spacing w:after="120"/>
        <w:rPr>
          <w:lang w:val="es-ES_tradnl"/>
        </w:rPr>
      </w:pPr>
      <w:r w:rsidRPr="0071276F">
        <w:rPr>
          <w:lang w:val="es-ES_tradnl"/>
        </w:rPr>
        <w:t xml:space="preserve">Además de los eventos adversos que han golpeado a la economía de la Isla en las pasadas décadas (incluyendo los </w:t>
      </w:r>
      <w:r w:rsidRPr="0071276F">
        <w:rPr>
          <w:i/>
          <w:lang w:val="es-ES_tradnl"/>
        </w:rPr>
        <w:t>shocks</w:t>
      </w:r>
      <w:r w:rsidRPr="0071276F">
        <w:rPr>
          <w:lang w:val="es-ES_tradnl"/>
        </w:rPr>
        <w:t xml:space="preserve"> energéticos y la eliminación de la Sección 936), la competitividad de Puerto Rico se ve amenazada hacia el futuro por factores externos e internos; algunos de los cuales se relacionan con el estatus político. Algunos de estos factores son:</w:t>
      </w:r>
    </w:p>
    <w:p w:rsidR="005A5E7D" w:rsidRPr="0071276F" w:rsidRDefault="005A5E7D" w:rsidP="005A5E7D">
      <w:pPr>
        <w:spacing w:after="120"/>
        <w:rPr>
          <w:b/>
          <w:lang w:val="es-ES_tradnl"/>
        </w:rPr>
      </w:pPr>
      <w:r w:rsidRPr="0071276F">
        <w:rPr>
          <w:b/>
          <w:lang w:val="es-ES_tradnl"/>
        </w:rPr>
        <w:t>Factores externos:</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El avance de la globalización, que implica un número creciente de países competidores en el escenario mundial.</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El ascenso de China, India y otras economías emergentes de gran tamaño y fuerte competitividad.</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Los tratados de libre comercio de Estados Unidos con países de nuestra región, especialmente los de Centroamérica, República Dominicana, Colombia y México.</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La falta de apoyo del Gobierno de Estados Unidos para las políticas de promoción industrial en Puerto Rico.</w:t>
      </w:r>
    </w:p>
    <w:p w:rsidR="005A5E7D" w:rsidRPr="0071276F" w:rsidRDefault="005A5E7D" w:rsidP="005A5E7D">
      <w:pPr>
        <w:spacing w:after="120"/>
        <w:rPr>
          <w:b/>
          <w:lang w:val="es-ES_tradnl"/>
        </w:rPr>
      </w:pPr>
      <w:r w:rsidRPr="0071276F">
        <w:rPr>
          <w:b/>
          <w:lang w:val="es-ES_tradnl"/>
        </w:rPr>
        <w:t>Factores internos:</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 xml:space="preserve">Los costos de iniciar y operar actividades productivas en la Isla. </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 xml:space="preserve">El debilitamiento del sistema financiero de Puerto Rico, especialmente del sector bancario. </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 xml:space="preserve">El alto costo de la energía eléctrica y la dependencia del petróleo para la generación de electricidad. </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 xml:space="preserve">La limitada capacidad fiscal del Gobierno de Puerto Rico. </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 xml:space="preserve">La ausencia de ejecución de proyectos estratégicos de un alto potencial económico (por ejemplo, el Puerto de Las Américas en Ponce). </w:t>
      </w:r>
    </w:p>
    <w:p w:rsidR="005A5E7D" w:rsidRPr="0071276F" w:rsidRDefault="005A5E7D" w:rsidP="00CB3560">
      <w:pPr>
        <w:pStyle w:val="ColorfulList-Accent11"/>
        <w:numPr>
          <w:ilvl w:val="0"/>
          <w:numId w:val="17"/>
        </w:numPr>
        <w:spacing w:after="120"/>
        <w:ind w:left="993" w:hanging="284"/>
        <w:rPr>
          <w:lang w:val="es-ES_tradnl"/>
        </w:rPr>
      </w:pPr>
      <w:r w:rsidRPr="0071276F">
        <w:rPr>
          <w:lang w:val="es-ES_tradnl"/>
        </w:rPr>
        <w:t xml:space="preserve">La injerencia de la política partidista en la administración pública y el debilitamiento del sistema de mérito en el servicio público. </w:t>
      </w:r>
    </w:p>
    <w:p w:rsidR="005A5E7D" w:rsidRPr="0071276F" w:rsidRDefault="005A5E7D" w:rsidP="005A5E7D">
      <w:pPr>
        <w:spacing w:after="120"/>
        <w:rPr>
          <w:lang w:val="es-ES_tradnl"/>
        </w:rPr>
      </w:pPr>
      <w:r w:rsidRPr="0071276F">
        <w:rPr>
          <w:lang w:val="es-ES_tradnl"/>
        </w:rPr>
        <w:t xml:space="preserve">A través del mundo se han desarrollado diversos índices para medir la competitividad de los países e identificar los puntos débiles y fuertes de las diversas economías. Puerto Rico está incluido en el índice del </w:t>
      </w:r>
      <w:r w:rsidRPr="0071276F">
        <w:rPr>
          <w:i/>
          <w:lang w:val="es-ES_tradnl"/>
        </w:rPr>
        <w:t>World Economic Forum</w:t>
      </w:r>
      <w:r w:rsidRPr="0071276F">
        <w:rPr>
          <w:lang w:val="es-ES_tradnl"/>
        </w:rPr>
        <w:t xml:space="preserve"> (WEF) y en el índice de </w:t>
      </w:r>
      <w:r w:rsidRPr="0071276F">
        <w:rPr>
          <w:i/>
          <w:lang w:val="es-ES_tradnl"/>
        </w:rPr>
        <w:t>Doing Business</w:t>
      </w:r>
      <w:r w:rsidRPr="0071276F">
        <w:rPr>
          <w:lang w:val="es-ES_tradnl"/>
        </w:rPr>
        <w:t xml:space="preserve">, del Banco Mundial y la </w:t>
      </w:r>
      <w:r w:rsidRPr="0071276F">
        <w:rPr>
          <w:i/>
          <w:lang w:val="es-ES_tradnl"/>
        </w:rPr>
        <w:t>International Finance Corporation</w:t>
      </w:r>
      <w:r w:rsidRPr="0071276F">
        <w:rPr>
          <w:lang w:val="es-ES_tradnl"/>
        </w:rPr>
        <w:t>. En el índice del WEF, Puerto Rico ha mejorado su rango y calificación en los últimos años.</w:t>
      </w:r>
    </w:p>
    <w:p w:rsidR="005A5E7D" w:rsidRPr="0071276F" w:rsidRDefault="005A5E7D" w:rsidP="005A5E7D">
      <w:pPr>
        <w:spacing w:after="120"/>
        <w:rPr>
          <w:lang w:val="es-ES_tradnl"/>
        </w:rPr>
      </w:pPr>
      <w:r w:rsidRPr="0071276F">
        <w:rPr>
          <w:lang w:val="es-ES_tradnl"/>
        </w:rPr>
        <w:t>Las puntuaciones del WEF para Puerto Rico demuestran que, a pesar de los retos económicos a los que se enfrenta, cuenta con fundamentos para ser competitivo en la economía global. De hecho, en la última edición del índice, correspondiente al año 2013-14, Puerto Rico logró colocarse en la lista —encabezada por Suiza— de los primeros 30 países, con el rango de 30. Al analizar el detalle del índice para el año 2012-13, se observó que los puntos más fuertes de Puerto Rico fueron la educación y capacitación a nivel superior, la sofisticación de los negocios, la eficiencia de los mercados de bienes y la innovación.</w:t>
      </w:r>
    </w:p>
    <w:p w:rsidR="005A5E7D" w:rsidRPr="0071276F" w:rsidRDefault="005A5E7D" w:rsidP="005A5E7D">
      <w:pPr>
        <w:spacing w:after="120"/>
        <w:rPr>
          <w:lang w:val="es-ES_tradnl"/>
        </w:rPr>
      </w:pPr>
      <w:r w:rsidRPr="0071276F">
        <w:rPr>
          <w:lang w:val="es-ES_tradnl"/>
        </w:rPr>
        <w:t>El tema de la competitividad tiene relación directa con el del estatus político; aunque algunos de los vínculos son sutile</w:t>
      </w:r>
      <w:r>
        <w:rPr>
          <w:lang w:val="es-ES_tradnl"/>
        </w:rPr>
        <w:t>s</w:t>
      </w:r>
      <w:r w:rsidRPr="0071276F">
        <w:rPr>
          <w:lang w:val="es-ES_tradnl"/>
        </w:rPr>
        <w:t>, otros son evidentes. En un reciente seminario de la Escuela de Derecho de la Universidad de Puerto Rico, dirigido por el Ex Decano y Profesor Emérito David Helfeld, se estudiaron los poderes de la Isla en su actual estatus político, y el propio profesor Helfeld resumió uno de los hallazgos principales con las siguientes palabras: “Dos artículos que tratan de los programas gubernamentales en marcha sirven para confirmar la tesis del Seminario de que Puerto Rico tiene todos los poderes de un estado para gobernar sus asuntos internos y otros dos demuestran convincentemente cómo se pueden ejercer plenamente estos poderes para crear soluciones innovadoras para promover la economía de Puerto Rico (Helfeld, 2011).</w:t>
      </w:r>
    </w:p>
    <w:p w:rsidR="005A5E7D" w:rsidRPr="0071276F" w:rsidRDefault="005A5E7D" w:rsidP="005A5E7D">
      <w:pPr>
        <w:spacing w:after="120"/>
        <w:rPr>
          <w:lang w:val="es-ES_tradnl"/>
        </w:rPr>
      </w:pPr>
      <w:r w:rsidRPr="0071276F">
        <w:rPr>
          <w:lang w:val="es-ES_tradnl"/>
        </w:rPr>
        <w:t>Esta opinión jurídica, unida al posicionamiento de Puerto Rico en el Índice WEF, abona la hipótesis de que Puerto Rico no requiere la estadidad para apuntalar su competitividad interna y global, contrario a lo que plantean algunos investigadores, como Lefort (1997). El análisis de Lefort es técnicamente sofisticado, pero sus supuestos y conclusiones son cuestionables. Según el autor, un cambio de estatus hacia la estadidad reduciría la incertidumbre política, generaría un sistema legal estable, uniformaría la institucionalidad de la Isla con la de Estados Unidos, permitiría el acceso a un mercado más amplio y aumentaría las ayudas federales que llegan a la Isla. Ignora el autor que en los casi 100 años de la relación política de Puerto Rico con Estados Unidos que habían transcurrido para la fecha en que se realizó su estudio, la Isla ya había alcanzado un alto grado de convergencia institucional con Estados Unidos, incluyendo el establecimiento de un sistema legal estable y un ambiente de muy baja incertidumbre política. Pasa también por alto el hecho de que la economía de Puerto Rico experimentó un período de casi tres décadas de alto crecimiento económico —entre los 1940s y 1970s—, comportándose tal como lo predice la hipótesis de la convergencia sin estar encaminada hacia la estadidad.</w:t>
      </w:r>
    </w:p>
    <w:p w:rsidR="005A5E7D" w:rsidRPr="0071276F" w:rsidRDefault="005A5E7D" w:rsidP="005A5E7D">
      <w:pPr>
        <w:pStyle w:val="Heading2"/>
        <w:numPr>
          <w:ilvl w:val="0"/>
          <w:numId w:val="10"/>
        </w:numPr>
        <w:rPr>
          <w:lang w:val="es-ES_tradnl"/>
        </w:rPr>
      </w:pPr>
      <w:bookmarkStart w:id="117" w:name="_Toc384769807"/>
      <w:r w:rsidRPr="0071276F">
        <w:rPr>
          <w:lang w:val="es-ES_tradnl"/>
        </w:rPr>
        <w:t>El debate de la estadidad como vehículo de convergencia</w:t>
      </w:r>
      <w:bookmarkEnd w:id="117"/>
    </w:p>
    <w:p w:rsidR="005A5E7D" w:rsidRPr="0071276F" w:rsidRDefault="005A5E7D" w:rsidP="005A5E7D">
      <w:pPr>
        <w:rPr>
          <w:lang w:val="es-ES_tradnl"/>
        </w:rPr>
      </w:pPr>
    </w:p>
    <w:p w:rsidR="005A5E7D" w:rsidRPr="0071276F" w:rsidRDefault="005A5E7D" w:rsidP="005A5E7D">
      <w:pPr>
        <w:rPr>
          <w:szCs w:val="24"/>
          <w:lang w:val="es-ES_tradnl"/>
        </w:rPr>
      </w:pPr>
      <w:r w:rsidRPr="0071276F">
        <w:rPr>
          <w:szCs w:val="24"/>
          <w:lang w:val="es-ES_tradnl"/>
        </w:rPr>
        <w:t>En este capítulo se revisó el tema de la convergencia desde el punto de vista teórico y aplicado, enfocando la discusión en el vínculo de Puerto Rico con Estados Unidos y algunos de sus estados. En primer lugar, se hizo una revisión de literatura que ayudó a establecer cuáles son los marcos teóricos prevalecientes respecto al tema de la convergencia, las metodologías y los hallazgos principales. A partir de esta revisión, es evidente la importancia del modelo neoclásico, pero resulta significativo el desarrollo de las nuevas teorías del crecimiento, su vínculo con el tema de la convergencia y su creciente desarrollo en los trabajos aplicados.</w:t>
      </w:r>
    </w:p>
    <w:p w:rsidR="005A5E7D" w:rsidRPr="0071276F" w:rsidRDefault="005A5E7D" w:rsidP="005A5E7D">
      <w:pPr>
        <w:rPr>
          <w:szCs w:val="24"/>
          <w:lang w:val="es-ES_tradnl"/>
        </w:rPr>
      </w:pPr>
      <w:r w:rsidRPr="0071276F">
        <w:rPr>
          <w:szCs w:val="24"/>
          <w:lang w:val="es-ES_tradnl"/>
        </w:rPr>
        <w:t>De esta revisión se puede concluir que las variables relacionadas con la convergencia, según el enfoque tradicional son: productividad y sustitución de los factores de producción, acumulación de capital y cambio tecnológico. No obstante, se añaden a esa lista las variables que las nuevas teorías señalan como determinantes importantes del crecimiento: la educación y el conocimiento como propulsores de la innovación, el capital humano, el uso eficiente de los recursos naturales, el comercio exterior, el marco institucional, la estabilidad política como atractivo a la inversión extranjera, los impuestos y subsidios, el tamaño del Gobierno, el cambio estructural y la diversificación de la estructura productiva, la política económica y la migración.</w:t>
      </w:r>
    </w:p>
    <w:p w:rsidR="005A5E7D" w:rsidRPr="0071276F" w:rsidRDefault="005A5E7D" w:rsidP="005A5E7D">
      <w:pPr>
        <w:rPr>
          <w:szCs w:val="24"/>
          <w:lang w:val="es-ES_tradnl"/>
        </w:rPr>
      </w:pPr>
      <w:r w:rsidRPr="0071276F">
        <w:rPr>
          <w:szCs w:val="24"/>
          <w:lang w:val="es-ES_tradnl"/>
        </w:rPr>
        <w:t>Entonces, las características y el desempeño que posea un país con relación a las variables mencionadas son significativos para la convergencia. Es por esto, que los enfoques de convergencia condicionada y de clubes han adquirido tanta popularidad en el análisis aplicado, ya que reconocen que los países que son más parecidos en estas variables tienen más posibilidades de converger.</w:t>
      </w:r>
    </w:p>
    <w:p w:rsidR="005A5E7D" w:rsidRPr="0071276F" w:rsidRDefault="005A5E7D" w:rsidP="005A5E7D">
      <w:pPr>
        <w:rPr>
          <w:szCs w:val="24"/>
          <w:lang w:val="es-ES_tradnl"/>
        </w:rPr>
      </w:pPr>
      <w:r w:rsidRPr="0071276F">
        <w:rPr>
          <w:szCs w:val="24"/>
          <w:lang w:val="es-ES_tradnl"/>
        </w:rPr>
        <w:t>En el caso de Puerto Rico, hay pocos trabajos que estudian el tema y lo hacen relacionando a la Isla con Estados Unidos. Son más los trabajos que estudian los ciclos económicos, y por su relación con el tema de la convergencia los incluimos en la revisión. Se llevó a cabo un análisis de las variables tradicionales del estudio de la convergencia, crecimiento económico e ingreso per cápita, entre Puerto Rico, Estados Unidos y algunos estados comparables por tener ingresos bajos. Se recopilaron los datos del Producto Bruto y el Ingreso Personal Disponible per cápita para el período desde el 1990 hasta el 2012. Mediante un análisis de regresión se determinó que no se puede establecer una relación en las tendencias de crecimiento de la producción y el Ingreso Personal Disponible de Puerto Rico con la muestra de estados. Esto puede deberse a que no sea suficiente el que tanto los estados estudiados como Puerto Rico posean un ingreso per cápita bajo. Posiblemente, deberían tener más características en común con Puerto Rico y mayores similitudes en sus estructuras productivas y los determinantes del crecimiento. También, se encontró que al relacionar el crecimiento del Producto Bruto y del Ingreso Personal Disponible per cápita con las de Estados Unidos, la evidencia no es tan robusta como para concluir que existe un proceso de convergencia de la Isla con Estados Unidos. Esto coincide con los trabajos de Lefort y la CEPAL que concluyeron que no hay convergencia o que sólo se muestra para unos períodos específicos en el tiempo, respectivamente.</w:t>
      </w:r>
    </w:p>
    <w:p w:rsidR="005A5E7D" w:rsidRPr="0071276F" w:rsidRDefault="005A5E7D" w:rsidP="005A5E7D">
      <w:pPr>
        <w:ind w:left="360" w:firstLine="360"/>
        <w:rPr>
          <w:szCs w:val="24"/>
          <w:lang w:val="es-ES_tradnl"/>
        </w:rPr>
      </w:pPr>
    </w:p>
    <w:p w:rsidR="005A5E7D" w:rsidRPr="0071276F" w:rsidRDefault="005A5E7D" w:rsidP="005A5E7D">
      <w:pPr>
        <w:rPr>
          <w:szCs w:val="24"/>
          <w:lang w:val="es-ES_tradnl"/>
        </w:rPr>
      </w:pPr>
      <w:r w:rsidRPr="0071276F">
        <w:rPr>
          <w:szCs w:val="24"/>
          <w:lang w:val="es-ES_tradnl"/>
        </w:rPr>
        <w:t>Del análisis cualitativo se concluyó que:</w:t>
      </w:r>
    </w:p>
    <w:p w:rsidR="005A5E7D" w:rsidRPr="0071276F" w:rsidRDefault="005A5E7D" w:rsidP="00CB3560">
      <w:pPr>
        <w:pStyle w:val="ColorfulList-Accent11"/>
        <w:numPr>
          <w:ilvl w:val="0"/>
          <w:numId w:val="19"/>
        </w:numPr>
        <w:spacing w:after="200"/>
        <w:jc w:val="left"/>
        <w:rPr>
          <w:szCs w:val="24"/>
          <w:lang w:val="es-ES_tradnl"/>
        </w:rPr>
      </w:pPr>
      <w:r w:rsidRPr="0071276F">
        <w:rPr>
          <w:szCs w:val="24"/>
          <w:lang w:val="es-ES_tradnl"/>
        </w:rPr>
        <w:t>hay una lista extensa de variables críticas para la convergencia;</w:t>
      </w:r>
    </w:p>
    <w:p w:rsidR="005A5E7D" w:rsidRPr="0071276F" w:rsidRDefault="005A5E7D" w:rsidP="00CB3560">
      <w:pPr>
        <w:pStyle w:val="ColorfulList-Accent11"/>
        <w:numPr>
          <w:ilvl w:val="0"/>
          <w:numId w:val="19"/>
        </w:numPr>
        <w:spacing w:after="200"/>
        <w:jc w:val="left"/>
        <w:rPr>
          <w:szCs w:val="24"/>
          <w:lang w:val="es-ES_tradnl"/>
        </w:rPr>
      </w:pPr>
      <w:r w:rsidRPr="0071276F">
        <w:rPr>
          <w:szCs w:val="24"/>
          <w:lang w:val="es-ES_tradnl"/>
        </w:rPr>
        <w:t>en su mayoría, dichas variables están vinculadas con los determinantes del crecimiento;</w:t>
      </w:r>
    </w:p>
    <w:p w:rsidR="005A5E7D" w:rsidRPr="0071276F" w:rsidRDefault="005A5E7D" w:rsidP="00CB3560">
      <w:pPr>
        <w:pStyle w:val="ColorfulList-Accent11"/>
        <w:numPr>
          <w:ilvl w:val="0"/>
          <w:numId w:val="19"/>
        </w:numPr>
        <w:spacing w:after="200"/>
        <w:jc w:val="left"/>
        <w:rPr>
          <w:szCs w:val="24"/>
          <w:lang w:val="es-ES_tradnl"/>
        </w:rPr>
      </w:pPr>
      <w:r w:rsidRPr="0071276F">
        <w:rPr>
          <w:szCs w:val="24"/>
          <w:lang w:val="es-ES_tradnl"/>
        </w:rPr>
        <w:t>la mayor parte de estas son estudiadas en los trabajos aplicados;</w:t>
      </w:r>
    </w:p>
    <w:p w:rsidR="005A5E7D" w:rsidRPr="0071276F" w:rsidRDefault="005A5E7D" w:rsidP="00CB3560">
      <w:pPr>
        <w:pStyle w:val="ColorfulList-Accent11"/>
        <w:numPr>
          <w:ilvl w:val="0"/>
          <w:numId w:val="19"/>
        </w:numPr>
        <w:spacing w:after="200"/>
        <w:jc w:val="left"/>
        <w:rPr>
          <w:szCs w:val="24"/>
          <w:lang w:val="es-ES_tradnl"/>
        </w:rPr>
      </w:pPr>
      <w:r w:rsidRPr="0071276F">
        <w:rPr>
          <w:szCs w:val="24"/>
          <w:lang w:val="es-ES_tradnl"/>
        </w:rPr>
        <w:t>para el caso de los estudios de Puerto Rico son muy pocas las variables que se han incluido;</w:t>
      </w:r>
    </w:p>
    <w:p w:rsidR="005A5E7D" w:rsidRPr="0071276F" w:rsidRDefault="005A5E7D" w:rsidP="00CB3560">
      <w:pPr>
        <w:pStyle w:val="ColorfulList-Accent11"/>
        <w:numPr>
          <w:ilvl w:val="0"/>
          <w:numId w:val="19"/>
        </w:numPr>
        <w:spacing w:after="200"/>
        <w:jc w:val="left"/>
        <w:rPr>
          <w:szCs w:val="24"/>
          <w:lang w:val="es-ES_tradnl"/>
        </w:rPr>
      </w:pPr>
      <w:r w:rsidRPr="0071276F">
        <w:rPr>
          <w:szCs w:val="24"/>
          <w:lang w:val="es-ES_tradnl"/>
        </w:rPr>
        <w:t>no todas las variables críticas para la convergencia se afectarían de manera significativa con un cambio de estatus político de la Isla hacia la estadidad;</w:t>
      </w:r>
    </w:p>
    <w:p w:rsidR="005A5E7D" w:rsidRPr="0071276F" w:rsidRDefault="005A5E7D" w:rsidP="00CB3560">
      <w:pPr>
        <w:pStyle w:val="ColorfulList-Accent11"/>
        <w:numPr>
          <w:ilvl w:val="0"/>
          <w:numId w:val="19"/>
        </w:numPr>
        <w:spacing w:after="200"/>
        <w:jc w:val="left"/>
        <w:rPr>
          <w:szCs w:val="24"/>
          <w:lang w:val="es-ES_tradnl"/>
        </w:rPr>
      </w:pPr>
      <w:r w:rsidRPr="0071276F">
        <w:rPr>
          <w:szCs w:val="24"/>
          <w:lang w:val="es-ES_tradnl"/>
        </w:rPr>
        <w:t>las variables críticas para la convergencia que se afectarían de manera significativa con el cambio hacia la estadidad son: el marco institucional, el sistema de impuestos y subsidios, el tamaño del Gobierno y la política económica; (éstas representan sólo el 27% de la totalidad de las variables consideradas).</w:t>
      </w:r>
    </w:p>
    <w:p w:rsidR="005A5E7D" w:rsidRPr="0071276F" w:rsidRDefault="005A5E7D" w:rsidP="005A5E7D">
      <w:pPr>
        <w:rPr>
          <w:szCs w:val="24"/>
          <w:lang w:val="es-ES_tradnl"/>
        </w:rPr>
      </w:pPr>
      <w:r w:rsidRPr="0071276F">
        <w:rPr>
          <w:szCs w:val="24"/>
          <w:lang w:val="es-ES_tradnl"/>
        </w:rPr>
        <w:t>Se concluye que la estadidad no es una condición necesaria ni suficiente para garantizar la convergencia de la Isla con Estados Unidos. Lo anterior concuerda con los resultados del análisis de Puerto Rico con Estados Unidos y estados seleccionados. Se eligieron estados con características socioeconómicas similares y esto no fue suficiente para establecer unas relaciones significativas en sus tendencias de crecimiento del Ingreso Personal Disponible per cápita. La estadidad, por sí sola, no garantizaría la uniformidad en todas las variables pertinentes para el crecimiento de Puerto Rico como lo es el cambio estructural y la diversidad en la producción.</w:t>
      </w:r>
    </w:p>
    <w:p w:rsidR="005A5E7D" w:rsidRPr="0071276F" w:rsidRDefault="005A5E7D" w:rsidP="005A5E7D">
      <w:pPr>
        <w:spacing w:line="240" w:lineRule="auto"/>
        <w:rPr>
          <w:sz w:val="16"/>
          <w:szCs w:val="24"/>
          <w:lang w:val="es-ES_tradnl"/>
        </w:rPr>
      </w:pPr>
    </w:p>
    <w:p w:rsidR="005A5E7D" w:rsidRPr="0071276F" w:rsidRDefault="005A5E7D" w:rsidP="005A5E7D">
      <w:pPr>
        <w:pStyle w:val="Heading2"/>
        <w:numPr>
          <w:ilvl w:val="0"/>
          <w:numId w:val="10"/>
        </w:numPr>
        <w:rPr>
          <w:lang w:val="es-ES_tradnl"/>
        </w:rPr>
      </w:pPr>
      <w:bookmarkStart w:id="118" w:name="_Toc384769808"/>
      <w:r w:rsidRPr="0071276F">
        <w:rPr>
          <w:lang w:val="es-ES_tradnl"/>
        </w:rPr>
        <w:t>Recomendaciones</w:t>
      </w:r>
      <w:bookmarkEnd w:id="118"/>
    </w:p>
    <w:p w:rsidR="005A5E7D" w:rsidRPr="0071276F" w:rsidRDefault="005A5E7D" w:rsidP="005A5E7D">
      <w:pPr>
        <w:spacing w:line="360" w:lineRule="auto"/>
        <w:ind w:firstLine="708"/>
        <w:rPr>
          <w:lang w:val="es-ES_tradnl"/>
        </w:rPr>
      </w:pPr>
    </w:p>
    <w:p w:rsidR="005A5E7D" w:rsidRDefault="005A5E7D" w:rsidP="005A5E7D">
      <w:pPr>
        <w:ind w:firstLine="708"/>
        <w:rPr>
          <w:lang w:val="es-ES_tradnl"/>
        </w:rPr>
      </w:pPr>
      <w:r w:rsidRPr="0071276F">
        <w:rPr>
          <w:lang w:val="es-ES_tradnl"/>
        </w:rPr>
        <w:t>Las recomendaciones principales del equipo de investigadores se enumeran y explican a continuación.</w:t>
      </w:r>
    </w:p>
    <w:p w:rsidR="00100E1E" w:rsidRPr="0071276F" w:rsidRDefault="00100E1E" w:rsidP="005A5E7D">
      <w:pPr>
        <w:ind w:firstLine="708"/>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Atender el problema de la percepción que se tiene de Puerto Rico en Estados Unidos. </w:t>
      </w:r>
    </w:p>
    <w:p w:rsidR="005A5E7D" w:rsidRPr="0071276F" w:rsidRDefault="005A5E7D" w:rsidP="005A5E7D">
      <w:pPr>
        <w:ind w:firstLine="708"/>
        <w:rPr>
          <w:lang w:val="es-ES_tradnl"/>
        </w:rPr>
      </w:pPr>
      <w:r w:rsidRPr="0071276F">
        <w:rPr>
          <w:lang w:val="es-ES_tradnl"/>
        </w:rPr>
        <w:t>La situación actual es particularmente complicada por la intersección entre la crisis fiscal y la consideración de nuevas iniciativas de estatus. La percepción dominante que se proyecta en la prensa de Estados Unidos es que la crisis fiscal es fruto de la incapacidad administrativa de parte de la administración político partidista que ha prevalecido en Puerto Rico, junto con ciertas exenciones de impuestos que llevaron a los inversionistas estadounidenses a tomar unos riesgos exagerados. Atender los problemas que subyacen esa percepción, así como la percepción misma, debería ser una prioridad del Gobierno de Puerto Rico.</w:t>
      </w:r>
    </w:p>
    <w:p w:rsidR="005A5E7D" w:rsidRDefault="005A5E7D" w:rsidP="005A5E7D">
      <w:pPr>
        <w:ind w:firstLine="708"/>
        <w:rPr>
          <w:lang w:val="es-ES_tradnl"/>
        </w:rPr>
      </w:pPr>
      <w:r w:rsidRPr="0071276F">
        <w:rPr>
          <w:lang w:val="es-ES_tradnl"/>
        </w:rPr>
        <w:t>La percepción de una administración pública de la Isla de baja calidad, involucrada en una lucha de estatus interminable, y comprometida con la satisfacción de presiones políticas de corto plazo, junto a problemas endémicos de baja participación laboral, corrupción y malgasto de fondos federales, le ha creado una imagen negativa a Puerto Rico. Ello ignora muchas de las ventajas competitivas de Puerto Rico e incide negativamente sobre los esfuerzos para la atracción del capital externo.</w:t>
      </w:r>
    </w:p>
    <w:p w:rsidR="00100E1E" w:rsidRDefault="00100E1E" w:rsidP="005A5E7D">
      <w:pPr>
        <w:ind w:firstLine="708"/>
        <w:rPr>
          <w:lang w:val="es-ES_tradnl"/>
        </w:rPr>
      </w:pPr>
    </w:p>
    <w:p w:rsidR="00100E1E" w:rsidRDefault="00100E1E" w:rsidP="005A5E7D">
      <w:pPr>
        <w:ind w:firstLine="708"/>
        <w:rPr>
          <w:lang w:val="es-ES_tradnl"/>
        </w:rPr>
      </w:pPr>
    </w:p>
    <w:p w:rsidR="00100E1E" w:rsidRPr="0071276F" w:rsidRDefault="00100E1E" w:rsidP="005A5E7D">
      <w:pPr>
        <w:ind w:firstLine="708"/>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Optimizar el uso de los fondos y recursos recibidos de Estados Unidos. </w:t>
      </w:r>
    </w:p>
    <w:p w:rsidR="005A5E7D" w:rsidRDefault="005A5E7D" w:rsidP="005A5E7D">
      <w:pPr>
        <w:ind w:firstLine="708"/>
        <w:rPr>
          <w:lang w:val="es-ES_tradnl"/>
        </w:rPr>
      </w:pPr>
      <w:r w:rsidRPr="0071276F">
        <w:rPr>
          <w:lang w:val="es-ES_tradnl"/>
        </w:rPr>
        <w:t>Se han producido importantes informes y evaluaciones en Estados Unidos que pueden útiles al momento de diseñar políticas públicas alternativas para Puerto Rico. La necesidad de que el Gobierno del ELA utilice de forma eficiente y maximice el uso de los fondos federales que ya recibe, es un elemento común de varios de los informes consultados. También se recomienda insistentemente el prestar atención especial a la creación de empleos en el marco de una revisión de los incentivos existentes para su creación y el efecto adverso de las transferencias federales en dicho contexto. Reconocer esta realidad es muy importante en la medida que el Gobierno de Puerto Rico toma medidas que se perfilen como generadoras de un escenario de cambio positivo.</w:t>
      </w:r>
    </w:p>
    <w:p w:rsidR="00100E1E" w:rsidRPr="0071276F" w:rsidRDefault="00100E1E" w:rsidP="005A5E7D">
      <w:pPr>
        <w:ind w:firstLine="708"/>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Convocar una comisión no-partidista de alto nivel para estudiar la crisis. </w:t>
      </w:r>
    </w:p>
    <w:p w:rsidR="005A5E7D" w:rsidRDefault="005A5E7D" w:rsidP="005A5E7D">
      <w:pPr>
        <w:ind w:firstLine="708"/>
        <w:rPr>
          <w:lang w:val="es-ES_tradnl"/>
        </w:rPr>
      </w:pPr>
      <w:r w:rsidRPr="0071276F">
        <w:rPr>
          <w:lang w:val="es-ES_tradnl"/>
        </w:rPr>
        <w:t xml:space="preserve">Debe considerarse, seriamente, la convocatoria de una comisión no partidista de alto nivel que considere varios de los aspectos de política pública que intervienen en la creación de los factores que han provocado la crisis. La posibilidad de que el Gobierno federal sea uno de los agentes promotores de esa iniciativa en Puerto Rico debe de considerarse seriamente. Esa idea fue presentada recientemente en el </w:t>
      </w:r>
      <w:r w:rsidRPr="0071276F">
        <w:rPr>
          <w:i/>
          <w:lang w:val="es-ES_tradnl"/>
        </w:rPr>
        <w:t>Center for Strategic and International Studies</w:t>
      </w:r>
      <w:r w:rsidRPr="0071276F">
        <w:rPr>
          <w:lang w:val="es-ES_tradnl"/>
        </w:rPr>
        <w:t>.</w:t>
      </w:r>
    </w:p>
    <w:p w:rsidR="00100E1E" w:rsidRPr="0071276F" w:rsidRDefault="00100E1E" w:rsidP="005A5E7D">
      <w:pPr>
        <w:ind w:firstLine="708"/>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Fortalecer “políticas de Estado” resistentes a los cambios partidistas en el Gobierno. </w:t>
      </w:r>
    </w:p>
    <w:p w:rsidR="005A5E7D" w:rsidRDefault="005A5E7D" w:rsidP="005A5E7D">
      <w:pPr>
        <w:ind w:firstLine="708"/>
        <w:rPr>
          <w:lang w:val="es-ES_tradnl"/>
        </w:rPr>
      </w:pPr>
      <w:r w:rsidRPr="0071276F">
        <w:rPr>
          <w:lang w:val="es-ES_tradnl"/>
        </w:rPr>
        <w:t>Se deben fortale</w:t>
      </w:r>
      <w:r>
        <w:rPr>
          <w:lang w:val="es-ES_tradnl"/>
        </w:rPr>
        <w:t>cer las llamadas “políticas de E</w:t>
      </w:r>
      <w:r w:rsidRPr="0071276F">
        <w:rPr>
          <w:lang w:val="es-ES_tradnl"/>
        </w:rPr>
        <w:t xml:space="preserve">stado” que se resisten al embate de los cambios de Gobierno de naturaleza político partidista. Se deben favorecer, en este marco, medidas dirigidas a ampliar el marco de acción gubernamental que abaraten los costos de la entrada de mercancías y que permitan una mayor participación de la Isla en procesos de naturaleza internacional. También, se deben atender las recomendaciones del </w:t>
      </w:r>
      <w:r w:rsidRPr="0071276F">
        <w:rPr>
          <w:i/>
          <w:lang w:val="es-ES_tradnl"/>
        </w:rPr>
        <w:t>Federal Reserve Board</w:t>
      </w:r>
      <w:r w:rsidRPr="0071276F">
        <w:rPr>
          <w:lang w:val="es-ES_tradnl"/>
        </w:rPr>
        <w:t xml:space="preserve"> de Nueva York para mejorar la competitividad económica de la Isla. La idea sugerida por el </w:t>
      </w:r>
      <w:r w:rsidRPr="0071276F">
        <w:rPr>
          <w:i/>
          <w:lang w:val="es-ES_tradnl"/>
        </w:rPr>
        <w:t>Federal Reserve</w:t>
      </w:r>
      <w:r w:rsidRPr="0071276F">
        <w:rPr>
          <w:lang w:val="es-ES_tradnl"/>
        </w:rPr>
        <w:t xml:space="preserve"> de eximir a Puerto Rico de las leyes de cabotaje por cinco años para luego analizar su impacto potencial positivo concreto es una idea que merece apoyo.</w:t>
      </w:r>
    </w:p>
    <w:p w:rsidR="00100E1E" w:rsidRPr="0071276F" w:rsidRDefault="00100E1E" w:rsidP="005A5E7D">
      <w:pPr>
        <w:ind w:firstLine="708"/>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Desarrollar nuevos mecanismos de consulta y negociación entre Puerto Rico y Estados Unidos. </w:t>
      </w:r>
    </w:p>
    <w:p w:rsidR="005A5E7D" w:rsidRDefault="005A5E7D" w:rsidP="005A5E7D">
      <w:pPr>
        <w:ind w:firstLine="708"/>
        <w:rPr>
          <w:lang w:val="es-ES_tradnl"/>
        </w:rPr>
      </w:pPr>
      <w:r w:rsidRPr="0071276F">
        <w:rPr>
          <w:lang w:val="es-ES_tradnl"/>
        </w:rPr>
        <w:t>El Gobierno de Estados Unidos tampoco ha ejercido la función que le corresponde de ayudar a des</w:t>
      </w:r>
      <w:r>
        <w:rPr>
          <w:lang w:val="es-ES_tradnl"/>
        </w:rPr>
        <w:t>atas</w:t>
      </w:r>
      <w:r w:rsidRPr="0071276F">
        <w:rPr>
          <w:lang w:val="es-ES_tradnl"/>
        </w:rPr>
        <w:t>car el escenario altamente polarizado y divisivo en que se conducen las discusiones de política pública en Puerto Rico y que limitan las capacidades del Gobierno de Puerto Rico de planificar a largo plazo. La crisis fiscal presente no necesariamente altera el cuadro anterior, sobre todo si una nueva ronda de estatus enciende las pasiones partidistas, proyectando un escenario de división y de dinámicas políticas de cero-suma. Ello sugiere como inaplazable el desarrollo de nuevos mecanismos de consulta y negociación entre Puerto Rico y Estados Unidos sobre asuntos que inciden en el contenido de las relaciones políticas como en temas de desarrollo y calidad de vida. Esto parecería una condición necesaria para adelantar la agenda de estatus de forma constructiva.</w:t>
      </w:r>
    </w:p>
    <w:p w:rsidR="00100E1E" w:rsidRPr="0071276F" w:rsidRDefault="00100E1E" w:rsidP="005A5E7D">
      <w:pPr>
        <w:ind w:firstLine="708"/>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Promover consensos procesales en materia de estatus. </w:t>
      </w:r>
    </w:p>
    <w:p w:rsidR="005A5E7D" w:rsidRPr="0071276F" w:rsidRDefault="005A5E7D" w:rsidP="005A5E7D">
      <w:pPr>
        <w:ind w:firstLine="708"/>
        <w:rPr>
          <w:lang w:val="es-ES_tradnl"/>
        </w:rPr>
      </w:pPr>
      <w:r w:rsidRPr="0071276F">
        <w:rPr>
          <w:lang w:val="es-ES_tradnl"/>
        </w:rPr>
        <w:t>El Gobierno de Puerto Rico debe explorar formas de lograr consensos procesales en materia de estatus que permitan la elaboración de criterios mínimos sobre el procedimiento a seguir en materia de relaciones Estados Unidos y Puerto Rico. La asamblea constitucional de estatus, conceptualmente al menos, es una opción que debe considerarse con mucho cuidado y discernimiento en consulta con los partidos políticos de Puerto Rico y con el liderato cívico de la Isla. La asamblea constituiría un ente negociador en un proceso serio e inclusivo. Éste es un mecanismo que permite la discusión del problema desde una perspectiva amplia y permite continuidad en el tiempo. Tanto la comisión no partidista, como la asamblea constituyente son procesos no excluyentes que pueden articularse paralelamente.</w:t>
      </w:r>
    </w:p>
    <w:p w:rsidR="005A5E7D" w:rsidRDefault="005A5E7D" w:rsidP="005A5E7D">
      <w:pPr>
        <w:ind w:firstLine="708"/>
        <w:rPr>
          <w:lang w:val="es-ES_tradnl"/>
        </w:rPr>
      </w:pPr>
      <w:r w:rsidRPr="0071276F">
        <w:rPr>
          <w:lang w:val="es-ES_tradnl"/>
        </w:rPr>
        <w:t>Éste es un momento para buscar medidas de conciliación que permitan explorar las opciones sustantivas de Puerto Rico en un marco de reglas de juego claramente acordadas por todos los actores interesados. Puerto Rico no se beneficia de la celebración de nuevas consultas electorales que confirmen las diferencias entre la población sobre este tema y que envían el mensaje de que Puerto Rico no manifiesta capacidad para una acción coherente y ajustada a la gravedad del momento económico y fiscal que experimenta la Isla.</w:t>
      </w:r>
    </w:p>
    <w:p w:rsidR="00100E1E" w:rsidRPr="0071276F" w:rsidRDefault="00100E1E" w:rsidP="005A5E7D">
      <w:pPr>
        <w:ind w:firstLine="708"/>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Desarrollar estrategias de inserción en la globalización. </w:t>
      </w:r>
    </w:p>
    <w:p w:rsidR="005A5E7D" w:rsidRPr="0071276F" w:rsidRDefault="005A5E7D" w:rsidP="005A5E7D">
      <w:pPr>
        <w:rPr>
          <w:szCs w:val="24"/>
          <w:lang w:val="es-ES_tradnl"/>
        </w:rPr>
      </w:pPr>
      <w:r w:rsidRPr="0071276F">
        <w:rPr>
          <w:szCs w:val="24"/>
          <w:lang w:val="es-ES_tradnl"/>
        </w:rPr>
        <w:t>Clar (2013) comenta que “aunque el Estado Libre Asociado de Puerto Rico se convirtió en un modelo ejemplar de rápida industrialización y democratización en la década de 1950, su principal defecto como un modelo para el siglo XXI se puede atribuir a las barreras que éste impone a la capacidad del territorio para internacionalizar su sociedad y la economía. En una época posterior a la Guerra Fría, existen signos claros de que la Isla no ha adoptado plenamente los beneficios de la globalización.</w:t>
      </w:r>
    </w:p>
    <w:p w:rsidR="005A5E7D" w:rsidRDefault="005A5E7D" w:rsidP="005A5E7D">
      <w:pPr>
        <w:rPr>
          <w:szCs w:val="24"/>
          <w:lang w:val="es-ES_tradnl"/>
        </w:rPr>
      </w:pPr>
      <w:r w:rsidRPr="0071276F">
        <w:rPr>
          <w:szCs w:val="24"/>
          <w:lang w:val="es-ES_tradnl"/>
        </w:rPr>
        <w:t>Colón (1998) comenta que uno de los propósitos principales de esta opción política es mejorar las capacidades del Estado Libre Asociado para regular la actividad económica en un contexto económico global, mientras obtiene, al mismo tiempo, paridad de financiamiento federal con el resto de los estados. Las nuevas herramientas políticas y económicas (capacidad para entrar en acuerdos comerciales internacionales, mayor rol del Gobernador para representar a Puerto Rico internacionalmente, participación de la Isla en acuerdos comerciales, mayor capacidad para proteger propiedad intelectual, etc.) ayudarían al Estado Libre Asociado a sobrevivir y crecer en un contexto internacional drásticamente alterado.</w:t>
      </w:r>
    </w:p>
    <w:p w:rsidR="00100E1E" w:rsidRDefault="00100E1E" w:rsidP="005A5E7D">
      <w:pPr>
        <w:rPr>
          <w:szCs w:val="24"/>
          <w:lang w:val="es-ES_tradnl"/>
        </w:rPr>
      </w:pPr>
    </w:p>
    <w:p w:rsidR="00100E1E" w:rsidRDefault="00100E1E" w:rsidP="005A5E7D">
      <w:pPr>
        <w:rPr>
          <w:szCs w:val="24"/>
          <w:lang w:val="es-ES_tradnl"/>
        </w:rPr>
      </w:pPr>
    </w:p>
    <w:p w:rsidR="00100E1E" w:rsidRPr="0071276F" w:rsidRDefault="00100E1E" w:rsidP="005A5E7D">
      <w:pPr>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Promover la diversificación del sector manufacturero y la participación del capital puertorriqueño en el mismo. </w:t>
      </w:r>
    </w:p>
    <w:p w:rsidR="005A5E7D" w:rsidRPr="0071276F" w:rsidRDefault="005A5E7D" w:rsidP="005A5E7D">
      <w:pPr>
        <w:rPr>
          <w:szCs w:val="24"/>
          <w:lang w:val="es-ES_tradnl"/>
        </w:rPr>
      </w:pPr>
      <w:r w:rsidRPr="0071276F">
        <w:rPr>
          <w:szCs w:val="24"/>
          <w:lang w:val="es-ES_tradnl"/>
        </w:rPr>
        <w:t>Dietz (2003) argumenta que el principal fracaso del programa “Manos a la Obra” es su dependencia casi total de la inversión directa no local (estadounidense) para promover el desarrollo industrial. El autor compara la experiencia de los "tigres de Asia oriental" y Puerto Rico para demostrar cómo mediante la promoción de la iniciativa empresarial puertorriqueña, los primeros superaron este último a pesar de ser igualmente pequeñas economías abiertas. La CEPAL (2005) coincide con la posición. Según la CEPAL, “el desarrollo limitado de la industria de capital local, fuera de las actividades de servicios y comercialización de bienes, y la escasa participación de los empresarios puertorriqueños en el comercio exterior, ha sido uno de los resultados menos favorables de la estrategia seguida en la segunda mitad del siglo XX. Existe una aguda conciencia de la importancia de fortalecer la industria de capital local y proyectarla hacia los mercados externos, sobre todo en el entorno actual caracterizado por acuerdos y negociaciones comerciales como el TLCAN, el CAFTA y el ALCA” (CEPAL, 2004).</w:t>
      </w:r>
    </w:p>
    <w:p w:rsidR="005A5E7D" w:rsidRDefault="005A5E7D" w:rsidP="005A5E7D">
      <w:pPr>
        <w:rPr>
          <w:szCs w:val="24"/>
          <w:lang w:val="es-ES_tradnl"/>
        </w:rPr>
      </w:pPr>
      <w:r w:rsidRPr="0071276F">
        <w:rPr>
          <w:szCs w:val="24"/>
          <w:lang w:val="es-ES_tradnl"/>
        </w:rPr>
        <w:t>Green (1996) comenta que “uno de los retos más importantes de esta década lo constituye el promover la integración y la diversificación de la estructura industrial. Por años las industrias en Puerto Rico han tenido muy poca integración entre sí; le ha tocado a la manufactura cargar el peso de la generación de exportaciones e ingresos. Existe un consenso entre las tres fórmulas políticas de promover la diversificación industrial y la integración de las empresas. Esto conllevaría tanto a la diversificación de exportaciones como a la sustitución de importaciones.</w:t>
      </w:r>
    </w:p>
    <w:p w:rsidR="00100E1E" w:rsidRPr="0071276F" w:rsidRDefault="00100E1E" w:rsidP="005A5E7D">
      <w:pPr>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Aumentar los eslabonamientos interindustriales mediante la sustitución selectiva y eficiente de importaciones. </w:t>
      </w:r>
    </w:p>
    <w:p w:rsidR="005A5E7D" w:rsidRPr="0071276F" w:rsidRDefault="005A5E7D" w:rsidP="005A5E7D">
      <w:pPr>
        <w:widowControl w:val="0"/>
        <w:autoSpaceDE w:val="0"/>
        <w:autoSpaceDN w:val="0"/>
        <w:adjustRightInd w:val="0"/>
        <w:rPr>
          <w:szCs w:val="24"/>
          <w:lang w:val="es-ES_tradnl"/>
        </w:rPr>
      </w:pPr>
      <w:r w:rsidRPr="0071276F">
        <w:rPr>
          <w:szCs w:val="24"/>
          <w:lang w:val="es-ES_tradnl"/>
        </w:rPr>
        <w:t>Esto resultaría en una mayor creación de empleos indirectos y mayores multiplicadores de empleo e ingresos. Se recomienda un cambio en la estrategia de desarrollo, a una que dé mayor énfasis en atraer más industrias intensivas en el uso de mano de obra y sectores que pueden basar su producción en los insumos producidos en Puerto Rico (Ángel Ruiz y E. Wolff, 1996, pp. 28 29).</w:t>
      </w:r>
    </w:p>
    <w:p w:rsidR="005A5E7D" w:rsidRPr="0071276F" w:rsidRDefault="005A5E7D" w:rsidP="005A5E7D">
      <w:pPr>
        <w:rPr>
          <w:szCs w:val="24"/>
          <w:lang w:val="es-ES_tradnl"/>
        </w:rPr>
      </w:pPr>
      <w:r w:rsidRPr="0071276F">
        <w:rPr>
          <w:szCs w:val="24"/>
          <w:lang w:val="es-ES_tradnl"/>
        </w:rPr>
        <w:t xml:space="preserve">Según la CEPAL (2005), no es conveniente ni deseable que la competitividad descanse casi exclusivamente en un número reducido de industrias manufactureras de alta tecnología; máxime si éstas tienen una red limitada de conexión con el resto de la economía y su capacidad de generar empleo también es limitada. “Se desprende también de esta experiencia que </w:t>
      </w:r>
      <w:r w:rsidRPr="0071276F">
        <w:rPr>
          <w:szCs w:val="24"/>
          <w:u w:val="single"/>
          <w:lang w:val="es-ES_tradnl"/>
        </w:rPr>
        <w:t>el desarrollo de los eslabonamientos industriales</w:t>
      </w:r>
      <w:r w:rsidRPr="0071276F">
        <w:rPr>
          <w:szCs w:val="24"/>
          <w:lang w:val="es-ES_tradnl"/>
        </w:rPr>
        <w:t xml:space="preserve"> y la transferencia de tecnología, que son los beneficios potenciales más importantes de la atracción de capacidad industrial del exterior no son necesariamente procesos automáticos, sino que requieren la implantación de políticas públicas que las hagan posibles y las promueven.”</w:t>
      </w:r>
    </w:p>
    <w:p w:rsidR="005A5E7D" w:rsidRDefault="005A5E7D" w:rsidP="005A5E7D">
      <w:pPr>
        <w:widowControl w:val="0"/>
        <w:autoSpaceDE w:val="0"/>
        <w:autoSpaceDN w:val="0"/>
        <w:adjustRightInd w:val="0"/>
        <w:rPr>
          <w:szCs w:val="24"/>
          <w:lang w:val="es-ES_tradnl"/>
        </w:rPr>
      </w:pPr>
      <w:r w:rsidRPr="0071276F">
        <w:rPr>
          <w:szCs w:val="24"/>
          <w:lang w:val="es-ES_tradnl"/>
        </w:rPr>
        <w:t xml:space="preserve">Abundando sobre los eslabonamientos industriales, Ángel Ruiz y Edward Wolff han llamado la atención sobre la naturaleza "de enclave" de las industrias de exportación de Puerto Rico, </w:t>
      </w:r>
      <w:r w:rsidRPr="0071276F">
        <w:rPr>
          <w:szCs w:val="24"/>
          <w:u w:val="single"/>
          <w:lang w:val="es-ES_tradnl"/>
        </w:rPr>
        <w:t>que se basan en gran medida en las de EE.UU., en las importaciones de insumos intermedios y producción</w:t>
      </w:r>
      <w:r w:rsidRPr="0071276F">
        <w:rPr>
          <w:szCs w:val="24"/>
          <w:lang w:val="es-ES_tradnl"/>
        </w:rPr>
        <w:t xml:space="preserve"> para la exportación y que generan pérdidas sustanciales </w:t>
      </w:r>
      <w:r w:rsidRPr="0071276F">
        <w:rPr>
          <w:szCs w:val="24"/>
          <w:u w:val="single"/>
          <w:lang w:val="es-ES_tradnl"/>
        </w:rPr>
        <w:t xml:space="preserve">por filtraciones ocasionadas por las </w:t>
      </w:r>
      <w:r>
        <w:rPr>
          <w:szCs w:val="24"/>
          <w:u w:val="single"/>
          <w:lang w:val="es-ES_tradnl"/>
        </w:rPr>
        <w:t>importaciones (</w:t>
      </w:r>
      <w:r w:rsidRPr="00C27DF8">
        <w:rPr>
          <w:i/>
          <w:szCs w:val="20"/>
          <w:u w:val="single"/>
          <w:lang w:val="es-ES_tradnl"/>
        </w:rPr>
        <w:t>import leakages</w:t>
      </w:r>
      <w:r w:rsidRPr="0071276F">
        <w:rPr>
          <w:szCs w:val="24"/>
          <w:u w:val="single"/>
          <w:lang w:val="es-ES_tradnl"/>
        </w:rPr>
        <w:t>).</w:t>
      </w:r>
      <w:r w:rsidRPr="0071276F">
        <w:rPr>
          <w:szCs w:val="24"/>
          <w:lang w:val="es-ES_tradnl"/>
        </w:rPr>
        <w:t xml:space="preserve"> Las industrias de exportación siguen funcionando básicamente como sucursales de los propietarios estadounidenses, y aún no se han integrado plenamente en la economía de Puerto Rico. Las industrias manufactureras en Puerto Rico han permanecido aisladas del resto de la economía puertorriqueña y han generado pocos empleos. Esto se debe a que se caracterizan por las filtraciones hacia afuera por la vía de importación y bajos multiplicadores de empleo.</w:t>
      </w:r>
    </w:p>
    <w:p w:rsidR="00100E1E" w:rsidRPr="0071276F" w:rsidRDefault="00100E1E" w:rsidP="005A5E7D">
      <w:pPr>
        <w:widowControl w:val="0"/>
        <w:autoSpaceDE w:val="0"/>
        <w:autoSpaceDN w:val="0"/>
        <w:adjustRightInd w:val="0"/>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Promover la exportación de servicios. </w:t>
      </w:r>
    </w:p>
    <w:p w:rsidR="005A5E7D" w:rsidRPr="0071276F" w:rsidRDefault="005A5E7D" w:rsidP="005A5E7D">
      <w:pPr>
        <w:widowControl w:val="0"/>
        <w:autoSpaceDE w:val="0"/>
        <w:autoSpaceDN w:val="0"/>
        <w:adjustRightInd w:val="0"/>
        <w:rPr>
          <w:szCs w:val="24"/>
          <w:lang w:val="es-ES_tradnl"/>
        </w:rPr>
      </w:pPr>
      <w:r w:rsidRPr="0071276F">
        <w:rPr>
          <w:szCs w:val="24"/>
          <w:lang w:val="es-ES_tradnl"/>
        </w:rPr>
        <w:t>Se debe estudiar en detalle la estructura de ventajas comparativas que Puerto Rico parece tener en ciertas actividades de servicios como las finanzas, seguros y bienes raíces, la ingeniería, las comunicaciones y los servicios de apoyo a negocios como auditoría y consultoría. Conviene darle atención especial a las exportaciones potenciales de servicios a los países de Centroamérica y la República Dominicana para aprovechar la apertura creada por el CAFTA+RD (CEPAL, 2005).</w:t>
      </w:r>
    </w:p>
    <w:p w:rsidR="005A5E7D" w:rsidRDefault="005A5E7D" w:rsidP="005A5E7D">
      <w:pPr>
        <w:widowControl w:val="0"/>
        <w:autoSpaceDE w:val="0"/>
        <w:autoSpaceDN w:val="0"/>
        <w:adjustRightInd w:val="0"/>
        <w:rPr>
          <w:szCs w:val="24"/>
          <w:lang w:val="es-ES_tradnl"/>
        </w:rPr>
      </w:pPr>
      <w:r w:rsidRPr="0071276F">
        <w:rPr>
          <w:szCs w:val="24"/>
          <w:lang w:val="es-ES_tradnl"/>
        </w:rPr>
        <w:t xml:space="preserve">Wolff y Ruiz (1996) recomiendan la promoción de exportaciones de servicios de las industrias que podrían ser potencialmente exportadoras de estos. Estos autores se preguntan ¿Qué industrias son los principales candidatos? Vemos posibilidades para el desarrollo de servicios exportables, tales como finanzas, seguros y servicios empresariales, así como los servicios de salud. Como se ha señalado por Ruiz y Castañer (1993), la </w:t>
      </w:r>
      <w:r>
        <w:rPr>
          <w:szCs w:val="24"/>
          <w:lang w:val="es-ES_tradnl"/>
        </w:rPr>
        <w:t>c</w:t>
      </w:r>
      <w:r w:rsidRPr="0071276F">
        <w:rPr>
          <w:szCs w:val="24"/>
          <w:lang w:val="es-ES_tradnl"/>
        </w:rPr>
        <w:t>uenca del Caribe, incluyendo México, América Central, Colombia y Venezuela, ahora parecen a punto de lograr un estado mas rápido de crecimiento. Debido al alto nivel de educación de la ciudadanía de Puerto Rico (Baumol y Wolff, 1996), tendría sentido promover el desarrollo de estos servicios de alta categoría para el mercado del Caribe. Estos servicios se caracterizan por multiplicadores de empleo relativamente altos. (Green, 1996).</w:t>
      </w:r>
    </w:p>
    <w:p w:rsidR="00100E1E" w:rsidRPr="0071276F" w:rsidRDefault="00100E1E" w:rsidP="005A5E7D">
      <w:pPr>
        <w:widowControl w:val="0"/>
        <w:autoSpaceDE w:val="0"/>
        <w:autoSpaceDN w:val="0"/>
        <w:adjustRightInd w:val="0"/>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Desarrollar una estrategia para aumentar la aportación del turismo al Producto Bruto. </w:t>
      </w:r>
    </w:p>
    <w:p w:rsidR="005A5E7D" w:rsidRDefault="005A5E7D" w:rsidP="005A5E7D">
      <w:pPr>
        <w:rPr>
          <w:szCs w:val="24"/>
          <w:lang w:val="es-ES_tradnl"/>
        </w:rPr>
      </w:pPr>
      <w:r w:rsidRPr="0071276F">
        <w:rPr>
          <w:szCs w:val="24"/>
          <w:lang w:val="es-ES_tradnl"/>
        </w:rPr>
        <w:t>El turismo y la agricultura han languidecido durante las últimas décadas. Servicios de hostelería, agricultura y productos alimenticios fabricados dependen en gran medida de los insumos locales, y tienen altos multiplicadores de empleo.</w:t>
      </w:r>
    </w:p>
    <w:p w:rsidR="00100E1E" w:rsidRPr="0071276F" w:rsidRDefault="00100E1E" w:rsidP="005A5E7D">
      <w:pPr>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Entablar un diálogo con Estados Unidos para mejorar la participación de Puerto Rico en los tratados de libre comercio. </w:t>
      </w:r>
    </w:p>
    <w:p w:rsidR="005A5E7D" w:rsidRDefault="005A5E7D" w:rsidP="005A5E7D">
      <w:pPr>
        <w:rPr>
          <w:szCs w:val="24"/>
          <w:lang w:val="es-ES_tradnl"/>
        </w:rPr>
      </w:pPr>
      <w:r w:rsidRPr="0071276F">
        <w:rPr>
          <w:szCs w:val="24"/>
          <w:lang w:val="es-ES_tradnl"/>
        </w:rPr>
        <w:t>Según Clar (2013), el Gobierno de Estados Unidos debe encontrar maneras de involucrar activamente a Puerto Rico en el Tratado de Libre Comercio de América del Norte (TLCAN) para incrementar el comercio canadiense y mexicano con la Isla. Después de la aprobación del TLCAN, las industrias en Puerto Rico perdieron competitividad con las empresas mexicanas, sobre todo en el sector manufacturero, el desempleo aumentó dramáticamente, y los niveles de inversión disminuyeron en comparación con México. Al carecer de la capacidad para participar en los debates del TLCAN, Puerto Rico tuvo que sufrir la sanción de un acuerdo que no fue hecho para satisfacer las necesidades del Estado Libre Asociado. El Gobierno federal debería ayudar a encontrar soluciones para minimizar este golpe económico.</w:t>
      </w:r>
    </w:p>
    <w:p w:rsidR="00100E1E" w:rsidRPr="0071276F" w:rsidRDefault="00100E1E" w:rsidP="005A5E7D">
      <w:pPr>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Fomentar la investigación y desarrollo para desarrollar una capacidad endógena de innovación. </w:t>
      </w:r>
    </w:p>
    <w:p w:rsidR="005A5E7D" w:rsidRDefault="005A5E7D" w:rsidP="005A5E7D">
      <w:pPr>
        <w:rPr>
          <w:szCs w:val="24"/>
          <w:lang w:val="es-ES_tradnl"/>
        </w:rPr>
      </w:pPr>
      <w:r w:rsidRPr="0071276F">
        <w:rPr>
          <w:szCs w:val="24"/>
          <w:lang w:val="es-ES_tradnl"/>
        </w:rPr>
        <w:t>El Banco de la Reserva Federal de Nueva York (2012) recomendó “fomentar las asociaciones entre la industria y los centros de educación superior y las universidades encaminadas a promover el desarrollo de tecnologías de “importancia mundial”.</w:t>
      </w:r>
    </w:p>
    <w:p w:rsidR="00100E1E" w:rsidRPr="0071276F" w:rsidRDefault="00100E1E" w:rsidP="005A5E7D">
      <w:pPr>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Negociar con el Congreso de Estados Unidos la exención de Puerto Rico de la Ley de Cabotaje. </w:t>
      </w:r>
    </w:p>
    <w:p w:rsidR="005A5E7D" w:rsidRPr="0071276F" w:rsidRDefault="005A5E7D" w:rsidP="005A5E7D">
      <w:pPr>
        <w:rPr>
          <w:szCs w:val="24"/>
          <w:lang w:val="es-ES_tradnl"/>
        </w:rPr>
      </w:pPr>
      <w:r w:rsidRPr="0071276F">
        <w:rPr>
          <w:szCs w:val="24"/>
          <w:lang w:val="es-ES_tradnl"/>
        </w:rPr>
        <w:t xml:space="preserve">Según el Banco de la Reserva Federal (2012), </w:t>
      </w:r>
      <w:r w:rsidRPr="0071276F">
        <w:rPr>
          <w:lang w:val="es-ES_tradnl"/>
        </w:rPr>
        <w:t>“el alto costo de transporte marítimo es una carga sustancial que impacta la productividad de la isla”. Alega que Puerto Rico se encuentra en una situación diferente con respecto a la Ley Jones, debido a la condición de su economía. Señala que una opción podría ser la búsqueda de una exención temporal de la Ley Jones, por ejemplo durante cinco años, con el fin de evaluar si estas restricciones representan en realidad la causa sustancial de los elevados costos de transportación para permitir la evaluación de los costos y beneficios de una exención permanente.</w:t>
      </w:r>
    </w:p>
    <w:p w:rsidR="005A5E7D" w:rsidRDefault="005A5E7D" w:rsidP="005A5E7D">
      <w:pPr>
        <w:rPr>
          <w:szCs w:val="24"/>
          <w:lang w:val="es-ES_tradnl"/>
        </w:rPr>
      </w:pPr>
      <w:r w:rsidRPr="0071276F">
        <w:rPr>
          <w:szCs w:val="24"/>
          <w:lang w:val="es-ES_tradnl"/>
        </w:rPr>
        <w:t>Para incentivar a las empresas puertorriqueñas a una mayor internacionalización y exportación de sus productos, es necesario que las posibilidades de una mayor rentabilidad financiera esté presente en su decisión de hacer negocios fuera de la Isla. Para esto, es necesario la disminución en los costos a los cuales mercadean sus productos en el exterior incluyendo los costos de transportación. Con miras a reducir dichos costos de transportación hacia y desde la Isla y alcanzar una mayor competitividad, se recomienda que el Gobierno de Puerto Rico negocie de forma más agresiva y contundente con el Congreso de Estados Unidos la eliminación, o poner en moratoria, de las leyes de cabotaje que aplican a Puerto Rico.</w:t>
      </w:r>
    </w:p>
    <w:p w:rsidR="00100E1E" w:rsidRPr="0071276F" w:rsidRDefault="00100E1E" w:rsidP="005A5E7D">
      <w:pPr>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Promover un mejor alineamiento entre el sistema educativo y las necesidades de un sistema enfocado en la economía del conocimiento. </w:t>
      </w:r>
    </w:p>
    <w:p w:rsidR="005A5E7D" w:rsidRPr="0071276F" w:rsidRDefault="005A5E7D" w:rsidP="005A5E7D">
      <w:pPr>
        <w:rPr>
          <w:szCs w:val="24"/>
          <w:lang w:val="es-ES_tradnl"/>
        </w:rPr>
      </w:pPr>
      <w:r w:rsidRPr="0071276F">
        <w:rPr>
          <w:szCs w:val="24"/>
          <w:lang w:val="es-ES_tradnl"/>
        </w:rPr>
        <w:t>Según Green (1996), un “reto importante para aumentar la productividad de las empresas y los trabajadores, y poder así competir en los mercados globales de hoy día, es el desarrollar los recursos humanos y la capacidad técnica de las empresas. En última instancia, la habilidad y dedicación de la fuerza de trabajo, y las herramientas y recursos disponibles a las empresas, constituyen la base para el desarrollo de una economía moderna. La disponibilidad de grandes reservas de recursos naturales puede haber jugado un papel en el desarrollo económico de otros países, pero las industrias del presente y del futuro—comunicaciones, electrónica, biología y genética, por mencionar sólo algunas—dependen mayormente de los recursos humanos y tecnológicos del país”.</w:t>
      </w: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Fortalecer las fuentes internas de recursos fiscales.</w:t>
      </w:r>
    </w:p>
    <w:p w:rsidR="005A5E7D" w:rsidRDefault="005A5E7D" w:rsidP="005A5E7D">
      <w:pPr>
        <w:rPr>
          <w:lang w:val="es-ES_tradnl"/>
        </w:rPr>
      </w:pPr>
      <w:r w:rsidRPr="0071276F">
        <w:rPr>
          <w:lang w:val="es-ES_tradnl"/>
        </w:rPr>
        <w:t>Deben articularse políticas públicas viables que generen actividad económica de fuentes internas que permita al Gobierno generar suficientes recursos para reducir la dependencia económica extrema de los fondos federales asignados al Gobierno para el sostenimiento del Estado. El desarrollo de una economía nacional deberá estar fundamentado en reducir la dependencia económica de la inversión externa subsidiada por el Gobierno y en una mayor participación de los empresarios puertorriqueños, particularmente de las pymes.</w:t>
      </w:r>
    </w:p>
    <w:p w:rsidR="00100E1E" w:rsidRPr="0071276F" w:rsidRDefault="00100E1E" w:rsidP="005A5E7D">
      <w:pPr>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Darle permanencia y estabilidad al arbitrio de 4% a las corporaciones foráneas (Ley 154). </w:t>
      </w:r>
    </w:p>
    <w:p w:rsidR="005A5E7D" w:rsidRDefault="005A5E7D" w:rsidP="005A5E7D">
      <w:pPr>
        <w:rPr>
          <w:lang w:val="es-ES_tradnl"/>
        </w:rPr>
      </w:pPr>
      <w:r w:rsidRPr="0071276F">
        <w:rPr>
          <w:lang w:val="es-ES_tradnl"/>
        </w:rPr>
        <w:t>La inseguridad en torno a la permanencia del arbitrio de 4% a las empresas foráneas ha creado un clima empresarial inestable e incierto que impacta adversamente la toma de decisiones de inversión de dichas empresas. Recomendamos que el Gobierno de Puerto Rico tome una decisión final encaminada a establecer dicho arbitrio permanentemente (aunque la magnitud podría variar), independientemente de las decisiones del Gobierno federal con relación a si continuará otorgando o no los créditos a las empresas foráneas por contribuciones pagadas a Puerto Rico.</w:t>
      </w:r>
    </w:p>
    <w:p w:rsidR="00100E1E" w:rsidRPr="0071276F" w:rsidRDefault="00100E1E" w:rsidP="005A5E7D">
      <w:pPr>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Crear un Fondo para Infraestructura, utilizando parte de los recursos generados por el arbitrio de 4% a las corporaciones foráneas. </w:t>
      </w:r>
    </w:p>
    <w:p w:rsidR="005A5E7D" w:rsidRDefault="005A5E7D" w:rsidP="005A5E7D">
      <w:pPr>
        <w:rPr>
          <w:lang w:val="es-ES_tradnl"/>
        </w:rPr>
      </w:pPr>
      <w:r w:rsidRPr="0071276F">
        <w:rPr>
          <w:lang w:val="es-ES_tradnl"/>
        </w:rPr>
        <w:t>Para compensar por el posible impacto a las corporaciones foráneas y mitigar cualquier intento de relocalización de ellas, se recomienda que parte de los recursos generados por concepto del arbitrio se utilicen para la creación de un Fondo para Infraestructura. La inversión en infraestructura social generaría economías a las empresas y aumentos en productividad; necesarios para aumentar la competitividad y atractivos de la Isla como localización industrial.</w:t>
      </w:r>
    </w:p>
    <w:p w:rsidR="00100E1E" w:rsidRPr="0071276F" w:rsidRDefault="00100E1E" w:rsidP="005A5E7D">
      <w:pPr>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Diseñar nuevos mecanismos para atraer inversión externa. </w:t>
      </w:r>
    </w:p>
    <w:p w:rsidR="005A5E7D" w:rsidRDefault="005A5E7D" w:rsidP="005A5E7D">
      <w:pPr>
        <w:rPr>
          <w:lang w:val="es-ES_tradnl"/>
        </w:rPr>
      </w:pPr>
      <w:r w:rsidRPr="0071276F">
        <w:rPr>
          <w:lang w:val="es-ES_tradnl"/>
        </w:rPr>
        <w:t>La experiencia de varias economías en desarrollo y países asiáticos ha demostrado que el mantener la política de industrialización y crecimiento económico a base de inversión externa subsidiada mediante exenciones contributivas, ha dejado de ser la política económica más adecuada y deseable para atraer capital e inversión extranjera. Recomendamos diseñar otros mecanismos de atracción de la inversión externa que no se fundamenten en incentivos contributivos y que estén concentrados en fomentar el potencial educativo de la fuerza de trabajo en la Isla para aumentar la productividad sectorial, fomentar el empresarismo y el desarrollo de las pymes, mejor infraestructura social, menores costos de utilidades y de costos de transportación; entre otros.</w:t>
      </w:r>
    </w:p>
    <w:p w:rsidR="00100E1E" w:rsidRPr="0071276F" w:rsidRDefault="00100E1E" w:rsidP="005A5E7D">
      <w:pPr>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Asignar más recursos a la fiscalización contributiva. </w:t>
      </w:r>
    </w:p>
    <w:p w:rsidR="005A5E7D" w:rsidRDefault="005A5E7D" w:rsidP="005A5E7D">
      <w:pPr>
        <w:rPr>
          <w:lang w:val="es-ES_tradnl"/>
        </w:rPr>
      </w:pPr>
      <w:r w:rsidRPr="0071276F">
        <w:rPr>
          <w:lang w:val="es-ES_tradnl"/>
        </w:rPr>
        <w:t>Es necesario que se asignen recursos y una mayor fiscalización para atender el problema de la evasión fiscal, aumentar la base contributiva y la captación de los impuestos. Esto permitirá que se alivie la presión fiscal ocasionada por el alto nivel de deuda pública, el déficit estructural y el alto grado de la economía subterránea; entre otras.</w:t>
      </w:r>
    </w:p>
    <w:p w:rsidR="00100E1E" w:rsidRPr="0071276F" w:rsidRDefault="00100E1E" w:rsidP="005A5E7D">
      <w:pPr>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Negociar mayor autonomía en la definición de prioridades para el uso de fondos federales a partir de las particulares necesidades de la Isla. </w:t>
      </w:r>
    </w:p>
    <w:p w:rsidR="005A5E7D" w:rsidRDefault="005A5E7D" w:rsidP="005A5E7D">
      <w:pPr>
        <w:rPr>
          <w:lang w:val="es-ES_tradnl"/>
        </w:rPr>
      </w:pPr>
      <w:r w:rsidRPr="0071276F">
        <w:rPr>
          <w:lang w:val="es-ES_tradnl"/>
        </w:rPr>
        <w:t>Se recomienda el negociar mayor autonomía en la implantación de política pública en la provisión de servicios para que esté basada en las prioridades de la Isla y no necesariamente en las prioridades a nivel federal que determinan el uso de los fondos federales.</w:t>
      </w:r>
    </w:p>
    <w:p w:rsidR="00100E1E" w:rsidRPr="0071276F" w:rsidRDefault="00100E1E" w:rsidP="005A5E7D">
      <w:pPr>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Promover la diversificación de las exportaciones. </w:t>
      </w:r>
    </w:p>
    <w:p w:rsidR="005A5E7D" w:rsidRPr="0071276F" w:rsidRDefault="005A5E7D" w:rsidP="005A5E7D">
      <w:pPr>
        <w:rPr>
          <w:lang w:val="es-ES_tradnl"/>
        </w:rPr>
      </w:pPr>
      <w:r w:rsidRPr="0071276F">
        <w:rPr>
          <w:lang w:val="es-ES_tradnl"/>
        </w:rPr>
        <w:t>Históricamente no se ha desarrollado una política clara y coherente de internacionalización que aumente la presencia formal de Puerto Rico en los mercados internacionales. No basta con impulsar la internacionalización y el fomento de las exportaciones sino que es importante una mayor diversificación. Por tanto, se recomienda una política que estimule una mayor diversidad en las exportaciones, lo que viabilizaría el que un grupo más amplio y variado de empresas alcancen un mayor grado de internacionalización.</w:t>
      </w:r>
    </w:p>
    <w:p w:rsidR="005A5E7D" w:rsidRDefault="005A5E7D" w:rsidP="005A5E7D">
      <w:pPr>
        <w:rPr>
          <w:lang w:val="es-ES_tradnl"/>
        </w:rPr>
      </w:pPr>
      <w:r w:rsidRPr="0071276F">
        <w:rPr>
          <w:lang w:val="es-ES_tradnl"/>
        </w:rPr>
        <w:t>En el caso de Puerto Rico, el grado de diversificación es particularmente importante, ya que, dada la composición industrial, se evidenció que la mayor parte de las exportaciones manufactureras se concentran en empresas de capital extranjero y en la producción de químicos. Un acuerdo beneficioso para fomentar la internacionalización de las empresas puertorriqueñas debe aumentar las exportaciones y su diversidad, por lo que se recomienda aumentar las exportaciones a países que demandan mayor multiplicidad de bienes. Entre los países con acuerdos comerciales con Estados Unidos, Perú, Costa Rica, Chile y República Dominicana cumplen con esta condición. No obstante, esto también es cierto para muchos de los países de América Latina y el Caribe que no están en tratados con Estados Unidos.</w:t>
      </w:r>
    </w:p>
    <w:p w:rsidR="00100E1E" w:rsidRPr="0071276F" w:rsidRDefault="00100E1E" w:rsidP="005A5E7D">
      <w:pPr>
        <w:rPr>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Aumentar la presencia de Puerto Rico en organismos regionales. </w:t>
      </w:r>
    </w:p>
    <w:p w:rsidR="005A5E7D" w:rsidRPr="0071276F" w:rsidRDefault="005A5E7D" w:rsidP="005A5E7D">
      <w:pPr>
        <w:rPr>
          <w:color w:val="000000"/>
          <w:shd w:val="clear" w:color="auto" w:fill="FFFFFF"/>
          <w:lang w:val="es-ES_tradnl"/>
        </w:rPr>
      </w:pPr>
      <w:r w:rsidRPr="0071276F">
        <w:rPr>
          <w:szCs w:val="24"/>
          <w:lang w:val="es-ES_tradnl"/>
        </w:rPr>
        <w:t xml:space="preserve">Una prioridad de corto plazo para </w:t>
      </w:r>
      <w:r w:rsidRPr="0071276F">
        <w:rPr>
          <w:lang w:val="es-ES_tradnl"/>
        </w:rPr>
        <w:t xml:space="preserve">fomentar las exportaciones de empresas puertorriqueñas </w:t>
      </w:r>
      <w:r w:rsidRPr="0071276F">
        <w:rPr>
          <w:szCs w:val="24"/>
          <w:lang w:val="es-ES_tradnl"/>
        </w:rPr>
        <w:t xml:space="preserve">debe ser el </w:t>
      </w:r>
      <w:r w:rsidRPr="0071276F">
        <w:rPr>
          <w:lang w:val="es-ES_tradnl"/>
        </w:rPr>
        <w:t xml:space="preserve">desarrollar políticas públicas, </w:t>
      </w:r>
      <w:r w:rsidRPr="0071276F">
        <w:rPr>
          <w:szCs w:val="24"/>
          <w:lang w:val="es-ES_tradnl"/>
        </w:rPr>
        <w:t xml:space="preserve">dentro de las restricciones impuestas por Estados Unidos, para </w:t>
      </w:r>
      <w:r w:rsidRPr="0071276F">
        <w:rPr>
          <w:lang w:val="es-ES_tradnl"/>
        </w:rPr>
        <w:t xml:space="preserve">aumentar la presencia de Puerto Rico en los diversos organismos regionales y en otras instituciones internacionales. </w:t>
      </w:r>
      <w:r w:rsidRPr="0071276F">
        <w:rPr>
          <w:color w:val="000000"/>
          <w:shd w:val="clear" w:color="auto" w:fill="FFFFFF"/>
          <w:lang w:val="es-ES_tradnl"/>
        </w:rPr>
        <w:t xml:space="preserve">Cualquier intento de internacionalización de Puerto Rico debe estar enfocado en fomentar los lazos comerciales con el Caribe y América Latina. </w:t>
      </w:r>
      <w:r w:rsidRPr="0071276F">
        <w:rPr>
          <w:lang w:val="es-ES_tradnl"/>
        </w:rPr>
        <w:t xml:space="preserve">Dicha política pública requiere que se establezcan negociaciones </w:t>
      </w:r>
      <w:r w:rsidRPr="0071276F">
        <w:rPr>
          <w:szCs w:val="24"/>
          <w:lang w:val="es-ES_tradnl"/>
        </w:rPr>
        <w:t xml:space="preserve">bilaterales con Estados Unidos que permita el involucrar a Puerto Rico en los tratados de libre comercio del Caribe y América Latina. </w:t>
      </w:r>
      <w:r w:rsidRPr="0071276F">
        <w:rPr>
          <w:color w:val="000000"/>
          <w:shd w:val="clear" w:color="auto" w:fill="FFFFFF"/>
          <w:lang w:val="es-ES_tradnl"/>
        </w:rPr>
        <w:t>Estas son las regiones que muestran la demanda más diversa para las exportaciones de Puerto Rico, además de que Puerto Rico tiene ventajas comparativas que puede desarrollar para fomentar las exportaciones de productos puertorriqueños.</w:t>
      </w:r>
    </w:p>
    <w:p w:rsidR="005A5E7D" w:rsidRPr="0071276F" w:rsidRDefault="005A5E7D" w:rsidP="005A5E7D">
      <w:pPr>
        <w:rPr>
          <w:color w:val="000000"/>
          <w:shd w:val="clear" w:color="auto" w:fill="FFFFFF"/>
          <w:lang w:val="es-ES_tradnl"/>
        </w:rPr>
      </w:pPr>
      <w:r w:rsidRPr="0071276F">
        <w:rPr>
          <w:szCs w:val="24"/>
          <w:lang w:val="es-ES_tradnl"/>
        </w:rPr>
        <w:t xml:space="preserve">De esta forma, Puerto </w:t>
      </w:r>
      <w:r w:rsidRPr="0071276F">
        <w:rPr>
          <w:lang w:val="es-ES_tradnl"/>
        </w:rPr>
        <w:t>Rico podrá identificar alternativas de mayor integración económica con zonas comerciales cercanas que tengan un potencial de demandar las exportaciones de nuestros productos puertorriqueños. L</w:t>
      </w:r>
      <w:r w:rsidRPr="0071276F">
        <w:rPr>
          <w:szCs w:val="24"/>
          <w:lang w:val="es-ES_tradnl"/>
        </w:rPr>
        <w:t xml:space="preserve">os beneficios a la Isla y a los países miembros de los tratados comerciales resultarían de la </w:t>
      </w:r>
      <w:r w:rsidRPr="0071276F">
        <w:rPr>
          <w:color w:val="000000"/>
          <w:shd w:val="clear" w:color="auto" w:fill="FFFFFF"/>
          <w:lang w:val="es-ES_tradnl"/>
        </w:rPr>
        <w:t>cooperación en diversos sectores económicos; incluyendo el turismo, la agricultura, y la manufactura; entre otros. En el caso específico de CARICOM, Puerto Rico podría obtener beneficios sirviendo a la comunidad caribeña como foco de capacitación científica, tecnológica y de capital humano. También podría suplir productos de importación en demanda creciente del CARICOM; tales como desperdicios de papel y cartón; entre otros.</w:t>
      </w:r>
    </w:p>
    <w:p w:rsidR="005A5E7D" w:rsidRPr="0071276F" w:rsidRDefault="005A5E7D" w:rsidP="005A5E7D">
      <w:pPr>
        <w:rPr>
          <w:color w:val="000000"/>
          <w:shd w:val="clear" w:color="auto" w:fill="FFFFFF"/>
          <w:lang w:val="es-ES_tradnl"/>
        </w:rPr>
      </w:pPr>
      <w:r w:rsidRPr="0071276F">
        <w:rPr>
          <w:color w:val="000000"/>
          <w:shd w:val="clear" w:color="auto" w:fill="FFFFFF"/>
          <w:lang w:val="es-ES_tradnl"/>
        </w:rPr>
        <w:t>Se recomienda que también se explore el ampliar la participación comercial de Puerto Rico más allá de los mercados de libre comercio con Estados Unidos para identificar los países a donde puedan exportarse productos puertorriqueños. Entre los sectores industriales que al presente despuntan más allá de la manufactura de productos químicos y electrónicos, y que pueden ser potencialmente exportables incluyen la manufactura de ropa, comida y productos de metal, así como el reciclaje.</w:t>
      </w:r>
    </w:p>
    <w:p w:rsidR="005A5E7D" w:rsidRDefault="005A5E7D" w:rsidP="005A5E7D">
      <w:pPr>
        <w:rPr>
          <w:szCs w:val="24"/>
          <w:lang w:val="es-ES_tradnl"/>
        </w:rPr>
      </w:pPr>
      <w:r w:rsidRPr="0071276F">
        <w:rPr>
          <w:szCs w:val="24"/>
          <w:lang w:val="es-ES_tradnl"/>
        </w:rPr>
        <w:t>También se recomienda aumentar los eslabonamientos interindustriales por medio de una política selecta de substitución de importaciones de insumos intermedios encaminada a lograr un mayor grado de integración de la economía de Puerto Rico con las empresas extranjeras.</w:t>
      </w:r>
      <w:r w:rsidRPr="0071276F">
        <w:rPr>
          <w:sz w:val="28"/>
          <w:lang w:val="es-ES_tradnl"/>
        </w:rPr>
        <w:t xml:space="preserve"> </w:t>
      </w:r>
      <w:r w:rsidRPr="0071276F">
        <w:rPr>
          <w:szCs w:val="24"/>
          <w:lang w:val="es-ES_tradnl"/>
        </w:rPr>
        <w:t>De lograrse</w:t>
      </w:r>
      <w:r w:rsidRPr="0071276F">
        <w:rPr>
          <w:sz w:val="28"/>
          <w:lang w:val="es-ES_tradnl"/>
        </w:rPr>
        <w:t xml:space="preserve"> </w:t>
      </w:r>
      <w:r w:rsidRPr="0071276F">
        <w:rPr>
          <w:szCs w:val="24"/>
          <w:lang w:val="es-ES_tradnl"/>
        </w:rPr>
        <w:t>dicho eslabonamiento de las empresas puertorriqueñas con las empresas extranjeras, se alcanzaría una mayor diversificación del sector manufacturero y sobre todo se promovería la participación del capital puertorriqueño.</w:t>
      </w:r>
    </w:p>
    <w:p w:rsidR="00100E1E" w:rsidRPr="0071276F" w:rsidRDefault="00100E1E" w:rsidP="005A5E7D">
      <w:pPr>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Potenciar el empresarismo local y las pymes. </w:t>
      </w:r>
    </w:p>
    <w:p w:rsidR="005A5E7D" w:rsidRDefault="005A5E7D" w:rsidP="005A5E7D">
      <w:pPr>
        <w:rPr>
          <w:szCs w:val="24"/>
          <w:lang w:val="es-ES_tradnl"/>
        </w:rPr>
      </w:pPr>
      <w:r w:rsidRPr="0071276F">
        <w:rPr>
          <w:szCs w:val="24"/>
          <w:lang w:val="es-ES_tradnl"/>
        </w:rPr>
        <w:t>Se recomienda fomentar y desarrollar el empresarismo puertorriqueño para identificar y explotar nuevas oportunidades y nichos de negocios (tanto para la producción local como para la exportación). El desarrollo de programas de capacitación a la fuerza laboral y los empresarios locales, conducirá a un aumento en la productividad y mayor competitividad. Incluso, debe reconocerse que la ubicación en la Isla de las empresas foráneas ha contribuido a desarrollar un capital gerencial puertorriqueño que puede servir de punto de partida para el desarrollo de empresas nativas.</w:t>
      </w:r>
    </w:p>
    <w:p w:rsidR="00100E1E" w:rsidRPr="0071276F" w:rsidRDefault="00100E1E" w:rsidP="005A5E7D">
      <w:pPr>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Mejorar los sistemas de información sobre las empresas puertorriqueñas en el comercio exterior. </w:t>
      </w:r>
    </w:p>
    <w:p w:rsidR="005A5E7D" w:rsidRDefault="005A5E7D" w:rsidP="005A5E7D">
      <w:pPr>
        <w:rPr>
          <w:color w:val="000000"/>
          <w:shd w:val="clear" w:color="auto" w:fill="FFFFFF"/>
          <w:lang w:val="es-ES_tradnl"/>
        </w:rPr>
      </w:pPr>
      <w:r w:rsidRPr="0071276F">
        <w:rPr>
          <w:color w:val="000000"/>
          <w:shd w:val="clear" w:color="auto" w:fill="FFFFFF"/>
          <w:lang w:val="es-ES_tradnl"/>
        </w:rPr>
        <w:t>Se deben diseñar mejores instrumentos para recopilar la información que permita disponer de datos precisos sobre las exportaciones de empresas puertorriqueñas. Esto servirá de base para diseñar un plan de acción específico y coherente para promover las exportaciones de Puerto Rico.</w:t>
      </w:r>
    </w:p>
    <w:p w:rsidR="00100E1E" w:rsidRPr="0071276F" w:rsidRDefault="00100E1E" w:rsidP="005A5E7D">
      <w:pPr>
        <w:rPr>
          <w:color w:val="000000"/>
          <w:shd w:val="clear" w:color="auto" w:fill="FFFFFF"/>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Enfocar la política pública en las variables determinantes del crecimiento económico. </w:t>
      </w:r>
    </w:p>
    <w:p w:rsidR="005A5E7D" w:rsidRDefault="005A5E7D" w:rsidP="005A5E7D">
      <w:pPr>
        <w:pStyle w:val="ColorfulList-Accent11"/>
        <w:spacing w:after="200"/>
        <w:ind w:left="0"/>
        <w:rPr>
          <w:szCs w:val="24"/>
          <w:lang w:val="es-ES_tradnl"/>
        </w:rPr>
      </w:pPr>
      <w:r w:rsidRPr="0071276F">
        <w:rPr>
          <w:szCs w:val="24"/>
          <w:lang w:val="es-ES_tradnl"/>
        </w:rPr>
        <w:t>Para que Puerto Rico se integre a un proceso de convergencia con Estados Unidos es importante enfocar la política económica en el estímulo de las variables determinantes del crecimiento en la Isla. Las medidas o estrategias que se implanten con este objetivo deberán considerar las variables extraídas del análisis teórico y aplicado.</w:t>
      </w:r>
    </w:p>
    <w:p w:rsidR="00100E1E" w:rsidRPr="0071276F" w:rsidRDefault="00100E1E" w:rsidP="005A5E7D">
      <w:pPr>
        <w:pStyle w:val="ColorfulList-Accent11"/>
        <w:spacing w:after="200"/>
        <w:ind w:left="0"/>
        <w:rPr>
          <w:szCs w:val="24"/>
          <w:lang w:val="es-ES_tradnl"/>
        </w:rPr>
      </w:pPr>
    </w:p>
    <w:p w:rsidR="005A5E7D" w:rsidRPr="0071276F" w:rsidRDefault="005A5E7D" w:rsidP="00CB3560">
      <w:pPr>
        <w:pStyle w:val="ColorfulList-Accent11"/>
        <w:numPr>
          <w:ilvl w:val="0"/>
          <w:numId w:val="20"/>
        </w:numPr>
        <w:ind w:left="426" w:hanging="426"/>
        <w:rPr>
          <w:b/>
          <w:i/>
          <w:lang w:val="es-ES_tradnl"/>
        </w:rPr>
      </w:pPr>
      <w:r w:rsidRPr="0071276F">
        <w:rPr>
          <w:b/>
          <w:i/>
          <w:lang w:val="es-ES_tradnl"/>
        </w:rPr>
        <w:t xml:space="preserve">Atender las dimensiones institucionales de la convergencia, con énfasis en los determinantes de la capacidad de innovación. </w:t>
      </w:r>
    </w:p>
    <w:p w:rsidR="005A5E7D" w:rsidRPr="0071276F" w:rsidRDefault="005A5E7D" w:rsidP="005A5E7D">
      <w:pPr>
        <w:pStyle w:val="ColorfulList-Accent11"/>
        <w:spacing w:after="200"/>
        <w:ind w:left="0"/>
        <w:rPr>
          <w:szCs w:val="24"/>
          <w:lang w:val="es-ES_tradnl"/>
        </w:rPr>
      </w:pPr>
      <w:r w:rsidRPr="0071276F">
        <w:rPr>
          <w:szCs w:val="24"/>
          <w:lang w:val="es-ES_tradnl"/>
        </w:rPr>
        <w:t>Además de reforzar las variables tradicionales para provocar el crecimiento económico y la convergencia—la productividad y sustitución de los factores de producción, la acumulación de capital y el cambio tecnológico—es necesario considerar variables como la educación y el conocimiento como propulsores de la innovación, el capital humano, el uso eficiente de los recursos naturales, el comercio exterior, el marco institucional, la estabilidad política como atractivo a la inversión extranjera, los impuestos y subsidios, el tamaño del Gobierno, el cambio estructural y la diversificación de la estructura productiva, la política económica y la migración.</w:t>
      </w:r>
    </w:p>
    <w:sectPr w:rsidR="005A5E7D" w:rsidRPr="0071276F" w:rsidSect="001F32F7">
      <w:headerReference w:type="default" r:id="rId206"/>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EFF" w:rsidRDefault="00A01EFF" w:rsidP="005A5E7D">
      <w:pPr>
        <w:spacing w:line="240" w:lineRule="auto"/>
      </w:pPr>
      <w:r>
        <w:separator/>
      </w:r>
    </w:p>
  </w:endnote>
  <w:endnote w:type="continuationSeparator" w:id="0">
    <w:p w:rsidR="00A01EFF" w:rsidRDefault="00A01EFF" w:rsidP="005A5E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charset w:val="00"/>
    <w:family w:val="roman"/>
    <w:pitch w:val="variable"/>
    <w:sig w:usb0="00008003" w:usb1="00000000" w:usb2="00000000" w:usb3="00000000" w:csb0="00000001" w:csb1="00000000"/>
  </w:font>
  <w:font w:name="SimSun">
    <w:altName w:val="宋体"/>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00"/>
    <w:family w:val="auto"/>
    <w:pitch w:val="variable"/>
    <w:sig w:usb0="00000003" w:usb1="00000000" w:usb2="00000000" w:usb3="00000000" w:csb0="00000001" w:csb1="00000000"/>
  </w:font>
  <w:font w:name="&gt;Æ&quot;®Êˇø•'12—">
    <w:altName w:val="Cambri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483495"/>
      <w:docPartObj>
        <w:docPartGallery w:val="Page Numbers (Bottom of Page)"/>
        <w:docPartUnique/>
      </w:docPartObj>
    </w:sdtPr>
    <w:sdtEndPr>
      <w:rPr>
        <w:noProof/>
      </w:rPr>
    </w:sdtEndPr>
    <w:sdtContent>
      <w:p w:rsidR="00FD1E6D" w:rsidRDefault="008964A4">
        <w:pPr>
          <w:pStyle w:val="Footer"/>
          <w:jc w:val="right"/>
        </w:pPr>
        <w:fldSimple w:instr=" PAGE   \* MERGEFORMAT ">
          <w:r w:rsidR="002B5716">
            <w:rPr>
              <w:noProof/>
            </w:rPr>
            <w:t>126</w:t>
          </w:r>
        </w:fldSimple>
      </w:p>
    </w:sdtContent>
  </w:sdt>
  <w:p w:rsidR="00246118" w:rsidRDefault="00246118">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5069916"/>
      <w:docPartObj>
        <w:docPartGallery w:val="Page Numbers (Bottom of Page)"/>
        <w:docPartUnique/>
      </w:docPartObj>
    </w:sdtPr>
    <w:sdtEndPr>
      <w:rPr>
        <w:noProof/>
      </w:rPr>
    </w:sdtEndPr>
    <w:sdtContent>
      <w:p w:rsidR="00FD1E6D" w:rsidRDefault="008964A4">
        <w:pPr>
          <w:pStyle w:val="Footer"/>
          <w:jc w:val="right"/>
        </w:pPr>
        <w:fldSimple w:instr=" PAGE   \* MERGEFORMAT ">
          <w:r w:rsidR="002B5716">
            <w:rPr>
              <w:noProof/>
            </w:rPr>
            <w:t>119</w:t>
          </w:r>
        </w:fldSimple>
      </w:p>
    </w:sdtContent>
  </w:sdt>
  <w:p w:rsidR="00246118" w:rsidRDefault="00246118">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18" w:rsidRDefault="008964A4">
    <w:pPr>
      <w:pStyle w:val="Footer"/>
      <w:jc w:val="right"/>
    </w:pPr>
    <w:fldSimple w:instr=" PAGE   \* MERGEFORMAT ">
      <w:r w:rsidR="006C1869">
        <w:rPr>
          <w:noProof/>
        </w:rPr>
        <w:t>178</w:t>
      </w:r>
    </w:fldSimple>
  </w:p>
  <w:p w:rsidR="00246118" w:rsidRDefault="00246118">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18" w:rsidRDefault="008964A4">
    <w:pPr>
      <w:pStyle w:val="Footer"/>
      <w:jc w:val="right"/>
    </w:pPr>
    <w:fldSimple w:instr=" PAGE   \* MERGEFORMAT ">
      <w:r w:rsidR="006C1869">
        <w:rPr>
          <w:noProof/>
        </w:rPr>
        <w:t>179</w:t>
      </w:r>
    </w:fldSimple>
  </w:p>
  <w:p w:rsidR="00246118" w:rsidRDefault="00246118">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18" w:rsidRDefault="008964A4">
    <w:pPr>
      <w:pStyle w:val="Footer"/>
      <w:jc w:val="right"/>
    </w:pPr>
    <w:fldSimple w:instr=" PAGE   \* MERGEFORMAT ">
      <w:r w:rsidR="006C1869">
        <w:rPr>
          <w:noProof/>
        </w:rPr>
        <w:t>259</w:t>
      </w:r>
    </w:fldSimple>
  </w:p>
  <w:p w:rsidR="00246118" w:rsidRDefault="00246118">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EFF" w:rsidRDefault="00A01EFF" w:rsidP="005A5E7D">
      <w:pPr>
        <w:spacing w:line="240" w:lineRule="auto"/>
      </w:pPr>
      <w:r>
        <w:separator/>
      </w:r>
    </w:p>
  </w:footnote>
  <w:footnote w:type="continuationSeparator" w:id="0">
    <w:p w:rsidR="00A01EFF" w:rsidRDefault="00A01EFF" w:rsidP="005A5E7D">
      <w:pPr>
        <w:spacing w:line="240" w:lineRule="auto"/>
      </w:pPr>
      <w:r>
        <w:continuationSeparator/>
      </w:r>
    </w:p>
  </w:footnote>
  <w:footnote w:id="1">
    <w:p w:rsidR="00246118" w:rsidRDefault="00246118" w:rsidP="00A9525B">
      <w:pPr>
        <w:pStyle w:val="FootnoteText"/>
      </w:pPr>
      <w:r>
        <w:rPr>
          <w:rStyle w:val="FootnoteReference"/>
        </w:rPr>
        <w:footnoteRef/>
      </w:r>
      <w:r>
        <w:t xml:space="preserve"> </w:t>
      </w:r>
      <w:r w:rsidRPr="00A863EF">
        <w:t xml:space="preserve">La Tabla 3 del </w:t>
      </w:r>
      <w:r>
        <w:t xml:space="preserve">tercer capítulo </w:t>
      </w:r>
      <w:r w:rsidRPr="00A863EF">
        <w:t>estima los impuestos federales que pagar</w:t>
      </w:r>
      <w:r>
        <w:t>ían los contribuyentes de acuerdo a su ingreso bruto ajustado. Por ejemplo, los contribuyentes con un ingreso bruto ajustado entre $40,000 a $50,000 pagarían, en promedio, $3,030 de contribuciones sobre ingresos al gobierno federal.</w:t>
      </w:r>
    </w:p>
  </w:footnote>
  <w:footnote w:id="2">
    <w:p w:rsidR="00246118" w:rsidRDefault="00246118" w:rsidP="00A9525B">
      <w:pPr>
        <w:pStyle w:val="FootnoteText"/>
      </w:pPr>
      <w:r>
        <w:rPr>
          <w:rStyle w:val="FootnoteReference"/>
        </w:rPr>
        <w:footnoteRef/>
      </w:r>
      <w:r>
        <w:t xml:space="preserve"> </w:t>
      </w:r>
      <w:r w:rsidRPr="001B516C">
        <w:t>La Ley 154 del 2010 impone un arbitrio a las ventas de empresas fóraneas radicadas en Puerto Rico a sus compañías afiliadas.</w:t>
      </w:r>
    </w:p>
  </w:footnote>
  <w:footnote w:id="3">
    <w:p w:rsidR="00246118" w:rsidRPr="00B07B24" w:rsidRDefault="00246118" w:rsidP="00A9525B">
      <w:pPr>
        <w:pStyle w:val="FootnoteText"/>
      </w:pPr>
      <w:r>
        <w:rPr>
          <w:rStyle w:val="FootnoteReference"/>
        </w:rPr>
        <w:footnoteRef/>
      </w:r>
      <w:r w:rsidRPr="00B07B24">
        <w:t xml:space="preserve"> </w:t>
      </w:r>
      <w:r>
        <w:t>La sensitividad del empleo en las empresas foráneas a cambios en el régimen tributario se evidenció luego de la eliminación de la Sección 936 del Código de Rentas Internas federal en el 2006, la cual provocó una disminución significativa del empleo manufacturero en Puerto Rico.</w:t>
      </w:r>
    </w:p>
  </w:footnote>
  <w:footnote w:id="4">
    <w:p w:rsidR="00246118" w:rsidRPr="004C162A" w:rsidRDefault="00246118" w:rsidP="00A9525B">
      <w:pPr>
        <w:pStyle w:val="FootnoteText"/>
      </w:pPr>
      <w:r>
        <w:rPr>
          <w:rStyle w:val="FootnoteReference"/>
        </w:rPr>
        <w:footnoteRef/>
      </w:r>
      <w:r w:rsidRPr="004C162A">
        <w:t xml:space="preserve"> La Corporación del Fondo de Interés Apremiante de Puerto Rico (COFINA), recibe el 2.75% del Impuesto sobre ventas y uso (IVU) que cor</w:t>
      </w:r>
      <w:r>
        <w:t>responde al gobierno central. L</w:t>
      </w:r>
      <w:r w:rsidRPr="004C162A">
        <w:t>o utiliza para pagar o financiar, total o parcialmente, o para aportar fondos a cier</w:t>
      </w:r>
      <w:r>
        <w:t>tas obligaciones de deuda del Estado Libre Asociado</w:t>
      </w:r>
      <w:r w:rsidRPr="004C162A">
        <w:t>, la deuda del Secretario de Hacienda con el</w:t>
      </w:r>
      <w:r>
        <w:t xml:space="preserve"> Banco Gubernamental de Fomento y otras.</w:t>
      </w:r>
    </w:p>
  </w:footnote>
  <w:footnote w:id="5">
    <w:p w:rsidR="00246118" w:rsidRPr="006C2E2C" w:rsidRDefault="00246118" w:rsidP="00B015EE">
      <w:pPr>
        <w:pStyle w:val="FootnoteText"/>
        <w:rPr>
          <w:lang w:val="en-US"/>
        </w:rPr>
      </w:pPr>
      <w:r>
        <w:rPr>
          <w:rStyle w:val="FootnoteReference"/>
        </w:rPr>
        <w:footnoteRef/>
      </w:r>
      <w:r w:rsidRPr="006C2E2C">
        <w:rPr>
          <w:lang w:val="en-US"/>
        </w:rPr>
        <w:t xml:space="preserve"> El tema de Puerto Rico es uno generalmente desatendido en Washington</w:t>
      </w:r>
      <w:r>
        <w:rPr>
          <w:lang w:val="en-US"/>
        </w:rPr>
        <w:t>,</w:t>
      </w:r>
      <w:r w:rsidRPr="006C2E2C">
        <w:rPr>
          <w:lang w:val="en-US"/>
        </w:rPr>
        <w:t xml:space="preserve"> como bien explica </w:t>
      </w:r>
      <w:r>
        <w:rPr>
          <w:lang w:val="en-US"/>
        </w:rPr>
        <w:t>Clar</w:t>
      </w:r>
      <w:r w:rsidRPr="006C2E2C">
        <w:rPr>
          <w:lang w:val="en-US"/>
        </w:rPr>
        <w:t xml:space="preserve">(2013) en un escrito reciente publicado </w:t>
      </w:r>
      <w:r>
        <w:rPr>
          <w:lang w:val="en-US"/>
        </w:rPr>
        <w:t xml:space="preserve">en </w:t>
      </w:r>
      <w:r w:rsidRPr="004542DD">
        <w:rPr>
          <w:i/>
          <w:lang w:val="en-US"/>
        </w:rPr>
        <w:t>The Fletcher Forum of World Affairs</w:t>
      </w:r>
      <w:r>
        <w:rPr>
          <w:lang w:val="en-US"/>
        </w:rPr>
        <w:t>: “</w:t>
      </w:r>
      <w:r w:rsidRPr="006C2E2C">
        <w:rPr>
          <w:lang w:val="en-US"/>
        </w:rPr>
        <w:t>In tracing the complex relationship of these two nations, it becomes clear that the U.S. has maintained a policy of</w:t>
      </w:r>
      <w:r>
        <w:rPr>
          <w:lang w:val="en-US"/>
        </w:rPr>
        <w:t xml:space="preserve"> no policy towards Puerto Rico. </w:t>
      </w:r>
      <w:r w:rsidRPr="006C2E2C">
        <w:rPr>
          <w:lang w:val="en-US"/>
        </w:rPr>
        <w:t>… Although different presidents have shown diverse personal opinions about its status</w:t>
      </w:r>
      <w:r>
        <w:rPr>
          <w:lang w:val="en-US"/>
        </w:rPr>
        <w:t>, Washington’s usual stance is ‘let the Puerto Ricans decide.’</w:t>
      </w:r>
      <w:r w:rsidRPr="006C2E2C">
        <w:rPr>
          <w:lang w:val="en-US"/>
        </w:rPr>
        <w:t xml:space="preserve"> Currently, there is no office in the federal government dedicated to dealing with Puerto Rican issues, and the island’s sole representative in Congress cannot vote. Lacking proper voice in Congress and representation in the Department of State, it seems that U.S. policy towards the island cannot be described as foreign or domestic, instead f</w:t>
      </w:r>
      <w:r>
        <w:rPr>
          <w:lang w:val="en-US"/>
        </w:rPr>
        <w:t>alling into a gray category of ‘inter-mestic.’</w:t>
      </w:r>
      <w:r w:rsidRPr="007C7D15">
        <w:rPr>
          <w:lang w:val="en-US"/>
        </w:rPr>
        <w:t xml:space="preserve"> </w:t>
      </w:r>
      <w:r w:rsidRPr="006C2E2C">
        <w:rPr>
          <w:lang w:val="en-US"/>
        </w:rPr>
        <w:t>…</w:t>
      </w:r>
      <w:r>
        <w:rPr>
          <w:lang w:val="en-US"/>
        </w:rPr>
        <w:t xml:space="preserve"> “ </w:t>
      </w:r>
      <w:r w:rsidRPr="006C2E2C">
        <w:rPr>
          <w:lang w:val="en-US"/>
        </w:rPr>
        <w:t>(Char, 2013, 152)</w:t>
      </w:r>
    </w:p>
  </w:footnote>
  <w:footnote w:id="6">
    <w:p w:rsidR="00246118" w:rsidRPr="006C2E2C" w:rsidRDefault="00246118" w:rsidP="00B015EE">
      <w:pPr>
        <w:pStyle w:val="FootnoteText"/>
        <w:rPr>
          <w:lang w:val="en-US"/>
        </w:rPr>
      </w:pPr>
      <w:r>
        <w:rPr>
          <w:rStyle w:val="FootnoteReference"/>
        </w:rPr>
        <w:footnoteRef/>
      </w:r>
      <w:r w:rsidRPr="006C2E2C">
        <w:rPr>
          <w:lang w:val="en-US"/>
        </w:rPr>
        <w:t xml:space="preserve"> Char, por ejemplo, argumenta con fuerza que que: “… it is of vital importance for the United States to facilitate economic and social stability in Puerto Rico and to start framing creative policies to propel the island’s integration into the global economy</w:t>
      </w:r>
      <w:r>
        <w:rPr>
          <w:lang w:val="en-US"/>
        </w:rPr>
        <w:t>.</w:t>
      </w:r>
      <w:r w:rsidRPr="006C2E2C">
        <w:rPr>
          <w:lang w:val="en-US"/>
        </w:rPr>
        <w:t>” (Char, 2013, 154)</w:t>
      </w:r>
    </w:p>
  </w:footnote>
  <w:footnote w:id="7">
    <w:p w:rsidR="00246118" w:rsidRPr="00323EE5" w:rsidRDefault="00246118" w:rsidP="00B015EE">
      <w:pPr>
        <w:pStyle w:val="FootnoteText"/>
        <w:rPr>
          <w:lang w:val="en-US"/>
        </w:rPr>
      </w:pPr>
      <w:r>
        <w:rPr>
          <w:rStyle w:val="FootnoteReference"/>
        </w:rPr>
        <w:footnoteRef/>
      </w:r>
      <w:r w:rsidRPr="00873F5E">
        <w:rPr>
          <w:lang w:val="en-US"/>
        </w:rPr>
        <w:t xml:space="preserve"> El ré</w:t>
      </w:r>
      <w:r w:rsidRPr="005300BC">
        <w:rPr>
          <w:lang w:val="en-US"/>
        </w:rPr>
        <w:t>cord histórico es claro:</w:t>
      </w:r>
      <w:r w:rsidRPr="00BA4C77">
        <w:rPr>
          <w:lang w:val="en-US"/>
        </w:rPr>
        <w:t xml:space="preserve"> “Congress has imposed conditions on the admission of states where it has concern about whether the citizenry of the new state can be assimilated as a loyal, democratic unit of government within the United States, sometimes because that citizenry has been perceived as fundamentally different from mainstream American politics and society. These concerns have been expressed in a variety of ways, and thus in a variety of conditions, depending on the historical context… Basic civil liberties, language, religion, race relations, and the structure of the family and marriage have all been elements that Congress has used as touchstones in attempting to reassure itself that the new state will be a loyal member of a homogeneous American federal democratic state</w:t>
      </w:r>
      <w:r w:rsidRPr="00873F5E">
        <w:rPr>
          <w:lang w:val="en-US"/>
        </w:rPr>
        <w:t>” (Biber, 2004).</w:t>
      </w:r>
    </w:p>
  </w:footnote>
  <w:footnote w:id="8">
    <w:p w:rsidR="00246118" w:rsidRPr="00FF23B2" w:rsidRDefault="00246118" w:rsidP="00B015EE">
      <w:pPr>
        <w:pStyle w:val="FootnoteText"/>
      </w:pPr>
      <w:r>
        <w:rPr>
          <w:rStyle w:val="FootnoteReference"/>
        </w:rPr>
        <w:footnoteRef/>
      </w:r>
      <w:r>
        <w:t xml:space="preserve"> </w:t>
      </w:r>
      <w:r w:rsidRPr="00BA4C77">
        <w:rPr>
          <w:lang w:val="es-ES_tradnl"/>
        </w:rPr>
        <w:t xml:space="preserve">Por ejemplo, las expresiones de David P. Lewis, vicepresidente de </w:t>
      </w:r>
      <w:r w:rsidRPr="00BA4C77">
        <w:rPr>
          <w:i/>
          <w:lang w:val="es-ES_tradnl"/>
        </w:rPr>
        <w:t>Global Taxes</w:t>
      </w:r>
      <w:r w:rsidRPr="00BA4C77">
        <w:rPr>
          <w:lang w:val="es-ES_tradnl"/>
        </w:rPr>
        <w:t xml:space="preserve"> de Eli Lilly &amp; Company en Puerto Rico, fueron las siguientes: “Operamos bajo la perspectiva de que se mantenga el </w:t>
      </w:r>
      <w:r>
        <w:rPr>
          <w:lang w:val="es-ES_tradnl"/>
        </w:rPr>
        <w:t>e</w:t>
      </w:r>
      <w:r w:rsidRPr="00BA4C77">
        <w:rPr>
          <w:lang w:val="es-ES_tradnl"/>
        </w:rPr>
        <w:t>statu</w:t>
      </w:r>
      <w:r>
        <w:rPr>
          <w:lang w:val="es-ES_tradnl"/>
        </w:rPr>
        <w:t>s</w:t>
      </w:r>
      <w:r w:rsidRPr="00BA4C77">
        <w:rPr>
          <w:lang w:val="es-ES_tradnl"/>
        </w:rPr>
        <w:t xml:space="preserve"> </w:t>
      </w:r>
      <w:r>
        <w:rPr>
          <w:lang w:val="es-ES_tradnl"/>
        </w:rPr>
        <w:t xml:space="preserve">(sic) </w:t>
      </w:r>
      <w:r w:rsidRPr="00BA4C77">
        <w:rPr>
          <w:lang w:val="es-ES_tradnl"/>
        </w:rPr>
        <w:t xml:space="preserve">quo”. Sobre el </w:t>
      </w:r>
      <w:r>
        <w:rPr>
          <w:lang w:val="es-ES_tradnl"/>
        </w:rPr>
        <w:t>posible impacto de la estadidad</w:t>
      </w:r>
      <w:r w:rsidRPr="00BA4C77">
        <w:rPr>
          <w:lang w:val="es-ES_tradnl"/>
        </w:rPr>
        <w:t xml:space="preserve"> dijo “no lo sé”</w:t>
      </w:r>
      <w:r>
        <w:rPr>
          <w:lang w:val="es-ES_tradnl"/>
        </w:rPr>
        <w:t>,</w:t>
      </w:r>
      <w:r w:rsidRPr="00BA4C77">
        <w:rPr>
          <w:lang w:val="es-ES_tradnl"/>
        </w:rPr>
        <w:t xml:space="preserve"> y agregó “no se empacan $1,500 millones y te vas”. Afirmó, “pero puedo asegurar que un aumento en contribuciones tiene im</w:t>
      </w:r>
      <w:r>
        <w:rPr>
          <w:lang w:val="es-ES_tradnl"/>
        </w:rPr>
        <w:t>plicaciones para las compañías”</w:t>
      </w:r>
      <w:r w:rsidRPr="00BA4C77">
        <w:rPr>
          <w:lang w:val="es-ES_tradnl"/>
        </w:rPr>
        <w:t xml:space="preserve"> </w:t>
      </w:r>
      <w:r>
        <w:rPr>
          <w:lang w:val="es-ES_tradnl"/>
        </w:rPr>
        <w:t>(</w:t>
      </w:r>
      <w:r w:rsidRPr="00BA4C77">
        <w:rPr>
          <w:lang w:val="es-ES_tradnl"/>
        </w:rPr>
        <w:t>García Pelatti, 2010</w:t>
      </w:r>
      <w:r>
        <w:rPr>
          <w:lang w:val="es-ES_tradnl"/>
        </w:rPr>
        <w:t>)</w:t>
      </w:r>
      <w:r w:rsidRPr="00BA4C77">
        <w:rPr>
          <w:lang w:val="es-ES_tradnl"/>
        </w:rPr>
        <w:t>.</w:t>
      </w:r>
    </w:p>
  </w:footnote>
  <w:footnote w:id="9">
    <w:p w:rsidR="00246118" w:rsidRPr="006C2E2C" w:rsidRDefault="00246118" w:rsidP="00B015EE">
      <w:pPr>
        <w:pStyle w:val="FootnoteText"/>
        <w:rPr>
          <w:lang w:val="en-US"/>
        </w:rPr>
      </w:pPr>
      <w:r>
        <w:rPr>
          <w:rStyle w:val="FootnoteReference"/>
        </w:rPr>
        <w:footnoteRef/>
      </w:r>
      <w:r w:rsidRPr="006C2E2C">
        <w:rPr>
          <w:lang w:val="en-US"/>
        </w:rPr>
        <w:t xml:space="preserve"> El Juez Taft afirmó lo siguiente: “incorporation is not to be assumed without express declaration, or an implication so strong as to exclude any other view” </w:t>
      </w:r>
      <w:r>
        <w:rPr>
          <w:lang w:val="en-US"/>
        </w:rPr>
        <w:t>(</w:t>
      </w:r>
      <w:r w:rsidRPr="006C2E2C">
        <w:rPr>
          <w:i/>
          <w:lang w:val="en-US"/>
        </w:rPr>
        <w:t>Balzac v Porto Rico</w:t>
      </w:r>
      <w:r w:rsidRPr="006C2E2C">
        <w:rPr>
          <w:lang w:val="en-US"/>
        </w:rPr>
        <w:t>, 306).</w:t>
      </w:r>
    </w:p>
  </w:footnote>
  <w:footnote w:id="10">
    <w:p w:rsidR="00246118" w:rsidRPr="004E58D5" w:rsidRDefault="00246118" w:rsidP="00B015EE">
      <w:pPr>
        <w:pStyle w:val="FootnoteText"/>
      </w:pPr>
      <w:r>
        <w:rPr>
          <w:rStyle w:val="FootnoteReference"/>
        </w:rPr>
        <w:footnoteRef/>
      </w:r>
      <w:r w:rsidRPr="004E58D5">
        <w:t xml:space="preserve"> No debe</w:t>
      </w:r>
      <w:r>
        <w:t xml:space="preserve">ría sorprender, por otro lado, </w:t>
      </w:r>
      <w:r w:rsidRPr="004E58D5">
        <w:t xml:space="preserve">que el Tribunal Supremo de Puerto Rico se exprese sobre el asunto en el curso de los próximos años. </w:t>
      </w:r>
    </w:p>
  </w:footnote>
  <w:footnote w:id="11">
    <w:p w:rsidR="00246118" w:rsidRPr="003D1A30" w:rsidRDefault="00246118" w:rsidP="00B015EE">
      <w:pPr>
        <w:pStyle w:val="FootnoteText"/>
        <w:rPr>
          <w:rFonts w:ascii="Times New Roman" w:hAnsi="Times New Roman"/>
          <w:lang w:val="en-US"/>
        </w:rPr>
      </w:pPr>
      <w:r>
        <w:rPr>
          <w:rStyle w:val="FootnoteReference"/>
        </w:rPr>
        <w:footnoteRef/>
      </w:r>
      <w:r w:rsidRPr="006C2E2C">
        <w:rPr>
          <w:lang w:val="en-US"/>
        </w:rPr>
        <w:t xml:space="preserve"> </w:t>
      </w:r>
      <w:r w:rsidRPr="003D1A30">
        <w:rPr>
          <w:rFonts w:ascii="Times New Roman" w:hAnsi="Times New Roman"/>
          <w:lang w:val="en-US"/>
        </w:rPr>
        <w:t xml:space="preserve">Algunos datos relevantes sobre el movimiento del </w:t>
      </w:r>
      <w:r w:rsidRPr="003D1A30">
        <w:rPr>
          <w:rFonts w:ascii="Times New Roman" w:hAnsi="Times New Roman"/>
          <w:i/>
          <w:lang w:val="en-US"/>
        </w:rPr>
        <w:t>Tea Party</w:t>
      </w:r>
      <w:r w:rsidRPr="003D1A30">
        <w:rPr>
          <w:rFonts w:ascii="Times New Roman" w:hAnsi="Times New Roman"/>
          <w:lang w:val="en-US"/>
        </w:rPr>
        <w:t>: “Eighteen percent of Americans identify as Tea Party supporters. The vast majority of them -- 89 percent -- are white. Just one percent is black. They tend to skew older: Three in four are 45 years old or older, including 29 percent who are 65 plus. They are also more likely to be men (59 percent) than women (41 percent).  More than one in three (36 percent) hails from the South, far more than any other region. Twenty-five percent come from the West, 22 percent from the Midwest, and 18 percent from the northeast” (Montopoli, B., 2012).</w:t>
      </w:r>
    </w:p>
  </w:footnote>
  <w:footnote w:id="12">
    <w:p w:rsidR="00246118" w:rsidRPr="00383D01" w:rsidRDefault="00246118" w:rsidP="005A5E7D">
      <w:pPr>
        <w:widowControl w:val="0"/>
        <w:tabs>
          <w:tab w:val="left" w:pos="709"/>
        </w:tabs>
        <w:autoSpaceDE w:val="0"/>
        <w:autoSpaceDN w:val="0"/>
        <w:adjustRightInd w:val="0"/>
        <w:spacing w:line="240" w:lineRule="auto"/>
        <w:ind w:right="-81"/>
        <w:rPr>
          <w:rFonts w:ascii="Calibri" w:hAnsi="Calibri"/>
          <w:sz w:val="20"/>
          <w:szCs w:val="25"/>
          <w:lang w:val="en-US"/>
        </w:rPr>
      </w:pPr>
      <w:r w:rsidRPr="00383D01">
        <w:rPr>
          <w:rStyle w:val="FootnoteReference"/>
          <w:rFonts w:ascii="Calibri" w:hAnsi="Calibri"/>
          <w:sz w:val="20"/>
        </w:rPr>
        <w:footnoteRef/>
      </w:r>
      <w:r w:rsidRPr="00383D01">
        <w:rPr>
          <w:rFonts w:ascii="Calibri" w:hAnsi="Calibri"/>
          <w:sz w:val="20"/>
          <w:lang w:val="en-US"/>
        </w:rPr>
        <w:t xml:space="preserve"> “</w:t>
      </w:r>
      <w:r w:rsidRPr="00383D01">
        <w:rPr>
          <w:rFonts w:ascii="Calibri" w:hAnsi="Calibri"/>
          <w:sz w:val="20"/>
          <w:szCs w:val="25"/>
          <w:lang w:val="en-US"/>
        </w:rPr>
        <w:t xml:space="preserve">As S. 712 defines them, the various status options could have important implications for Puerto Rico's economy, though the outcomes are hard to predict with confidence. Enhanced commonwealth status would establish procedures under which federal laws and regulations applying to Puerto Rico could be modified selectively in order to enhance the island's economic growth. Statehood under </w:t>
      </w:r>
      <w:r>
        <w:rPr>
          <w:rFonts w:ascii="Calibri" w:hAnsi="Calibri"/>
          <w:sz w:val="20"/>
          <w:szCs w:val="25"/>
          <w:lang w:val="en-US"/>
        </w:rPr>
        <w:t>S. 712</w:t>
      </w:r>
      <w:r w:rsidRPr="00383D01">
        <w:rPr>
          <w:rFonts w:ascii="Calibri" w:hAnsi="Calibri"/>
          <w:sz w:val="20"/>
          <w:szCs w:val="25"/>
          <w:lang w:val="en-US"/>
        </w:rPr>
        <w:t xml:space="preserve"> could bring more sweeping economic changes to the island, some of them potentially restrictive and others favorable. Independence would necessarily remove Puerto Rico from the scope of Section 936. Moreover, S. 712 implies a gradual diminution (and elimination after 2000) of federal transfers to the island from the levels that would otherwise obtain, a fact with some worrisome implications for the island economy.”</w:t>
      </w:r>
    </w:p>
  </w:footnote>
  <w:footnote w:id="13">
    <w:p w:rsidR="00246118" w:rsidRPr="00AA46C1" w:rsidRDefault="00246118" w:rsidP="005A5E7D">
      <w:pPr>
        <w:pStyle w:val="FootnoteText"/>
        <w:rPr>
          <w:lang w:val="es-ES_tradnl"/>
        </w:rPr>
      </w:pPr>
      <w:r w:rsidRPr="00AA46C1">
        <w:rPr>
          <w:rStyle w:val="FootnoteReference"/>
          <w:lang w:val="es-ES_tradnl"/>
        </w:rPr>
        <w:footnoteRef/>
      </w:r>
      <w:r w:rsidRPr="00AA46C1">
        <w:rPr>
          <w:lang w:val="es-ES_tradnl"/>
        </w:rPr>
        <w:t xml:space="preserve"> Estos estudios se llevaron a cabo durante la vigencia de la Sección 936 del Código de Rentas Internas </w:t>
      </w:r>
      <w:r>
        <w:rPr>
          <w:lang w:val="es-ES_tradnl"/>
        </w:rPr>
        <w:t>f</w:t>
      </w:r>
      <w:r w:rsidRPr="00AA46C1">
        <w:rPr>
          <w:lang w:val="es-ES_tradnl"/>
        </w:rPr>
        <w:t>ederal. Por ende</w:t>
      </w:r>
      <w:r>
        <w:rPr>
          <w:lang w:val="es-ES_tradnl"/>
        </w:rPr>
        <w:t>,</w:t>
      </w:r>
      <w:r w:rsidRPr="00AA46C1">
        <w:rPr>
          <w:lang w:val="es-ES_tradnl"/>
        </w:rPr>
        <w:t xml:space="preserve"> muchos plantea</w:t>
      </w:r>
      <w:r>
        <w:rPr>
          <w:lang w:val="es-ES_tradnl"/>
        </w:rPr>
        <w:t>ro</w:t>
      </w:r>
      <w:r w:rsidRPr="00AA46C1">
        <w:rPr>
          <w:lang w:val="es-ES_tradnl"/>
        </w:rPr>
        <w:t>n escenarios de continuación, reducción o eliminación de e</w:t>
      </w:r>
      <w:r>
        <w:rPr>
          <w:lang w:val="es-ES_tradnl"/>
        </w:rPr>
        <w:t>stos incentivos tributarios par</w:t>
      </w:r>
      <w:r w:rsidRPr="00AA46C1">
        <w:rPr>
          <w:lang w:val="es-ES_tradnl"/>
        </w:rPr>
        <w:t>a las industria</w:t>
      </w:r>
      <w:r>
        <w:rPr>
          <w:lang w:val="es-ES_tradnl"/>
        </w:rPr>
        <w:t>s</w:t>
      </w:r>
      <w:r w:rsidRPr="00AA46C1">
        <w:rPr>
          <w:lang w:val="es-ES_tradnl"/>
        </w:rPr>
        <w:t xml:space="preserve"> que disfruta</w:t>
      </w:r>
      <w:r>
        <w:rPr>
          <w:lang w:val="es-ES_tradnl"/>
        </w:rPr>
        <w:t xml:space="preserve">ban </w:t>
      </w:r>
      <w:r w:rsidRPr="00AA46C1">
        <w:rPr>
          <w:lang w:val="es-ES_tradnl"/>
        </w:rPr>
        <w:t xml:space="preserve">de </w:t>
      </w:r>
      <w:r>
        <w:rPr>
          <w:lang w:val="es-ES_tradnl"/>
        </w:rPr>
        <w:t>sus beneficios</w:t>
      </w:r>
      <w:r w:rsidRPr="00AA46C1">
        <w:rPr>
          <w:lang w:val="es-ES_tradnl"/>
        </w:rPr>
        <w:t>.</w:t>
      </w:r>
    </w:p>
  </w:footnote>
  <w:footnote w:id="14">
    <w:p w:rsidR="00246118" w:rsidRPr="00873F5E" w:rsidRDefault="00246118">
      <w:pPr>
        <w:pStyle w:val="FootnoteText"/>
        <w:rPr>
          <w:lang w:val="en-US"/>
        </w:rPr>
      </w:pPr>
      <w:r>
        <w:rPr>
          <w:rStyle w:val="FootnoteReference"/>
        </w:rPr>
        <w:footnoteRef/>
      </w:r>
      <w:r w:rsidRPr="00873F5E">
        <w:rPr>
          <w:lang w:val="en-US"/>
        </w:rPr>
        <w:t xml:space="preserve"> </w:t>
      </w:r>
      <w:r>
        <w:rPr>
          <w:lang w:val="en-US"/>
        </w:rPr>
        <w:t>En palabras de la</w:t>
      </w:r>
      <w:r w:rsidRPr="00177C5D">
        <w:rPr>
          <w:lang w:val="en-US"/>
        </w:rPr>
        <w:t xml:space="preserve"> GAO</w:t>
      </w:r>
      <w:r>
        <w:rPr>
          <w:lang w:val="en-US"/>
        </w:rPr>
        <w:t>,</w:t>
      </w:r>
      <w:r w:rsidRPr="00177C5D">
        <w:rPr>
          <w:lang w:val="en-US"/>
        </w:rPr>
        <w:t xml:space="preserve"> “</w:t>
      </w:r>
      <w:r w:rsidRPr="00177C5D">
        <w:rPr>
          <w:szCs w:val="25"/>
          <w:lang w:val="en-US"/>
        </w:rPr>
        <w:t>from the U.S. government to Puerto Rico under entitlement programs could increase by $1.7 billion in fiscal year 1992, an amount that rises to $3 b</w:t>
      </w:r>
      <w:r>
        <w:rPr>
          <w:szCs w:val="25"/>
          <w:lang w:val="en-US"/>
        </w:rPr>
        <w:t>illion per year in fiscal year…</w:t>
      </w:r>
      <w:r w:rsidRPr="00177C5D">
        <w:rPr>
          <w:szCs w:val="25"/>
          <w:lang w:val="en-US"/>
        </w:rPr>
        <w:t xml:space="preserve"> In terms of the federal budget, these increased payments would be partially offset by higher taxes received from Puerto Rico, and from U.S.-based corporations as a result of their loss of Section 936 benefits</w:t>
      </w:r>
      <w:r>
        <w:rPr>
          <w:szCs w:val="25"/>
          <w:lang w:val="en-US"/>
        </w:rPr>
        <w:t>.</w:t>
      </w:r>
    </w:p>
  </w:footnote>
  <w:footnote w:id="15">
    <w:p w:rsidR="00246118" w:rsidRPr="006C2E2C" w:rsidRDefault="00246118" w:rsidP="005A5E7D">
      <w:pPr>
        <w:pStyle w:val="FootnoteText"/>
        <w:rPr>
          <w:lang w:val="en-US"/>
        </w:rPr>
      </w:pPr>
      <w:r>
        <w:rPr>
          <w:rStyle w:val="FootnoteReference"/>
        </w:rPr>
        <w:footnoteRef/>
      </w:r>
      <w:r>
        <w:rPr>
          <w:lang w:val="en-US"/>
        </w:rPr>
        <w:t xml:space="preserve">  En sus propias palabras:</w:t>
      </w:r>
      <w:r w:rsidRPr="006C2E2C">
        <w:rPr>
          <w:lang w:val="en-US"/>
        </w:rPr>
        <w:t xml:space="preserve"> “</w:t>
      </w:r>
      <w:r>
        <w:rPr>
          <w:lang w:val="en-US" w:eastAsia="ja-JP"/>
        </w:rPr>
        <w:t>T</w:t>
      </w:r>
      <w:r w:rsidRPr="006C2E2C">
        <w:rPr>
          <w:lang w:val="en-US" w:eastAsia="ja-JP"/>
        </w:rPr>
        <w:t>he 1989-1991 congressional status debate illustrated the existence of only two major visions o</w:t>
      </w:r>
      <w:r>
        <w:rPr>
          <w:lang w:val="en-US" w:eastAsia="ja-JP"/>
        </w:rPr>
        <w:t xml:space="preserve">f future economic development. </w:t>
      </w:r>
      <w:r w:rsidRPr="006C2E2C">
        <w:rPr>
          <w:lang w:val="en-US" w:eastAsia="ja-JP"/>
        </w:rPr>
        <w:t>These two visions--complete political and economic integration to the United States vs. greater autonomy to take advantage of perceived new global economic trends--are at the heart of the current debate. These two</w:t>
      </w:r>
      <w:r w:rsidRPr="006C2E2C">
        <w:rPr>
          <w:b/>
          <w:lang w:val="en-US" w:eastAsia="ja-JP"/>
        </w:rPr>
        <w:t xml:space="preserve"> </w:t>
      </w:r>
      <w:r w:rsidRPr="006C2E2C">
        <w:rPr>
          <w:lang w:val="en-US" w:eastAsia="ja-JP"/>
        </w:rPr>
        <w:t>paths of political and economic development are likely to dominate future status discussions in the course of this century”.</w:t>
      </w:r>
      <w:r w:rsidR="00FD1E6D" w:rsidRPr="006C2E2C">
        <w:rPr>
          <w:lang w:val="en-US"/>
        </w:rPr>
        <w:t xml:space="preserve"> </w:t>
      </w:r>
    </w:p>
  </w:footnote>
  <w:footnote w:id="16">
    <w:p w:rsidR="00246118" w:rsidRPr="00AF2F01" w:rsidRDefault="00246118" w:rsidP="00043CCA">
      <w:pPr>
        <w:spacing w:beforeLines="1" w:afterLines="1" w:line="240" w:lineRule="auto"/>
        <w:outlineLvl w:val="4"/>
      </w:pPr>
      <w:r w:rsidRPr="008032A9">
        <w:rPr>
          <w:rStyle w:val="FootnoteReference"/>
          <w:rFonts w:ascii="Calibri" w:hAnsi="Calibri"/>
          <w:sz w:val="20"/>
        </w:rPr>
        <w:footnoteRef/>
      </w:r>
      <w:r w:rsidRPr="008032A9">
        <w:rPr>
          <w:rFonts w:ascii="Calibri" w:hAnsi="Calibri"/>
          <w:sz w:val="20"/>
        </w:rPr>
        <w:t xml:space="preserve"> </w:t>
      </w:r>
      <w:r w:rsidRPr="008032A9">
        <w:rPr>
          <w:rFonts w:ascii="Calibri" w:hAnsi="Calibri"/>
          <w:sz w:val="20"/>
          <w:szCs w:val="20"/>
          <w:lang w:val="es-ES_tradnl"/>
        </w:rPr>
        <w:t xml:space="preserve">Comentarios </w:t>
      </w:r>
      <w:r>
        <w:rPr>
          <w:rFonts w:ascii="Calibri" w:hAnsi="Calibri"/>
          <w:sz w:val="20"/>
          <w:szCs w:val="20"/>
          <w:lang w:val="es-ES_tradnl"/>
        </w:rPr>
        <w:t>de José Joaquín</w:t>
      </w:r>
      <w:r w:rsidRPr="008032A9">
        <w:rPr>
          <w:rFonts w:ascii="Calibri" w:hAnsi="Calibri"/>
          <w:sz w:val="20"/>
          <w:szCs w:val="20"/>
          <w:lang w:val="es-ES_tradnl"/>
        </w:rPr>
        <w:t xml:space="preserve"> Villamil sobre el </w:t>
      </w:r>
      <w:r w:rsidRPr="008032A9">
        <w:rPr>
          <w:rFonts w:ascii="Calibri" w:hAnsi="Calibri"/>
          <w:sz w:val="20"/>
          <w:lang w:val="es-ES_tradnl"/>
        </w:rPr>
        <w:t xml:space="preserve">Informe de la Reserva Federal de Nueva York, </w:t>
      </w:r>
      <w:r>
        <w:rPr>
          <w:rFonts w:ascii="Calibri" w:eastAsia="Cambria" w:hAnsi="Calibri"/>
          <w:sz w:val="20"/>
          <w:szCs w:val="20"/>
          <w:lang w:val="es-ES_tradnl"/>
        </w:rPr>
        <w:t xml:space="preserve">publicados en </w:t>
      </w:r>
      <w:r w:rsidRPr="008032A9">
        <w:rPr>
          <w:rFonts w:ascii="Calibri" w:eastAsia="Cambria" w:hAnsi="Calibri"/>
          <w:sz w:val="20"/>
          <w:szCs w:val="20"/>
          <w:lang w:val="es-ES_tradnl"/>
        </w:rPr>
        <w:t xml:space="preserve">el </w:t>
      </w:r>
      <w:r>
        <w:rPr>
          <w:rFonts w:ascii="Calibri" w:eastAsia="Cambria" w:hAnsi="Calibri"/>
          <w:sz w:val="20"/>
          <w:szCs w:val="20"/>
          <w:lang w:val="es-ES_tradnl"/>
        </w:rPr>
        <w:t>periódico digital</w:t>
      </w:r>
      <w:r w:rsidRPr="008032A9">
        <w:rPr>
          <w:rFonts w:ascii="Calibri" w:eastAsia="Cambria" w:hAnsi="Calibri"/>
          <w:sz w:val="20"/>
          <w:szCs w:val="20"/>
          <w:lang w:val="es-ES_tradnl"/>
        </w:rPr>
        <w:t xml:space="preserve"> </w:t>
      </w:r>
      <w:r w:rsidRPr="008032A9">
        <w:rPr>
          <w:rFonts w:ascii="Calibri" w:eastAsia="Cambria" w:hAnsi="Calibri"/>
          <w:i/>
          <w:sz w:val="20"/>
          <w:szCs w:val="20"/>
          <w:lang w:val="es-ES_tradnl"/>
        </w:rPr>
        <w:t>Sin comillas</w:t>
      </w:r>
      <w:r w:rsidRPr="008032A9">
        <w:rPr>
          <w:rFonts w:ascii="Calibri" w:eastAsia="Cambria" w:hAnsi="Calibri"/>
          <w:sz w:val="20"/>
          <w:szCs w:val="20"/>
          <w:lang w:val="es-ES_tradnl"/>
        </w:rPr>
        <w:t xml:space="preserve"> d</w:t>
      </w:r>
      <w:r>
        <w:rPr>
          <w:rFonts w:ascii="Calibri" w:eastAsia="Cambria" w:hAnsi="Calibri"/>
          <w:sz w:val="20"/>
          <w:szCs w:val="20"/>
          <w:lang w:val="es-ES_tradnl"/>
        </w:rPr>
        <w:t>irigido por</w:t>
      </w:r>
      <w:r w:rsidRPr="008032A9">
        <w:rPr>
          <w:rFonts w:ascii="Calibri" w:eastAsia="Cambria" w:hAnsi="Calibri"/>
          <w:sz w:val="20"/>
          <w:szCs w:val="20"/>
          <w:lang w:val="es-ES_tradnl"/>
        </w:rPr>
        <w:t xml:space="preserve"> Luisa Garc</w:t>
      </w:r>
      <w:r w:rsidRPr="008032A9">
        <w:rPr>
          <w:rFonts w:ascii="Calibri" w:hAnsi="Calibri"/>
          <w:sz w:val="20"/>
          <w:szCs w:val="20"/>
          <w:lang w:val="es-ES_tradnl"/>
        </w:rPr>
        <w:t>í</w:t>
      </w:r>
      <w:r w:rsidRPr="008032A9">
        <w:rPr>
          <w:rFonts w:ascii="Calibri" w:eastAsia="Cambria" w:hAnsi="Calibri"/>
          <w:sz w:val="20"/>
          <w:szCs w:val="20"/>
          <w:lang w:val="es-ES_tradnl"/>
        </w:rPr>
        <w:t>a</w:t>
      </w:r>
      <w:r>
        <w:rPr>
          <w:rFonts w:ascii="Calibri" w:eastAsia="Cambria" w:hAnsi="Calibri"/>
          <w:sz w:val="20"/>
          <w:szCs w:val="20"/>
          <w:lang w:val="es-ES_tradnl"/>
        </w:rPr>
        <w:t xml:space="preserve"> Pelatti</w:t>
      </w:r>
      <w:r w:rsidR="00FD1E6D">
        <w:rPr>
          <w:rFonts w:ascii="Calibri" w:eastAsia="Cambria" w:hAnsi="Calibri"/>
          <w:sz w:val="20"/>
          <w:szCs w:val="20"/>
          <w:lang w:val="es-ES_tradnl"/>
        </w:rPr>
        <w:t>.</w:t>
      </w:r>
    </w:p>
  </w:footnote>
  <w:footnote w:id="17">
    <w:p w:rsidR="00246118" w:rsidRPr="00FD1E6D" w:rsidRDefault="00246118" w:rsidP="00FD1E6D">
      <w:pPr>
        <w:widowControl w:val="0"/>
        <w:autoSpaceDE w:val="0"/>
        <w:autoSpaceDN w:val="0"/>
        <w:adjustRightInd w:val="0"/>
        <w:spacing w:line="240" w:lineRule="auto"/>
        <w:rPr>
          <w:rFonts w:ascii="Calibri" w:hAnsi="Calibri"/>
          <w:sz w:val="20"/>
          <w:lang w:val="es-ES_tradnl"/>
        </w:rPr>
      </w:pPr>
      <w:r w:rsidRPr="008E30AE">
        <w:rPr>
          <w:rStyle w:val="FootnoteReference"/>
          <w:rFonts w:ascii="Calibri" w:hAnsi="Calibri"/>
          <w:sz w:val="20"/>
        </w:rPr>
        <w:footnoteRef/>
      </w:r>
      <w:r w:rsidRPr="008E30AE">
        <w:rPr>
          <w:rFonts w:ascii="Calibri" w:hAnsi="Calibri"/>
          <w:sz w:val="20"/>
        </w:rPr>
        <w:t xml:space="preserve"> </w:t>
      </w:r>
      <w:r w:rsidRPr="008E30AE">
        <w:rPr>
          <w:rFonts w:ascii="Calibri" w:hAnsi="Calibri"/>
          <w:sz w:val="20"/>
          <w:lang w:val="es-ES_tradnl"/>
        </w:rPr>
        <w:t>La principal contribución del modelo neoclásico tradicional fue generar un marco para cuantificar los efectos de diferentes variables sobre el crecimiento;</w:t>
      </w:r>
      <w:r>
        <w:rPr>
          <w:rFonts w:ascii="Calibri" w:hAnsi="Calibri"/>
          <w:sz w:val="20"/>
          <w:lang w:val="es-ES_tradnl"/>
        </w:rPr>
        <w:t xml:space="preserve"> a</w:t>
      </w:r>
      <w:r w:rsidRPr="008E30AE">
        <w:rPr>
          <w:rFonts w:ascii="Calibri" w:hAnsi="Calibri"/>
          <w:sz w:val="20"/>
          <w:lang w:val="es-ES_tradnl"/>
        </w:rPr>
        <w:t xml:space="preserve"> esta aportación </w:t>
      </w:r>
      <w:r>
        <w:rPr>
          <w:rFonts w:ascii="Calibri" w:hAnsi="Calibri"/>
          <w:sz w:val="20"/>
          <w:lang w:val="es-ES_tradnl"/>
        </w:rPr>
        <w:t>se le</w:t>
      </w:r>
      <w:r w:rsidRPr="008E30AE">
        <w:rPr>
          <w:rFonts w:ascii="Calibri" w:hAnsi="Calibri"/>
          <w:sz w:val="20"/>
          <w:lang w:val="es-ES_tradnl"/>
        </w:rPr>
        <w:t xml:space="preserve"> conoc</w:t>
      </w:r>
      <w:r>
        <w:rPr>
          <w:rFonts w:ascii="Calibri" w:hAnsi="Calibri"/>
          <w:sz w:val="20"/>
          <w:lang w:val="es-ES_tradnl"/>
        </w:rPr>
        <w:t>e</w:t>
      </w:r>
      <w:r w:rsidRPr="008E30AE">
        <w:rPr>
          <w:rFonts w:ascii="Calibri" w:hAnsi="Calibri"/>
          <w:sz w:val="20"/>
          <w:lang w:val="es-ES_tradnl"/>
        </w:rPr>
        <w:t xml:space="preserve"> con el nombre de contabilidad del crecimiento. En su artículo de 1957, </w:t>
      </w:r>
      <w:r>
        <w:rPr>
          <w:rFonts w:ascii="Calibri" w:hAnsi="Calibri"/>
          <w:sz w:val="20"/>
          <w:lang w:val="es-ES_tradnl"/>
        </w:rPr>
        <w:t xml:space="preserve">Robert </w:t>
      </w:r>
      <w:r w:rsidRPr="008E30AE">
        <w:rPr>
          <w:rFonts w:ascii="Calibri" w:hAnsi="Calibri"/>
          <w:sz w:val="20"/>
          <w:lang w:val="es-ES_tradnl"/>
        </w:rPr>
        <w:t>Solow mostró que era posible atribuir el crecimiento de Estados Unidos a distintas variables explicativas y midió el efecto del progreso tecnológico con l</w:t>
      </w:r>
      <w:r>
        <w:rPr>
          <w:rFonts w:ascii="Calibri" w:hAnsi="Calibri"/>
          <w:sz w:val="20"/>
          <w:lang w:val="es-ES_tradnl"/>
        </w:rPr>
        <w:t>a metodología desarrollada por é</w:t>
      </w:r>
      <w:r w:rsidRPr="008E30AE">
        <w:rPr>
          <w:rFonts w:ascii="Calibri" w:hAnsi="Calibri"/>
          <w:sz w:val="20"/>
          <w:lang w:val="es-ES_tradnl"/>
        </w:rPr>
        <w:t>l mismo un año antes. Solow estimó que un 87% del aumento total del producto por hora-persona (productividad) era atribuible al progreso t</w:t>
      </w:r>
      <w:r>
        <w:rPr>
          <w:rFonts w:ascii="Calibri" w:hAnsi="Calibri"/>
          <w:sz w:val="20"/>
          <w:lang w:val="es-ES_tradnl"/>
        </w:rPr>
        <w:t>ecnológico, mientras que el 13</w:t>
      </w:r>
      <w:r w:rsidRPr="008E30AE">
        <w:rPr>
          <w:rFonts w:ascii="Calibri" w:hAnsi="Calibri"/>
          <w:sz w:val="20"/>
          <w:lang w:val="es-ES_tradnl"/>
        </w:rPr>
        <w:t>% restante respondía al aumento del acervo de capital físico. La descomposición de la producción total de los factores (capital y trabajo) y del progreso técnico representó un adelanto importante en el análisis del crecimiento. A partir de los años cincuenta, se ha intentado reducir el monto del componente residual de progreso técnico mejorando la medición de los productos de los factores. Con respecto al capital físico</w:t>
      </w:r>
      <w:r>
        <w:rPr>
          <w:rFonts w:ascii="Calibri" w:hAnsi="Calibri"/>
          <w:sz w:val="20"/>
          <w:lang w:val="es-ES_tradnl"/>
        </w:rPr>
        <w:t>,</w:t>
      </w:r>
      <w:r w:rsidRPr="008E30AE">
        <w:rPr>
          <w:rFonts w:ascii="Calibri" w:hAnsi="Calibri"/>
          <w:sz w:val="20"/>
          <w:lang w:val="es-ES_tradnl"/>
        </w:rPr>
        <w:t xml:space="preserve"> se planteó mejorar su medición mediante la inclusión del progreso técnico en sucesivas generaciones de capital, reflejando la idea de que los bienes de capital incorporan progreso técnico. En cuanto al factor trabajo, se le </w:t>
      </w:r>
      <w:r>
        <w:rPr>
          <w:rFonts w:ascii="Calibri" w:hAnsi="Calibri"/>
          <w:sz w:val="20"/>
          <w:lang w:val="es-ES_tradnl"/>
        </w:rPr>
        <w:t>ha dado importancia a la mejora (</w:t>
      </w:r>
      <w:r w:rsidRPr="00075647">
        <w:rPr>
          <w:rFonts w:ascii="Calibri" w:hAnsi="Calibri"/>
          <w:i/>
          <w:sz w:val="20"/>
          <w:lang w:val="es-ES_tradnl"/>
        </w:rPr>
        <w:t>enhancement</w:t>
      </w:r>
      <w:r w:rsidRPr="008E30AE">
        <w:rPr>
          <w:rFonts w:ascii="Calibri" w:hAnsi="Calibri"/>
          <w:sz w:val="20"/>
          <w:lang w:val="es-ES_tradnl"/>
        </w:rPr>
        <w:t xml:space="preserve">) del trabajo mediante la educación. A partir de un trabajo publicado por Theodore Schultz en 1961 (“Investment in Human Capital”, </w:t>
      </w:r>
      <w:r w:rsidRPr="00776CE0">
        <w:rPr>
          <w:rFonts w:ascii="Calibri" w:hAnsi="Calibri"/>
          <w:i/>
          <w:sz w:val="20"/>
          <w:lang w:val="es-ES_tradnl"/>
        </w:rPr>
        <w:t>American Economic Review</w:t>
      </w:r>
      <w:r w:rsidRPr="008E30AE">
        <w:rPr>
          <w:rFonts w:ascii="Calibri" w:hAnsi="Calibri"/>
          <w:sz w:val="20"/>
          <w:lang w:val="es-ES_tradnl"/>
        </w:rPr>
        <w:t>, Vol. 51, Núm. 1, marzo de 1961)</w:t>
      </w:r>
      <w:r>
        <w:rPr>
          <w:rFonts w:ascii="Calibri" w:hAnsi="Calibri"/>
          <w:sz w:val="20"/>
          <w:lang w:val="es-ES_tradnl"/>
        </w:rPr>
        <w:t>,</w:t>
      </w:r>
      <w:r w:rsidRPr="008E30AE">
        <w:rPr>
          <w:rFonts w:ascii="Calibri" w:hAnsi="Calibri"/>
          <w:sz w:val="20"/>
          <w:lang w:val="es-ES_tradnl"/>
        </w:rPr>
        <w:t xml:space="preserve"> la mayoría de los trabajos de contabilidad del crecimiento incluyen la educación como</w:t>
      </w:r>
      <w:r>
        <w:rPr>
          <w:rFonts w:ascii="Calibri" w:hAnsi="Calibri"/>
          <w:sz w:val="20"/>
          <w:lang w:val="es-ES_tradnl"/>
        </w:rPr>
        <w:t xml:space="preserve"> un</w:t>
      </w:r>
      <w:r w:rsidRPr="008E30AE">
        <w:rPr>
          <w:rFonts w:ascii="Calibri" w:hAnsi="Calibri"/>
          <w:sz w:val="20"/>
          <w:lang w:val="es-ES_tradnl"/>
        </w:rPr>
        <w:t xml:space="preserve"> factor importante en la explicación del</w:t>
      </w:r>
      <w:r>
        <w:rPr>
          <w:rFonts w:ascii="Calibri" w:hAnsi="Calibri"/>
          <w:sz w:val="20"/>
          <w:lang w:val="es-ES_tradnl"/>
        </w:rPr>
        <w:t xml:space="preserve"> crecimiento económico.</w:t>
      </w:r>
    </w:p>
  </w:footnote>
  <w:footnote w:id="18">
    <w:p w:rsidR="00246118" w:rsidRPr="00E12614" w:rsidRDefault="00246118">
      <w:pPr>
        <w:pStyle w:val="FootnoteText"/>
      </w:pPr>
      <w:r>
        <w:rPr>
          <w:rStyle w:val="FootnoteReference"/>
        </w:rPr>
        <w:footnoteRef/>
      </w:r>
      <w:r w:rsidRPr="00E12614">
        <w:t xml:space="preserve"> </w:t>
      </w:r>
      <w:r>
        <w:t>El alcance de nuestro trabajo se limita a las implicaciones del cambio de estatus hacia la estadidad a nivel del sistema fiscal local.  Nuestro trabajo no intenta explorar el efecto neto en el presupuesto federal como resultado de la admisión de Puerto Rico como estado.</w:t>
      </w:r>
    </w:p>
  </w:footnote>
  <w:footnote w:id="19">
    <w:p w:rsidR="00246118" w:rsidRPr="003A21B9" w:rsidRDefault="00246118" w:rsidP="005A5E7D">
      <w:pPr>
        <w:pStyle w:val="FootnoteText"/>
      </w:pPr>
      <w:r>
        <w:rPr>
          <w:rStyle w:val="FootnoteReference"/>
        </w:rPr>
        <w:footnoteRef/>
      </w:r>
      <w:r w:rsidRPr="003A21B9">
        <w:t xml:space="preserve"> Las aportaciones federales a los municipios se incluyen en el ingreso fiscal de los gobiernos “locales” en </w:t>
      </w:r>
      <w:r>
        <w:t>Estados Unidos</w:t>
      </w:r>
      <w:r w:rsidRPr="003A21B9">
        <w:t>.  Las aportaciones a los individuos tampoco se incluyen en los ingresos de los estados.</w:t>
      </w:r>
    </w:p>
  </w:footnote>
  <w:footnote w:id="20">
    <w:p w:rsidR="00246118" w:rsidRPr="003A21B9" w:rsidRDefault="00246118" w:rsidP="005A5E7D">
      <w:pPr>
        <w:pStyle w:val="FootnoteText"/>
      </w:pPr>
      <w:r>
        <w:rPr>
          <w:rStyle w:val="FootnoteReference"/>
        </w:rPr>
        <w:footnoteRef/>
      </w:r>
      <w:r w:rsidRPr="003A21B9">
        <w:t xml:space="preserve"> Las transfe</w:t>
      </w:r>
      <w:r>
        <w:t>rencias federales dirigidas al G</w:t>
      </w:r>
      <w:r w:rsidRPr="003A21B9">
        <w:t>obierno de Puerto Rico se obtienen restando</w:t>
      </w:r>
      <w:r>
        <w:t xml:space="preserve"> </w:t>
      </w:r>
      <w:r w:rsidRPr="003A21B9">
        <w:t>las transferencias que van directamente a los municipios y a los individuos</w:t>
      </w:r>
      <w:r>
        <w:t xml:space="preserve"> (</w:t>
      </w:r>
      <w:r w:rsidRPr="003A21B9">
        <w:t>no  incluyen los fondos de</w:t>
      </w:r>
      <w:r>
        <w:t xml:space="preserve">l Programa de Asistencia Nutricional, </w:t>
      </w:r>
      <w:r w:rsidRPr="003A21B9">
        <w:t>PAN</w:t>
      </w:r>
      <w:r>
        <w:t>),</w:t>
      </w:r>
      <w:r w:rsidRPr="003A21B9">
        <w:t xml:space="preserve"> al total de l</w:t>
      </w:r>
      <w:r>
        <w:t>as transferencias federales al G</w:t>
      </w:r>
      <w:r w:rsidRPr="003A21B9">
        <w:t xml:space="preserve">obierno del E.L.A., según aparecen en </w:t>
      </w:r>
      <w:r w:rsidRPr="003A21B9">
        <w:rPr>
          <w:i/>
        </w:rPr>
        <w:t xml:space="preserve">la </w:t>
      </w:r>
      <w:r w:rsidRPr="00F26A1E">
        <w:t>Tabla 22 del</w:t>
      </w:r>
      <w:r w:rsidRPr="003A21B9">
        <w:rPr>
          <w:i/>
        </w:rPr>
        <w:t xml:space="preserve"> Apéndice Estadístico </w:t>
      </w:r>
      <w:r w:rsidRPr="00F26A1E">
        <w:t>del</w:t>
      </w:r>
      <w:r w:rsidRPr="003A21B9">
        <w:rPr>
          <w:i/>
        </w:rPr>
        <w:t xml:space="preserve"> Informe Económico al Gobernador</w:t>
      </w:r>
      <w:r w:rsidRPr="003A21B9">
        <w:t>.</w:t>
      </w:r>
    </w:p>
  </w:footnote>
  <w:footnote w:id="21">
    <w:p w:rsidR="00246118" w:rsidRPr="003A21B9" w:rsidRDefault="00246118" w:rsidP="005A5E7D">
      <w:pPr>
        <w:pStyle w:val="FootnoteText"/>
      </w:pPr>
      <w:r w:rsidRPr="00914BED">
        <w:rPr>
          <w:rStyle w:val="FootnoteReference"/>
        </w:rPr>
        <w:footnoteRef/>
      </w:r>
      <w:r>
        <w:t xml:space="preserve"> Excluyendo</w:t>
      </w:r>
      <w:r w:rsidRPr="003A21B9">
        <w:t xml:space="preserve"> siempre las aportaciones a los individuos y a los municipios </w:t>
      </w:r>
      <w:r>
        <w:t>de las rentas periódicas netas</w:t>
      </w:r>
      <w:r w:rsidRPr="003A21B9">
        <w:t>.</w:t>
      </w:r>
    </w:p>
  </w:footnote>
  <w:footnote w:id="22">
    <w:p w:rsidR="00246118" w:rsidRPr="003A21B9" w:rsidRDefault="00246118" w:rsidP="005A5E7D">
      <w:pPr>
        <w:pStyle w:val="FootnoteText"/>
      </w:pPr>
      <w:r w:rsidRPr="00914BED">
        <w:rPr>
          <w:rStyle w:val="FootnoteReference"/>
        </w:rPr>
        <w:footnoteRef/>
      </w:r>
      <w:r w:rsidRPr="003A21B9">
        <w:t xml:space="preserve"> Este análisis no sustituye uno más detallado en el que se hacen comparaciones con estados específicos con los que Puerto Rico tiene mayor similitud</w:t>
      </w:r>
      <w:r>
        <w:t>,</w:t>
      </w:r>
      <w:r w:rsidRPr="003A21B9">
        <w:t xml:space="preserve"> en términos de las características </w:t>
      </w:r>
      <w:r>
        <w:t>socioeconómicas</w:t>
      </w:r>
      <w:r w:rsidRPr="003A21B9">
        <w:t xml:space="preserve"> y estructura fiscal.  Más adelante, ampliamos en el análisis comparativo para </w:t>
      </w:r>
      <w:r>
        <w:t xml:space="preserve">ciertos </w:t>
      </w:r>
      <w:r w:rsidRPr="003A21B9">
        <w:t>estados seleccionados.</w:t>
      </w:r>
    </w:p>
  </w:footnote>
  <w:footnote w:id="23">
    <w:p w:rsidR="00246118" w:rsidRPr="003A21B9" w:rsidRDefault="00246118" w:rsidP="005A5E7D">
      <w:pPr>
        <w:pStyle w:val="FootnoteText"/>
      </w:pPr>
      <w:r>
        <w:rPr>
          <w:rStyle w:val="FootnoteReference"/>
        </w:rPr>
        <w:footnoteRef/>
      </w:r>
      <w:r>
        <w:t xml:space="preserve"> Esta lista</w:t>
      </w:r>
      <w:r w:rsidRPr="003A21B9">
        <w:t xml:space="preserve"> se basa en datos del 2008.</w:t>
      </w:r>
    </w:p>
  </w:footnote>
  <w:footnote w:id="24">
    <w:p w:rsidR="00246118" w:rsidRPr="004C162A" w:rsidRDefault="00246118" w:rsidP="005A5E7D">
      <w:pPr>
        <w:pStyle w:val="FootnoteText"/>
      </w:pPr>
      <w:r>
        <w:rPr>
          <w:rStyle w:val="FootnoteReference"/>
        </w:rPr>
        <w:footnoteRef/>
      </w:r>
      <w:r w:rsidRPr="003A21B9">
        <w:t xml:space="preserve"> Las transferencias intergubernamentales pueden incluir transferencias de lo</w:t>
      </w:r>
      <w:r>
        <w:t xml:space="preserve">s gobiernos locales al estado. </w:t>
      </w:r>
      <w:r w:rsidRPr="004C162A">
        <w:t>Sin embargo, dichas transferencias repr</w:t>
      </w:r>
      <w:r>
        <w:t xml:space="preserve">esentan una proporción mínima. </w:t>
      </w:r>
      <w:r w:rsidRPr="004C162A">
        <w:t>Para el 2011, las transferencias provenientes de gobiernos locales representaban s</w:t>
      </w:r>
      <w:r>
        <w:t>o</w:t>
      </w:r>
      <w:r w:rsidRPr="004C162A">
        <w:t>lo el 3.3% del total de transferencias intergubernamentales recibidas por los estados</w:t>
      </w:r>
      <w:r>
        <w:rPr>
          <w:noProof/>
        </w:rPr>
        <w:t xml:space="preserve"> (</w:t>
      </w:r>
      <w:r w:rsidRPr="00E82F0B">
        <w:rPr>
          <w:i/>
          <w:noProof/>
        </w:rPr>
        <w:t>Government Divis</w:t>
      </w:r>
      <w:r>
        <w:rPr>
          <w:i/>
          <w:noProof/>
        </w:rPr>
        <w:t>i</w:t>
      </w:r>
      <w:r w:rsidRPr="00E82F0B">
        <w:rPr>
          <w:i/>
          <w:noProof/>
        </w:rPr>
        <w:t>on Briefs</w:t>
      </w:r>
      <w:r w:rsidRPr="004C162A">
        <w:rPr>
          <w:noProof/>
        </w:rPr>
        <w:t>, 2013)</w:t>
      </w:r>
      <w:r w:rsidRPr="004C162A">
        <w:t>.</w:t>
      </w:r>
    </w:p>
  </w:footnote>
  <w:footnote w:id="25">
    <w:p w:rsidR="00246118" w:rsidRPr="004C162A" w:rsidRDefault="00246118" w:rsidP="005A5E7D">
      <w:pPr>
        <w:pStyle w:val="FootnoteText"/>
        <w:tabs>
          <w:tab w:val="left" w:pos="2430"/>
        </w:tabs>
      </w:pPr>
      <w:r w:rsidRPr="00B732AF">
        <w:rPr>
          <w:rStyle w:val="FootnoteReference"/>
        </w:rPr>
        <w:footnoteRef/>
      </w:r>
      <w:r w:rsidRPr="004C162A">
        <w:t xml:space="preserve"> Los $7,750 millones se estimaron multiplicando las transferencias per cápita promedio para los estados en el 2011 ($2,098) por la población de Puerto Rico para el mismo año.</w:t>
      </w:r>
    </w:p>
  </w:footnote>
  <w:footnote w:id="26">
    <w:p w:rsidR="00246118" w:rsidRPr="004C162A" w:rsidRDefault="00246118" w:rsidP="005A5E7D">
      <w:pPr>
        <w:pStyle w:val="FootnoteText"/>
      </w:pPr>
    </w:p>
    <w:p w:rsidR="00246118" w:rsidRPr="004C162A" w:rsidRDefault="00246118" w:rsidP="005A5E7D">
      <w:pPr>
        <w:pStyle w:val="FootnoteText"/>
      </w:pPr>
      <w:r>
        <w:rPr>
          <w:rStyle w:val="FootnoteReference"/>
        </w:rPr>
        <w:footnoteRef/>
      </w:r>
      <w:r w:rsidRPr="004C162A">
        <w:t xml:space="preserve"> La tasa de pareo de</w:t>
      </w:r>
      <w:r>
        <w:t>l</w:t>
      </w:r>
      <w:r w:rsidRPr="004C162A">
        <w:t xml:space="preserve"> 55% está establecida por ley para Puerto Rico, Islas Vírgenes, Guam, las Islas Marianas </w:t>
      </w:r>
      <w:r>
        <w:t xml:space="preserve">del Norte </w:t>
      </w:r>
      <w:r w:rsidRPr="004C162A">
        <w:t>y Samoa</w:t>
      </w:r>
      <w:r>
        <w:t xml:space="preserve"> </w:t>
      </w:r>
      <w:r w:rsidRPr="004C162A">
        <w:t>American</w:t>
      </w:r>
      <w:r>
        <w:t>a.</w:t>
      </w:r>
    </w:p>
  </w:footnote>
  <w:footnote w:id="27">
    <w:p w:rsidR="00246118" w:rsidRPr="004C162A" w:rsidRDefault="00246118" w:rsidP="005A5E7D">
      <w:pPr>
        <w:pStyle w:val="FootnoteText"/>
      </w:pPr>
    </w:p>
    <w:p w:rsidR="00246118" w:rsidRPr="004C162A" w:rsidRDefault="00246118" w:rsidP="005A5E7D">
      <w:pPr>
        <w:pStyle w:val="FootnoteText"/>
      </w:pPr>
      <w:r>
        <w:rPr>
          <w:rStyle w:val="FootnoteReference"/>
        </w:rPr>
        <w:footnoteRef/>
      </w:r>
      <w:r>
        <w:t xml:space="preserve"> La tasa se determina</w:t>
      </w:r>
      <w:r w:rsidRPr="004C162A">
        <w:t xml:space="preserve"> a base de la siguiente fórmula: </w:t>
      </w:r>
      <m:oMath>
        <m:r>
          <w:rPr>
            <w:rFonts w:ascii="Cambria Math" w:hAnsi="Cambria Math"/>
          </w:rPr>
          <m:t>1-</m:t>
        </m:r>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Ingreso</m:t>
                            </m:r>
                            <m:r>
                              <w:rPr>
                                <w:rFonts w:ascii="Cambria Math" w:hAnsi="Cambria Math"/>
                              </w:rPr>
                              <m:t xml:space="preserve"> </m:t>
                            </m:r>
                            <m:r>
                              <w:rPr>
                                <w:rFonts w:ascii="Cambria Math" w:hAnsi="Cambria Math"/>
                              </w:rPr>
                              <m:t>p</m:t>
                            </m:r>
                            <m:sSub>
                              <m:sSubPr>
                                <m:ctrlPr>
                                  <w:rPr>
                                    <w:rFonts w:ascii="Cambria Math" w:hAnsi="Cambria Math"/>
                                    <w:i/>
                                  </w:rPr>
                                </m:ctrlPr>
                              </m:sSubPr>
                              <m:e>
                                <m:r>
                                  <w:rPr>
                                    <w:rFonts w:ascii="Cambria Math" w:hAnsi="Cambria Math"/>
                                  </w:rPr>
                                  <m:t>c</m:t>
                                </m:r>
                              </m:e>
                              <m:sub>
                                <m:r>
                                  <w:rPr>
                                    <w:rFonts w:ascii="Cambria Math" w:hAnsi="Cambria Math"/>
                                  </w:rPr>
                                  <m:t>estado</m:t>
                                </m:r>
                              </m:sub>
                            </m:sSub>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Ingreso</m:t>
                            </m:r>
                            <m:r>
                              <w:rPr>
                                <w:rFonts w:ascii="Cambria Math" w:hAnsi="Cambria Math"/>
                              </w:rPr>
                              <m:t xml:space="preserve"> </m:t>
                            </m:r>
                            <m:r>
                              <w:rPr>
                                <w:rFonts w:ascii="Cambria Math" w:hAnsi="Cambria Math"/>
                              </w:rPr>
                              <m:t>p</m:t>
                            </m:r>
                            <m:sSub>
                              <m:sSubPr>
                                <m:ctrlPr>
                                  <w:rPr>
                                    <w:rFonts w:ascii="Cambria Math" w:hAnsi="Cambria Math"/>
                                    <w:i/>
                                  </w:rPr>
                                </m:ctrlPr>
                              </m:sSubPr>
                              <m:e>
                                <m:r>
                                  <w:rPr>
                                    <w:rFonts w:ascii="Cambria Math" w:hAnsi="Cambria Math"/>
                                  </w:rPr>
                                  <m:t>c</m:t>
                                </m:r>
                              </m:e>
                              <m:sub>
                                <m:r>
                                  <w:rPr>
                                    <w:rFonts w:ascii="Cambria Math" w:hAnsi="Cambria Math"/>
                                  </w:rPr>
                                  <m:t>EEUU</m:t>
                                </m:r>
                              </m:sub>
                            </m:sSub>
                          </m:e>
                        </m:d>
                      </m:e>
                      <m:sup>
                        <m:r>
                          <w:rPr>
                            <w:rFonts w:ascii="Cambria Math" w:hAnsi="Cambria Math"/>
                          </w:rPr>
                          <m:t>2</m:t>
                        </m:r>
                      </m:sup>
                    </m:sSup>
                  </m:den>
                </m:f>
              </m:e>
            </m:d>
            <m:r>
              <w:rPr>
                <w:rFonts w:ascii="Cambria Math" w:hAnsi="Cambria Math"/>
              </w:rPr>
              <m:t>*0.45</m:t>
            </m:r>
          </m:e>
        </m:d>
      </m:oMath>
      <w:r w:rsidRPr="004C162A">
        <w:t>.</w:t>
      </w:r>
    </w:p>
  </w:footnote>
  <w:footnote w:id="28">
    <w:p w:rsidR="00246118" w:rsidRPr="004C162A" w:rsidRDefault="00246118" w:rsidP="005A5E7D">
      <w:pPr>
        <w:pStyle w:val="FootnoteText"/>
      </w:pPr>
      <w:r>
        <w:rPr>
          <w:rStyle w:val="FootnoteReference"/>
        </w:rPr>
        <w:footnoteRef/>
      </w:r>
      <w:r w:rsidRPr="004C162A">
        <w:t xml:space="preserve"> Para est</w:t>
      </w:r>
      <w:r>
        <w:t>imar los ingresos fiscales del G</w:t>
      </w:r>
      <w:r w:rsidRPr="004C162A">
        <w:t>obierno de Puerto Rico</w:t>
      </w:r>
      <w:r>
        <w:t>,</w:t>
      </w:r>
      <w:r w:rsidRPr="004C162A">
        <w:t xml:space="preserve"> se sumaron los</w:t>
      </w:r>
      <w:r>
        <w:t xml:space="preserve"> ingresos de fuentes estatales,</w:t>
      </w:r>
      <w:r w:rsidRPr="004C162A">
        <w:t xml:space="preserve"> los derechos de aduanas, los arbitrios sobre embarques y las transferencias al gob</w:t>
      </w:r>
      <w:r>
        <w:t>ierno estimadas en la sección B</w:t>
      </w:r>
      <w:r w:rsidRPr="004C162A">
        <w:t>.</w:t>
      </w:r>
    </w:p>
  </w:footnote>
  <w:footnote w:id="29">
    <w:p w:rsidR="00246118" w:rsidRPr="004C162A" w:rsidRDefault="00246118" w:rsidP="005A5E7D">
      <w:pPr>
        <w:pStyle w:val="FootnoteText"/>
        <w:contextualSpacing/>
      </w:pPr>
      <w:r w:rsidRPr="00C15C54">
        <w:rPr>
          <w:rStyle w:val="FootnoteReference"/>
        </w:rPr>
        <w:footnoteRef/>
      </w:r>
      <w:r w:rsidRPr="004C162A">
        <w:t xml:space="preserve"> Más adelante en el trabajo se presentan estimados razonables de cuál sería el monto de los impuestos federales que pagarían los individuos y las corporaciones en caso de que Puerto Rico se convirtiese en un estado.</w:t>
      </w:r>
    </w:p>
    <w:p w:rsidR="00246118" w:rsidRPr="004C162A" w:rsidRDefault="00246118" w:rsidP="005A5E7D">
      <w:pPr>
        <w:pStyle w:val="FootnoteText"/>
      </w:pPr>
    </w:p>
  </w:footnote>
  <w:footnote w:id="30">
    <w:p w:rsidR="00246118" w:rsidRPr="004C162A" w:rsidRDefault="00246118" w:rsidP="005A5E7D">
      <w:pPr>
        <w:pStyle w:val="FootnoteText"/>
      </w:pPr>
      <w:r>
        <w:rPr>
          <w:rStyle w:val="FootnoteReference"/>
        </w:rPr>
        <w:footnoteRef/>
      </w:r>
      <w:r w:rsidRPr="004C162A">
        <w:t xml:space="preserve"> Las contribuciones federales pagadas por los individuos en Puerto Rico corresponden mayormente (más del 90</w:t>
      </w:r>
      <w:r>
        <w:t>%</w:t>
      </w:r>
      <w:r w:rsidRPr="004C162A">
        <w:t>) a los impuestos sobre nómina (Seguro Social).</w:t>
      </w:r>
    </w:p>
  </w:footnote>
  <w:footnote w:id="31">
    <w:p w:rsidR="00246118" w:rsidRPr="004C162A" w:rsidRDefault="00246118" w:rsidP="005A5E7D">
      <w:pPr>
        <w:pStyle w:val="FootnoteText"/>
      </w:pPr>
      <w:r>
        <w:rPr>
          <w:rStyle w:val="FootnoteReference"/>
        </w:rPr>
        <w:footnoteRef/>
      </w:r>
      <w:r w:rsidRPr="004C162A">
        <w:t xml:space="preserve"> Esta proporción se ha mantenido relativamente</w:t>
      </w:r>
      <w:r>
        <w:t xml:space="preserve"> constante para el período 1992-</w:t>
      </w:r>
      <w:r w:rsidRPr="004C162A">
        <w:t>2011.</w:t>
      </w:r>
    </w:p>
  </w:footnote>
  <w:footnote w:id="32">
    <w:p w:rsidR="00246118" w:rsidRPr="004C162A" w:rsidRDefault="00246118" w:rsidP="005A5E7D">
      <w:pPr>
        <w:pStyle w:val="FootnoteText"/>
      </w:pPr>
      <w:r>
        <w:rPr>
          <w:rStyle w:val="FootnoteReference"/>
        </w:rPr>
        <w:footnoteRef/>
      </w:r>
      <w:r w:rsidRPr="004C162A">
        <w:t xml:space="preserve"> Para el 2012, los arbitrios pagados por las empresas foráneas al fisc</w:t>
      </w:r>
      <w:r>
        <w:t>o de Puerto Rico totalizaron $1,</w:t>
      </w:r>
      <w:r w:rsidRPr="004C162A">
        <w:t>9</w:t>
      </w:r>
      <w:r>
        <w:t>00 m</w:t>
      </w:r>
      <w:r w:rsidRPr="004C162A">
        <w:t xml:space="preserve">illones, equivalente al 15% del ingreso fiscal. </w:t>
      </w:r>
    </w:p>
  </w:footnote>
  <w:footnote w:id="33">
    <w:p w:rsidR="00246118" w:rsidRPr="004C162A" w:rsidRDefault="00246118" w:rsidP="005A5E7D">
      <w:pPr>
        <w:pStyle w:val="FootnoteText"/>
      </w:pPr>
      <w:r>
        <w:rPr>
          <w:rStyle w:val="FootnoteReference"/>
        </w:rPr>
        <w:footnoteRef/>
      </w:r>
      <w:r w:rsidRPr="004C162A">
        <w:t xml:space="preserve"> El estado con la razón más alta entre el impuesto sobre ingreso personal y el ingreso personal lo es</w:t>
      </w:r>
      <w:r>
        <w:t xml:space="preserve"> Oregon. Alaska, Florida, Nevada,</w:t>
      </w:r>
      <w:r w:rsidRPr="004C162A">
        <w:t xml:space="preserve"> Dakota</w:t>
      </w:r>
      <w:r>
        <w:t xml:space="preserve"> del Sur</w:t>
      </w:r>
      <w:r w:rsidRPr="004C162A">
        <w:t>, Texas, Washington y Wyoming no tiene</w:t>
      </w:r>
      <w:r>
        <w:t>n</w:t>
      </w:r>
      <w:r w:rsidRPr="004C162A">
        <w:t xml:space="preserve"> impuesto sobre ingreso personal a nivel estatal.</w:t>
      </w:r>
    </w:p>
  </w:footnote>
  <w:footnote w:id="34">
    <w:p w:rsidR="00246118" w:rsidRPr="004C162A" w:rsidRDefault="00246118" w:rsidP="005A5E7D">
      <w:pPr>
        <w:pStyle w:val="FootnoteText"/>
      </w:pPr>
    </w:p>
    <w:p w:rsidR="00246118" w:rsidRPr="004C162A" w:rsidRDefault="00246118" w:rsidP="005A5E7D">
      <w:pPr>
        <w:pStyle w:val="FootnoteText"/>
      </w:pPr>
      <w:r>
        <w:rPr>
          <w:rStyle w:val="FootnoteReference"/>
        </w:rPr>
        <w:footnoteRef/>
      </w:r>
      <w:r w:rsidRPr="004C162A">
        <w:t xml:space="preserve"> El estado con la razón de impuesto al consumo sobre ingreso personal más alta es Vermont, mientras la razón más baja corresponde a Wyoming.</w:t>
      </w:r>
    </w:p>
  </w:footnote>
  <w:footnote w:id="35">
    <w:p w:rsidR="00246118" w:rsidRPr="004C162A" w:rsidRDefault="00246118" w:rsidP="005A5E7D">
      <w:pPr>
        <w:pStyle w:val="FootnoteText"/>
      </w:pPr>
    </w:p>
    <w:p w:rsidR="00246118" w:rsidRPr="004C162A" w:rsidRDefault="00246118" w:rsidP="005A5E7D">
      <w:pPr>
        <w:pStyle w:val="FootnoteText"/>
      </w:pPr>
      <w:r>
        <w:rPr>
          <w:rStyle w:val="FootnoteReference"/>
        </w:rPr>
        <w:footnoteRef/>
      </w:r>
      <w:r w:rsidRPr="004C162A">
        <w:t xml:space="preserve"> El valor máximo de 1.4% corresponde a Alaska, segu</w:t>
      </w:r>
      <w:r>
        <w:t>ido de New Hampshire con un 0.9%.</w:t>
      </w:r>
      <w:r w:rsidRPr="004C162A">
        <w:t xml:space="preserve"> Nevada, Ohio, Dakota</w:t>
      </w:r>
      <w:r>
        <w:t xml:space="preserve"> del Sur</w:t>
      </w:r>
      <w:r w:rsidRPr="004C162A">
        <w:t>, Texas, Washington y Wyoming no tiene</w:t>
      </w:r>
      <w:r>
        <w:t>n</w:t>
      </w:r>
      <w:r w:rsidRPr="004C162A">
        <w:t xml:space="preserve"> impuesto</w:t>
      </w:r>
      <w:r>
        <w:t>s corporativos a nivel estatal.</w:t>
      </w:r>
    </w:p>
  </w:footnote>
  <w:footnote w:id="36">
    <w:p w:rsidR="00246118" w:rsidRPr="004C162A" w:rsidRDefault="00246118" w:rsidP="005A5E7D">
      <w:pPr>
        <w:pStyle w:val="FootnoteText"/>
      </w:pPr>
      <w:r>
        <w:rPr>
          <w:rStyle w:val="FootnoteReference"/>
        </w:rPr>
        <w:footnoteRef/>
      </w:r>
      <w:r w:rsidRPr="004C162A">
        <w:t xml:space="preserve"> Las corporaciones exentas son aquellas que están sujetas a diferentes incentivos contributivos.</w:t>
      </w:r>
    </w:p>
  </w:footnote>
  <w:footnote w:id="37">
    <w:p w:rsidR="00246118" w:rsidRPr="0018250C" w:rsidRDefault="00246118" w:rsidP="005A5E7D">
      <w:pPr>
        <w:pStyle w:val="FootnoteText"/>
        <w:rPr>
          <w:sz w:val="16"/>
        </w:rPr>
      </w:pPr>
    </w:p>
    <w:p w:rsidR="00246118" w:rsidRDefault="00246118">
      <w:pPr>
        <w:pStyle w:val="FootnoteText"/>
      </w:pPr>
      <w:r>
        <w:rPr>
          <w:rStyle w:val="FootnoteReference"/>
        </w:rPr>
        <w:footnoteRef/>
      </w:r>
      <w:r>
        <w:t xml:space="preserve"> Para el año 2011, el Departamento de Hacienda ofreció información sobre el total de ingreso neto sujeto a contribución regular. Se verificó que el valor total de ingreso neto que estimamos se asemejara al total de ingreso neto sujeto a contribución que informó Hacienda para el 2011.</w:t>
      </w:r>
    </w:p>
  </w:footnote>
  <w:footnote w:id="38">
    <w:p w:rsidR="00246118" w:rsidRPr="0018250C" w:rsidRDefault="00246118" w:rsidP="005A5E7D">
      <w:pPr>
        <w:pStyle w:val="FootnoteText"/>
        <w:rPr>
          <w:sz w:val="16"/>
        </w:rPr>
      </w:pPr>
    </w:p>
    <w:p w:rsidR="00246118" w:rsidRPr="004C162A" w:rsidRDefault="00246118" w:rsidP="005A5E7D">
      <w:pPr>
        <w:pStyle w:val="FootnoteText"/>
      </w:pPr>
      <w:r>
        <w:rPr>
          <w:rStyle w:val="FootnoteReference"/>
        </w:rPr>
        <w:footnoteRef/>
      </w:r>
      <w:r w:rsidRPr="004C162A">
        <w:t xml:space="preserve"> Las tasas efectivas se estimaron a base de los datos de contribuciones de corporaciones a nivel federal para el 2010</w:t>
      </w:r>
      <w:r>
        <w:t>, ya que es el año más reciente</w:t>
      </w:r>
      <w:r w:rsidRPr="004C162A">
        <w:t xml:space="preserve"> para </w:t>
      </w:r>
      <w:r>
        <w:t>el</w:t>
      </w:r>
      <w:r w:rsidRPr="004C162A">
        <w:t xml:space="preserve"> </w:t>
      </w:r>
      <w:r>
        <w:t>que</w:t>
      </w:r>
      <w:r w:rsidRPr="004C162A">
        <w:t xml:space="preserve"> </w:t>
      </w:r>
      <w:r>
        <w:t>está</w:t>
      </w:r>
      <w:r w:rsidRPr="004C162A">
        <w:t>n disponibles las tablas.</w:t>
      </w:r>
    </w:p>
  </w:footnote>
  <w:footnote w:id="39">
    <w:p w:rsidR="00246118" w:rsidRPr="0018250C" w:rsidRDefault="00246118" w:rsidP="005A5E7D">
      <w:pPr>
        <w:pStyle w:val="FootnoteText"/>
        <w:rPr>
          <w:sz w:val="16"/>
        </w:rPr>
      </w:pPr>
    </w:p>
    <w:p w:rsidR="00246118" w:rsidRPr="004C162A" w:rsidRDefault="00246118" w:rsidP="005A5E7D">
      <w:pPr>
        <w:pStyle w:val="FootnoteText"/>
      </w:pPr>
      <w:r>
        <w:rPr>
          <w:rStyle w:val="FootnoteReference"/>
        </w:rPr>
        <w:footnoteRef/>
      </w:r>
      <w:r>
        <w:t xml:space="preserve"> De acuerdo con</w:t>
      </w:r>
      <w:r w:rsidRPr="004C162A">
        <w:t xml:space="preserve"> los datos del IRS, las contribuciones corporativas pagadas por empres</w:t>
      </w:r>
      <w:r>
        <w:t>as radicadas en Puerto Rico al G</w:t>
      </w:r>
      <w:r w:rsidRPr="004C162A">
        <w:t xml:space="preserve">obierno federal en el 2011 ascendieron a $177 millones, </w:t>
      </w:r>
      <w:r>
        <w:t xml:space="preserve">una </w:t>
      </w:r>
      <w:r w:rsidRPr="004C162A">
        <w:t>cantidad sustancialmente menor a nuestro estimado de contribuciones federales por concepto de corpo</w:t>
      </w:r>
      <w:r>
        <w:t>raciones bajo a estadidad.</w:t>
      </w:r>
    </w:p>
  </w:footnote>
  <w:footnote w:id="40">
    <w:p w:rsidR="00246118" w:rsidRPr="00390DC5" w:rsidRDefault="00246118" w:rsidP="005A5E7D">
      <w:pPr>
        <w:pStyle w:val="CommentText"/>
        <w:ind w:firstLine="720"/>
        <w:jc w:val="both"/>
        <w:rPr>
          <w:rFonts w:ascii="Times New Roman" w:hAnsi="Times New Roman"/>
          <w:sz w:val="20"/>
          <w:szCs w:val="20"/>
        </w:rPr>
      </w:pPr>
      <w:r w:rsidRPr="006C2E2C">
        <w:rPr>
          <w:rStyle w:val="FootnoteReference"/>
        </w:rPr>
        <w:footnoteRef/>
      </w:r>
      <w:r w:rsidRPr="004C162A">
        <w:t xml:space="preserve"> </w:t>
      </w:r>
      <w:r w:rsidRPr="00390DC5">
        <w:rPr>
          <w:rFonts w:ascii="Times New Roman" w:hAnsi="Times New Roman"/>
          <w:sz w:val="20"/>
          <w:szCs w:val="20"/>
        </w:rPr>
        <w:t>No se descarta que estas empresas estén p</w:t>
      </w:r>
      <w:r>
        <w:rPr>
          <w:rFonts w:ascii="Times New Roman" w:hAnsi="Times New Roman"/>
          <w:sz w:val="20"/>
          <w:szCs w:val="20"/>
        </w:rPr>
        <w:t xml:space="preserve">agando algún impuesto federal. </w:t>
      </w:r>
      <w:r w:rsidRPr="00390DC5">
        <w:rPr>
          <w:rFonts w:ascii="Times New Roman" w:hAnsi="Times New Roman"/>
          <w:sz w:val="20"/>
          <w:szCs w:val="20"/>
        </w:rPr>
        <w:t>De ser así, debido a que la cantidad de impuestos corporat</w:t>
      </w:r>
      <w:r>
        <w:rPr>
          <w:rFonts w:ascii="Times New Roman" w:hAnsi="Times New Roman"/>
          <w:sz w:val="20"/>
          <w:szCs w:val="20"/>
        </w:rPr>
        <w:t>ivos pagados en Puerto Rico al G</w:t>
      </w:r>
      <w:r w:rsidRPr="00390DC5">
        <w:rPr>
          <w:rFonts w:ascii="Times New Roman" w:hAnsi="Times New Roman"/>
          <w:sz w:val="20"/>
          <w:szCs w:val="20"/>
        </w:rPr>
        <w:t>obierno federal ($177 millones) es tan baja, p</w:t>
      </w:r>
      <w:r>
        <w:rPr>
          <w:rFonts w:ascii="Times New Roman" w:hAnsi="Times New Roman"/>
          <w:sz w:val="20"/>
          <w:szCs w:val="20"/>
        </w:rPr>
        <w:t>odrí</w:t>
      </w:r>
      <w:r w:rsidRPr="00390DC5">
        <w:rPr>
          <w:rFonts w:ascii="Times New Roman" w:hAnsi="Times New Roman"/>
          <w:sz w:val="20"/>
          <w:szCs w:val="20"/>
        </w:rPr>
        <w:t>a significar que las compañías matrices pagan impuestos por el ingreso de sus operaciones en Puerto Rica vía otros estados.</w:t>
      </w:r>
    </w:p>
    <w:p w:rsidR="00246118" w:rsidRPr="00390DC5" w:rsidRDefault="00246118" w:rsidP="005A5E7D">
      <w:pPr>
        <w:pStyle w:val="FootnoteText"/>
      </w:pPr>
    </w:p>
  </w:footnote>
  <w:footnote w:id="41">
    <w:p w:rsidR="00246118" w:rsidRPr="00B07B24" w:rsidRDefault="00246118">
      <w:pPr>
        <w:pStyle w:val="FootnoteText"/>
      </w:pPr>
      <w:r>
        <w:rPr>
          <w:rStyle w:val="FootnoteReference"/>
        </w:rPr>
        <w:footnoteRef/>
      </w:r>
      <w:r w:rsidRPr="00B07B24">
        <w:t xml:space="preserve"> </w:t>
      </w:r>
      <w:r>
        <w:t>La sensitividad del empleo en las empresas foráneas a cambios en el régimen tributario se evidenció luego de la eliminación en el 2006 de la Sección 936 del Código de Rentas Internas Federal, la cual provocó una disminución significativa del empleo manufacturero en Puerto Rico.</w:t>
      </w:r>
    </w:p>
  </w:footnote>
  <w:footnote w:id="42">
    <w:p w:rsidR="00246118" w:rsidRPr="004C162A" w:rsidRDefault="00246118" w:rsidP="005A5E7D">
      <w:pPr>
        <w:pStyle w:val="FootnoteText"/>
      </w:pPr>
      <w:r>
        <w:rPr>
          <w:rStyle w:val="FootnoteReference"/>
        </w:rPr>
        <w:footnoteRef/>
      </w:r>
      <w:r w:rsidRPr="004C162A">
        <w:t xml:space="preserve"> La Corporación del Fondo de Interés Apr</w:t>
      </w:r>
      <w:r>
        <w:t>emiante de Puerto Rico (COFINA)</w:t>
      </w:r>
      <w:r w:rsidRPr="004C162A">
        <w:t xml:space="preserve"> recibe el 2.75% del Impuesto sobre ventas y uso (IVU) que corresponde al gobierno central y lo utiliza para pagar o financiar, total o parcialmente, o para aportar fondos a ciertas obligaciones de deuda del E.L.A., la deuda del Secretario de Hacienda con el</w:t>
      </w:r>
      <w:r>
        <w:t xml:space="preserve"> Banco Gubernamental de Fomento</w:t>
      </w:r>
      <w:r w:rsidRPr="004C162A">
        <w:t xml:space="preserve"> y otras. </w:t>
      </w:r>
    </w:p>
  </w:footnote>
  <w:footnote w:id="43">
    <w:p w:rsidR="00246118" w:rsidRPr="00F854C8" w:rsidRDefault="00246118" w:rsidP="005A5E7D">
      <w:pPr>
        <w:pStyle w:val="FootnoteText"/>
        <w:rPr>
          <w:lang w:val="es-ES"/>
        </w:rPr>
      </w:pPr>
      <w:r>
        <w:rPr>
          <w:rStyle w:val="FootnoteReference"/>
        </w:rPr>
        <w:footnoteRef/>
      </w:r>
      <w:r w:rsidRPr="00F854C8">
        <w:rPr>
          <w:lang w:val="es-ES"/>
        </w:rPr>
        <w:t xml:space="preserve"> </w:t>
      </w:r>
      <w:r>
        <w:rPr>
          <w:lang w:val="es-ES"/>
        </w:rPr>
        <w:t xml:space="preserve">El </w:t>
      </w:r>
      <w:r w:rsidRPr="00F854C8">
        <w:rPr>
          <w:rFonts w:eastAsia="+mn-ea"/>
          <w:i/>
          <w:color w:val="000000"/>
          <w:szCs w:val="24"/>
          <w:lang w:val="es-ES"/>
        </w:rPr>
        <w:t xml:space="preserve">Consolidated Federal Funds Report for Fiscal Year </w:t>
      </w:r>
      <w:r w:rsidRPr="00F854C8">
        <w:rPr>
          <w:rFonts w:eastAsia="+mn-ea"/>
          <w:color w:val="000000"/>
          <w:szCs w:val="24"/>
          <w:lang w:val="es-ES"/>
        </w:rPr>
        <w:t xml:space="preserve">2010 es el último </w:t>
      </w:r>
      <w:r>
        <w:rPr>
          <w:rFonts w:eastAsia="+mn-ea"/>
          <w:color w:val="000000"/>
          <w:szCs w:val="24"/>
          <w:lang w:val="es-ES"/>
        </w:rPr>
        <w:t xml:space="preserve">informe </w:t>
      </w:r>
      <w:r w:rsidRPr="00F854C8">
        <w:rPr>
          <w:rFonts w:eastAsia="+mn-ea"/>
          <w:color w:val="000000"/>
          <w:szCs w:val="24"/>
          <w:lang w:val="es-ES"/>
        </w:rPr>
        <w:t>publicado</w:t>
      </w:r>
      <w:r>
        <w:rPr>
          <w:rFonts w:eastAsia="+mn-ea"/>
          <w:color w:val="000000"/>
          <w:szCs w:val="24"/>
          <w:lang w:val="es-ES"/>
        </w:rPr>
        <w:t xml:space="preserve"> que presenta la relación entre ingresos y gastos públicos, desglosados por estado.</w:t>
      </w:r>
    </w:p>
  </w:footnote>
  <w:footnote w:id="44">
    <w:p w:rsidR="00246118" w:rsidRPr="0018250C" w:rsidRDefault="00246118" w:rsidP="005A5E7D">
      <w:pPr>
        <w:pStyle w:val="FootnoteText"/>
        <w:rPr>
          <w:sz w:val="16"/>
        </w:rPr>
      </w:pPr>
    </w:p>
    <w:p w:rsidR="00246118" w:rsidRPr="004C162A" w:rsidRDefault="00246118" w:rsidP="005A5E7D">
      <w:pPr>
        <w:pStyle w:val="FootnoteText"/>
      </w:pPr>
      <w:r>
        <w:rPr>
          <w:rStyle w:val="FootnoteReference"/>
        </w:rPr>
        <w:footnoteRef/>
      </w:r>
      <w:r w:rsidRPr="004C162A">
        <w:t xml:space="preserve"> El análisis asume que los ingresos de fuentes locales no contributivas se mantienen constantes y que bajo la estadidad se eliminarían los ingresos por concepto de devolución de los arbitrios del ron, que aparecen en la </w:t>
      </w:r>
      <w:r w:rsidRPr="004C162A">
        <w:rPr>
          <w:i/>
        </w:rPr>
        <w:t xml:space="preserve">Tabla 27 del Apéndice Estadístico del Informe Económico al Gobernado </w:t>
      </w:r>
      <w:r>
        <w:t>como arbitrios sobre embarque</w:t>
      </w:r>
      <w:r w:rsidRPr="004C162A">
        <w:t>.</w:t>
      </w:r>
    </w:p>
  </w:footnote>
  <w:footnote w:id="45">
    <w:p w:rsidR="00246118" w:rsidRPr="00F56923" w:rsidRDefault="00246118" w:rsidP="005A5E7D">
      <w:pPr>
        <w:pStyle w:val="FootnoteText"/>
        <w:rPr>
          <w:lang w:val="es-ES"/>
        </w:rPr>
      </w:pPr>
      <w:r>
        <w:rPr>
          <w:rStyle w:val="FootnoteReference"/>
        </w:rPr>
        <w:footnoteRef/>
      </w:r>
      <w:r w:rsidRPr="004C162A">
        <w:t xml:space="preserve"> </w:t>
      </w:r>
      <w:r w:rsidRPr="004C162A">
        <w:rPr>
          <w:rFonts w:eastAsia="+mn-ea"/>
          <w:color w:val="000000"/>
          <w:szCs w:val="24"/>
        </w:rPr>
        <w:t>Si se suma la deuda pública de los gobiernos estatales y municipales, en promedio, los estados reflejan una razón de deuda a PIB de</w:t>
      </w:r>
      <w:r>
        <w:rPr>
          <w:rFonts w:eastAsia="+mn-ea"/>
          <w:color w:val="000000"/>
          <w:szCs w:val="24"/>
        </w:rPr>
        <w:t>l</w:t>
      </w:r>
      <w:r w:rsidRPr="004C162A">
        <w:rPr>
          <w:rFonts w:eastAsia="+mn-ea"/>
          <w:color w:val="000000"/>
          <w:szCs w:val="24"/>
        </w:rPr>
        <w:t xml:space="preserve"> 17.6%</w:t>
      </w:r>
      <w:r>
        <w:rPr>
          <w:rFonts w:eastAsia="+mn-ea"/>
          <w:color w:val="000000"/>
          <w:szCs w:val="24"/>
        </w:rPr>
        <w:t>,</w:t>
      </w:r>
      <w:r w:rsidRPr="004C162A">
        <w:rPr>
          <w:rFonts w:eastAsia="+mn-ea"/>
          <w:color w:val="000000"/>
          <w:szCs w:val="24"/>
        </w:rPr>
        <w:t xml:space="preserve"> </w:t>
      </w:r>
      <w:r>
        <w:rPr>
          <w:rFonts w:eastAsia="+mn-ea"/>
          <w:color w:val="000000"/>
          <w:szCs w:val="24"/>
        </w:rPr>
        <w:t>en comparación con</w:t>
      </w:r>
      <w:r w:rsidRPr="004C162A">
        <w:rPr>
          <w:rFonts w:eastAsia="+mn-ea"/>
          <w:color w:val="000000"/>
          <w:szCs w:val="24"/>
        </w:rPr>
        <w:t xml:space="preserve"> un 58.8% para Puerto Rico.</w:t>
      </w:r>
    </w:p>
  </w:footnote>
  <w:footnote w:id="46">
    <w:p w:rsidR="00246118" w:rsidRPr="00EA1AF3" w:rsidRDefault="00246118" w:rsidP="005A5E7D">
      <w:pPr>
        <w:pStyle w:val="FootnoteText"/>
      </w:pPr>
      <w:r w:rsidRPr="00EA1AF3">
        <w:rPr>
          <w:rStyle w:val="FootnoteReference"/>
        </w:rPr>
        <w:footnoteRef/>
      </w:r>
      <w:r w:rsidRPr="00EA1AF3">
        <w:t xml:space="preserve"> </w:t>
      </w:r>
      <w:r w:rsidRPr="00EA1AF3">
        <w:rPr>
          <w:color w:val="000000"/>
          <w:shd w:val="clear" w:color="auto" w:fill="FFFFFF"/>
        </w:rPr>
        <w:t>En Puerto Rico, las</w:t>
      </w:r>
      <w:r w:rsidRPr="00EA1AF3">
        <w:rPr>
          <w:rStyle w:val="apple-converted-space"/>
          <w:color w:val="000000"/>
          <w:shd w:val="clear" w:color="auto" w:fill="FFFFFF"/>
        </w:rPr>
        <w:t> </w:t>
      </w:r>
      <w:r>
        <w:rPr>
          <w:bCs/>
          <w:color w:val="000000"/>
          <w:shd w:val="clear" w:color="auto" w:fill="FFFFFF"/>
        </w:rPr>
        <w:t>corporaciones p</w:t>
      </w:r>
      <w:r w:rsidRPr="00C42D75">
        <w:rPr>
          <w:bCs/>
          <w:color w:val="000000"/>
          <w:shd w:val="clear" w:color="auto" w:fill="FFFFFF"/>
        </w:rPr>
        <w:t>úblicas</w:t>
      </w:r>
      <w:r w:rsidRPr="00C42D75">
        <w:rPr>
          <w:rStyle w:val="apple-converted-space"/>
          <w:color w:val="000000"/>
          <w:shd w:val="clear" w:color="auto" w:fill="FFFFFF"/>
        </w:rPr>
        <w:t> </w:t>
      </w:r>
      <w:r w:rsidRPr="00EA1AF3">
        <w:rPr>
          <w:color w:val="000000"/>
          <w:shd w:val="clear" w:color="auto" w:fill="FFFFFF"/>
        </w:rPr>
        <w:t>son entidades jurídicas independientes creadas para proporcionar un bien o servicio público, tal</w:t>
      </w:r>
      <w:r>
        <w:rPr>
          <w:color w:val="000000"/>
          <w:shd w:val="clear" w:color="auto" w:fill="FFFFFF"/>
        </w:rPr>
        <w:t>es</w:t>
      </w:r>
      <w:r w:rsidRPr="00EA1AF3">
        <w:rPr>
          <w:color w:val="000000"/>
          <w:shd w:val="clear" w:color="auto" w:fill="FFFFFF"/>
        </w:rPr>
        <w:t xml:space="preserve"> como electricidad, agua potable, financiamiento</w:t>
      </w:r>
      <w:r>
        <w:rPr>
          <w:color w:val="000000"/>
          <w:shd w:val="clear" w:color="auto" w:fill="FFFFFF"/>
        </w:rPr>
        <w:t xml:space="preserve"> público, educación, transporte</w:t>
      </w:r>
      <w:r w:rsidRPr="00EA1AF3">
        <w:rPr>
          <w:color w:val="000000"/>
          <w:shd w:val="clear" w:color="auto" w:fill="FFFFFF"/>
        </w:rPr>
        <w:t xml:space="preserve"> o bienes raíces de bienes públicos. Tales corporaciones pueden ser propiedad del Gobierno del Estado Libre Asociado de Puerto Rico o uno de sus 78 municipios.</w:t>
      </w:r>
    </w:p>
  </w:footnote>
  <w:footnote w:id="47">
    <w:p w:rsidR="00246118" w:rsidRPr="00B92BBE" w:rsidRDefault="00246118" w:rsidP="005A5E7D">
      <w:pPr>
        <w:pStyle w:val="FootnoteText"/>
      </w:pPr>
      <w:r>
        <w:rPr>
          <w:rStyle w:val="FootnoteReference"/>
        </w:rPr>
        <w:footnoteRef/>
      </w:r>
      <w:r w:rsidRPr="00B92BBE">
        <w:t xml:space="preserve"> </w:t>
      </w:r>
      <w:r>
        <w:t>Para propósitos de este estudio, el resto del mundo se refiere a todos los países excluyendo a Puerto Rico y Estados Unidos.</w:t>
      </w:r>
    </w:p>
  </w:footnote>
  <w:footnote w:id="48">
    <w:p w:rsidR="00246118" w:rsidRPr="00B92BBE" w:rsidRDefault="00246118" w:rsidP="005A5E7D">
      <w:pPr>
        <w:pStyle w:val="FootnoteText"/>
      </w:pPr>
      <w:r>
        <w:rPr>
          <w:rStyle w:val="FootnoteReference"/>
        </w:rPr>
        <w:footnoteRef/>
      </w:r>
      <w:r w:rsidRPr="00B92BBE">
        <w:t xml:space="preserve"> </w:t>
      </w:r>
      <w:r>
        <w:rPr>
          <w:noProof/>
        </w:rPr>
        <w:t>Las exportaciones por industria se miden según el NAICS (</w:t>
      </w:r>
      <w:r w:rsidRPr="00F87640">
        <w:rPr>
          <w:i/>
          <w:noProof/>
        </w:rPr>
        <w:t>North American Industry Classification Index</w:t>
      </w:r>
      <w:r>
        <w:rPr>
          <w:noProof/>
        </w:rPr>
        <w:t>) a tres dígitos.</w:t>
      </w:r>
    </w:p>
  </w:footnote>
  <w:footnote w:id="49">
    <w:p w:rsidR="00246118" w:rsidRPr="00554472" w:rsidRDefault="00246118" w:rsidP="005A5E7D">
      <w:pPr>
        <w:pStyle w:val="FootnoteText"/>
      </w:pPr>
      <w:r>
        <w:rPr>
          <w:rStyle w:val="FootnoteReference"/>
        </w:rPr>
        <w:footnoteRef/>
      </w:r>
      <w:r w:rsidRPr="00554472">
        <w:t xml:space="preserve"> </w:t>
      </w:r>
      <w:r>
        <w:t xml:space="preserve">ITA clasifica como pequeñas y medianas empresas a aquellas con 500 empleados o menos. </w:t>
      </w:r>
      <w:r>
        <w:rPr>
          <w:lang w:val="es-ES"/>
        </w:rPr>
        <w:t>Dicha definición es mucho más amplia que la que utiliza la Compañía de Comercio y Exportación (CCE), quien define a las pymes de Puerto Rico como aquellas empresas con 20 empleados o menos.</w:t>
      </w:r>
    </w:p>
  </w:footnote>
  <w:footnote w:id="50">
    <w:p w:rsidR="00246118" w:rsidRDefault="00246118" w:rsidP="005A5E7D">
      <w:pPr>
        <w:pStyle w:val="FootnoteText"/>
      </w:pPr>
      <w:r>
        <w:rPr>
          <w:rStyle w:val="FootnoteReference"/>
        </w:rPr>
        <w:footnoteRef/>
      </w:r>
      <w:r w:rsidRPr="00D622A8">
        <w:t xml:space="preserve"> </w:t>
      </w:r>
      <w:r>
        <w:t>La diferencia entre las exportaciones al resto del mundo y las exportaciones totales corresponden a las exportaciones de Puerto Rico a Estados Unidos.</w:t>
      </w:r>
    </w:p>
    <w:p w:rsidR="00246118" w:rsidRPr="00A21A41" w:rsidRDefault="00246118" w:rsidP="005A5E7D">
      <w:pPr>
        <w:pStyle w:val="FootnoteText"/>
        <w:rPr>
          <w:sz w:val="16"/>
        </w:rPr>
      </w:pPr>
    </w:p>
  </w:footnote>
  <w:footnote w:id="51">
    <w:p w:rsidR="00246118" w:rsidRPr="000B066D" w:rsidRDefault="00246118" w:rsidP="005A5E7D">
      <w:pPr>
        <w:pStyle w:val="FootnoteText"/>
      </w:pPr>
      <w:r>
        <w:rPr>
          <w:rStyle w:val="FootnoteReference"/>
        </w:rPr>
        <w:footnoteRef/>
      </w:r>
      <w:r w:rsidRPr="000B066D">
        <w:t xml:space="preserve"> Se excluye </w:t>
      </w:r>
      <w:r>
        <w:t xml:space="preserve">a </w:t>
      </w:r>
      <w:r w:rsidRPr="000B066D">
        <w:t xml:space="preserve">Omán de la </w:t>
      </w:r>
      <w:r w:rsidRPr="00F865FE">
        <w:rPr>
          <w:b/>
        </w:rPr>
        <w:t>Gráfica 1</w:t>
      </w:r>
      <w:r>
        <w:t>, ya que este país tiene un aumento desproporcional (2,240%) que distorsiona la gráfica. Se debe a que el valor de las exportaciones en el 2003 era solo $3,978.</w:t>
      </w:r>
    </w:p>
  </w:footnote>
  <w:footnote w:id="52">
    <w:p w:rsidR="00246118" w:rsidRPr="00D041D0" w:rsidRDefault="00246118" w:rsidP="005A5E7D">
      <w:pPr>
        <w:spacing w:line="240" w:lineRule="auto"/>
        <w:rPr>
          <w:rFonts w:ascii="Calibri" w:hAnsi="Calibri"/>
          <w:sz w:val="20"/>
          <w:szCs w:val="20"/>
          <w:lang w:val="es-AR"/>
        </w:rPr>
      </w:pPr>
      <w:r>
        <w:rPr>
          <w:rStyle w:val="FootnoteReference"/>
        </w:rPr>
        <w:footnoteRef/>
      </w:r>
      <w:r w:rsidRPr="009509E4">
        <w:rPr>
          <w:lang w:val="es-AR"/>
        </w:rPr>
        <w:t xml:space="preserve"> </w:t>
      </w:r>
      <w:r w:rsidRPr="00D041D0">
        <w:rPr>
          <w:rFonts w:ascii="Calibri" w:hAnsi="Calibri"/>
          <w:color w:val="000000"/>
          <w:sz w:val="20"/>
          <w:szCs w:val="20"/>
          <w:shd w:val="clear" w:color="auto" w:fill="FFFFFF"/>
          <w:lang w:val="es-AR"/>
        </w:rPr>
        <w:t>Feliciano, Jos</w:t>
      </w:r>
      <w:r>
        <w:rPr>
          <w:rFonts w:ascii="Calibri" w:hAnsi="Calibri"/>
          <w:color w:val="000000"/>
          <w:sz w:val="20"/>
          <w:szCs w:val="20"/>
          <w:shd w:val="clear" w:color="auto" w:fill="FFFFFF"/>
          <w:lang w:val="es-AR"/>
        </w:rPr>
        <w:t>ean. "Puerto Rico y el DR-CAFTA</w:t>
      </w:r>
      <w:r w:rsidRPr="00D041D0">
        <w:rPr>
          <w:rFonts w:ascii="Calibri" w:hAnsi="Calibri"/>
          <w:color w:val="000000"/>
          <w:sz w:val="20"/>
          <w:szCs w:val="20"/>
          <w:shd w:val="clear" w:color="auto" w:fill="FFFFFF"/>
          <w:lang w:val="es-AR"/>
        </w:rPr>
        <w:t>"</w:t>
      </w:r>
      <w:r>
        <w:rPr>
          <w:rFonts w:ascii="Calibri" w:hAnsi="Calibri"/>
          <w:color w:val="000000"/>
          <w:sz w:val="20"/>
          <w:szCs w:val="20"/>
          <w:shd w:val="clear" w:color="auto" w:fill="FFFFFF"/>
          <w:lang w:val="es-AR"/>
        </w:rPr>
        <w:t>,</w:t>
      </w:r>
      <w:r w:rsidRPr="00D041D0">
        <w:rPr>
          <w:rStyle w:val="apple-converted-space"/>
          <w:rFonts w:ascii="Calibri" w:hAnsi="Calibri"/>
          <w:color w:val="000000"/>
          <w:sz w:val="20"/>
          <w:szCs w:val="20"/>
          <w:shd w:val="clear" w:color="auto" w:fill="FFFFFF"/>
          <w:lang w:val="es-AR"/>
        </w:rPr>
        <w:t> </w:t>
      </w:r>
      <w:r>
        <w:rPr>
          <w:rFonts w:ascii="Calibri" w:hAnsi="Calibri"/>
          <w:i/>
          <w:iCs/>
          <w:color w:val="000000"/>
          <w:sz w:val="20"/>
          <w:szCs w:val="20"/>
          <w:shd w:val="clear" w:color="auto" w:fill="FFFFFF"/>
          <w:lang w:val="es-AR"/>
        </w:rPr>
        <w:t>EL Nuevo Dí</w:t>
      </w:r>
      <w:r w:rsidRPr="00D041D0">
        <w:rPr>
          <w:rFonts w:ascii="Calibri" w:hAnsi="Calibri"/>
          <w:i/>
          <w:iCs/>
          <w:color w:val="000000"/>
          <w:sz w:val="20"/>
          <w:szCs w:val="20"/>
          <w:shd w:val="clear" w:color="auto" w:fill="FFFFFF"/>
          <w:lang w:val="es-AR"/>
        </w:rPr>
        <w:t>a</w:t>
      </w:r>
      <w:r w:rsidRPr="00D041D0">
        <w:rPr>
          <w:rFonts w:ascii="Calibri" w:hAnsi="Calibri"/>
          <w:iCs/>
          <w:color w:val="000000"/>
          <w:sz w:val="20"/>
          <w:szCs w:val="20"/>
          <w:shd w:val="clear" w:color="auto" w:fill="FFFFFF"/>
          <w:lang w:val="es-AR"/>
        </w:rPr>
        <w:t>,</w:t>
      </w:r>
      <w:r w:rsidRPr="00D041D0">
        <w:rPr>
          <w:rStyle w:val="apple-converted-space"/>
          <w:rFonts w:ascii="Calibri" w:hAnsi="Calibri"/>
          <w:color w:val="000000"/>
          <w:sz w:val="20"/>
          <w:szCs w:val="20"/>
          <w:shd w:val="clear" w:color="auto" w:fill="FFFFFF"/>
          <w:lang w:val="es-AR"/>
        </w:rPr>
        <w:t> </w:t>
      </w:r>
      <w:r w:rsidRPr="00D041D0">
        <w:rPr>
          <w:rFonts w:ascii="Calibri" w:hAnsi="Calibri"/>
          <w:color w:val="000000"/>
          <w:sz w:val="20"/>
          <w:szCs w:val="20"/>
          <w:shd w:val="clear" w:color="auto" w:fill="FFFFFF"/>
          <w:lang w:val="es-AR"/>
        </w:rPr>
        <w:t>Negocios</w:t>
      </w:r>
      <w:r>
        <w:rPr>
          <w:rFonts w:ascii="Calibri" w:hAnsi="Calibri"/>
          <w:color w:val="000000"/>
          <w:sz w:val="20"/>
          <w:szCs w:val="20"/>
          <w:shd w:val="clear" w:color="auto" w:fill="FFFFFF"/>
          <w:lang w:val="es-AR"/>
        </w:rPr>
        <w:t xml:space="preserve">, </w:t>
      </w:r>
      <w:r w:rsidRPr="00D041D0">
        <w:rPr>
          <w:rFonts w:ascii="Calibri" w:hAnsi="Calibri"/>
          <w:color w:val="000000"/>
          <w:sz w:val="20"/>
          <w:szCs w:val="20"/>
          <w:shd w:val="clear" w:color="auto" w:fill="FFFFFF"/>
          <w:lang w:val="es-AR"/>
        </w:rPr>
        <w:t xml:space="preserve">23 </w:t>
      </w:r>
      <w:r>
        <w:rPr>
          <w:rFonts w:ascii="Calibri" w:hAnsi="Calibri"/>
          <w:color w:val="000000"/>
          <w:sz w:val="20"/>
          <w:szCs w:val="20"/>
          <w:shd w:val="clear" w:color="auto" w:fill="FFFFFF"/>
          <w:lang w:val="es-AR"/>
        </w:rPr>
        <w:t>de enero de</w:t>
      </w:r>
      <w:r w:rsidRPr="00D041D0">
        <w:rPr>
          <w:rFonts w:ascii="Calibri" w:hAnsi="Calibri"/>
          <w:color w:val="000000"/>
          <w:sz w:val="20"/>
          <w:szCs w:val="20"/>
          <w:shd w:val="clear" w:color="auto" w:fill="FFFFFF"/>
          <w:lang w:val="es-AR"/>
        </w:rPr>
        <w:t xml:space="preserve"> 2012, </w:t>
      </w:r>
      <w:r w:rsidRPr="00D041D0">
        <w:rPr>
          <w:rFonts w:ascii="Calibri" w:hAnsi="Calibri"/>
          <w:color w:val="000000"/>
          <w:sz w:val="20"/>
          <w:szCs w:val="20"/>
          <w:shd w:val="clear" w:color="auto" w:fill="FFFFFF"/>
        </w:rPr>
        <w:t>http://www.elnuevodia.com/pu</w:t>
      </w:r>
      <w:r>
        <w:rPr>
          <w:rFonts w:ascii="Calibri" w:hAnsi="Calibri"/>
          <w:color w:val="000000"/>
          <w:sz w:val="20"/>
          <w:szCs w:val="20"/>
          <w:shd w:val="clear" w:color="auto" w:fill="FFFFFF"/>
        </w:rPr>
        <w:t>ertoricoyeldrcafta-1171975.html</w:t>
      </w:r>
      <w:r w:rsidRPr="00D041D0">
        <w:rPr>
          <w:rFonts w:ascii="Calibri" w:hAnsi="Calibri"/>
          <w:color w:val="000000"/>
          <w:sz w:val="20"/>
          <w:szCs w:val="20"/>
          <w:shd w:val="clear" w:color="auto" w:fill="FFFFFF"/>
        </w:rPr>
        <w:t>.</w:t>
      </w:r>
    </w:p>
    <w:p w:rsidR="00246118" w:rsidRPr="00D041D0" w:rsidRDefault="00246118" w:rsidP="005A5E7D">
      <w:pPr>
        <w:pStyle w:val="FootnoteText"/>
      </w:pPr>
    </w:p>
  </w:footnote>
  <w:footnote w:id="53">
    <w:p w:rsidR="00246118" w:rsidRDefault="00246118" w:rsidP="005A5E7D">
      <w:pPr>
        <w:spacing w:line="240" w:lineRule="auto"/>
        <w:rPr>
          <w:color w:val="000000"/>
          <w:sz w:val="20"/>
          <w:szCs w:val="20"/>
          <w:shd w:val="clear" w:color="auto" w:fill="FFFFFF"/>
          <w:lang w:val="es-AR"/>
        </w:rPr>
      </w:pPr>
      <w:r>
        <w:rPr>
          <w:rStyle w:val="FootnoteReference"/>
        </w:rPr>
        <w:footnoteRef/>
      </w:r>
      <w:r w:rsidRPr="00210E76">
        <w:rPr>
          <w:lang w:val="es-AR"/>
        </w:rPr>
        <w:t xml:space="preserve"> </w:t>
      </w:r>
      <w:r w:rsidRPr="00210E76">
        <w:rPr>
          <w:color w:val="000000"/>
          <w:sz w:val="20"/>
          <w:szCs w:val="20"/>
          <w:shd w:val="clear" w:color="auto" w:fill="FFFFFF"/>
          <w:lang w:val="es-AR"/>
        </w:rPr>
        <w:t xml:space="preserve">"Exportaciones de bienes de Puerto Rico </w:t>
      </w:r>
      <w:r>
        <w:rPr>
          <w:color w:val="000000"/>
          <w:sz w:val="20"/>
          <w:szCs w:val="20"/>
          <w:shd w:val="clear" w:color="auto" w:fill="FFFFFF"/>
          <w:lang w:val="es-AR"/>
        </w:rPr>
        <w:t>por industria (NAICS) (dólares)</w:t>
      </w:r>
      <w:r w:rsidRPr="00210E76">
        <w:rPr>
          <w:color w:val="000000"/>
          <w:sz w:val="20"/>
          <w:szCs w:val="20"/>
          <w:shd w:val="clear" w:color="auto" w:fill="FFFFFF"/>
          <w:lang w:val="es-AR"/>
        </w:rPr>
        <w:t>"</w:t>
      </w:r>
      <w:r>
        <w:rPr>
          <w:rStyle w:val="apple-converted-space"/>
          <w:color w:val="000000"/>
          <w:sz w:val="20"/>
          <w:szCs w:val="20"/>
          <w:shd w:val="clear" w:color="auto" w:fill="FFFFFF"/>
          <w:lang w:val="es-AR"/>
        </w:rPr>
        <w:t xml:space="preserve">, </w:t>
      </w:r>
      <w:r>
        <w:rPr>
          <w:color w:val="000000"/>
          <w:sz w:val="20"/>
          <w:szCs w:val="20"/>
          <w:shd w:val="clear" w:color="auto" w:fill="FFFFFF"/>
          <w:lang w:val="es-AR"/>
        </w:rPr>
        <w:t>Instituto de Estadísticas de Puerto Rico</w:t>
      </w:r>
      <w:r w:rsidRPr="00210E76">
        <w:rPr>
          <w:color w:val="000000"/>
          <w:sz w:val="20"/>
          <w:szCs w:val="20"/>
          <w:shd w:val="clear" w:color="auto" w:fill="FFFFFF"/>
          <w:lang w:val="es-AR"/>
        </w:rPr>
        <w:t xml:space="preserve"> </w:t>
      </w:r>
      <w:r>
        <w:rPr>
          <w:color w:val="000000"/>
          <w:sz w:val="20"/>
          <w:szCs w:val="20"/>
          <w:shd w:val="clear" w:color="auto" w:fill="FFFFFF"/>
          <w:lang w:val="es-AR"/>
        </w:rPr>
        <w:t>(</w:t>
      </w:r>
      <w:r w:rsidRPr="00210E76">
        <w:rPr>
          <w:color w:val="000000"/>
          <w:sz w:val="20"/>
          <w:szCs w:val="20"/>
          <w:shd w:val="clear" w:color="auto" w:fill="FFFFFF"/>
          <w:lang w:val="es-AR"/>
        </w:rPr>
        <w:t>Web. 26 Jan 2014</w:t>
      </w:r>
      <w:r>
        <w:rPr>
          <w:color w:val="000000"/>
          <w:sz w:val="20"/>
          <w:szCs w:val="20"/>
          <w:shd w:val="clear" w:color="auto" w:fill="FFFFFF"/>
          <w:lang w:val="es-AR"/>
        </w:rPr>
        <w:t>)</w:t>
      </w:r>
      <w:r w:rsidRPr="00210E76">
        <w:rPr>
          <w:color w:val="000000"/>
          <w:sz w:val="20"/>
          <w:szCs w:val="20"/>
          <w:shd w:val="clear" w:color="auto" w:fill="FFFFFF"/>
          <w:lang w:val="es-AR"/>
        </w:rPr>
        <w:t xml:space="preserve">. </w:t>
      </w:r>
    </w:p>
    <w:p w:rsidR="00246118" w:rsidRPr="00210E76" w:rsidRDefault="00246118" w:rsidP="005A5E7D">
      <w:pPr>
        <w:spacing w:line="240" w:lineRule="auto"/>
        <w:rPr>
          <w:lang w:val="es-AR"/>
        </w:rPr>
      </w:pPr>
      <w:r w:rsidRPr="00210E76">
        <w:rPr>
          <w:color w:val="000000"/>
          <w:sz w:val="20"/>
          <w:szCs w:val="20"/>
          <w:shd w:val="clear" w:color="auto" w:fill="FFFFFF"/>
          <w:lang w:val="es-AR"/>
        </w:rPr>
        <w:t>http://www.estadisticas.gobierno.pr/iepr/Publicaciones/Proyectosespeciales/ComercioExterno/Resumen.asp&amp;xgt;.</w:t>
      </w:r>
    </w:p>
    <w:p w:rsidR="00246118" w:rsidRPr="00210E76" w:rsidRDefault="00246118" w:rsidP="005A5E7D">
      <w:pPr>
        <w:pStyle w:val="FootnoteText"/>
        <w:rPr>
          <w:lang w:val="es-AR"/>
        </w:rPr>
      </w:pPr>
    </w:p>
  </w:footnote>
  <w:footnote w:id="54">
    <w:p w:rsidR="00246118" w:rsidRPr="000A0BB6" w:rsidRDefault="00246118" w:rsidP="005A5E7D">
      <w:pPr>
        <w:pStyle w:val="FootnoteText"/>
      </w:pPr>
      <w:r>
        <w:rPr>
          <w:rStyle w:val="FootnoteReference"/>
        </w:rPr>
        <w:footnoteRef/>
      </w:r>
      <w:r w:rsidRPr="001C01FB">
        <w:t xml:space="preserve"> </w:t>
      </w:r>
      <w:r w:rsidRPr="00A21A41">
        <w:rPr>
          <w:lang w:val="es-AR"/>
        </w:rPr>
        <w:t xml:space="preserve">Esto </w:t>
      </w:r>
      <w:r>
        <w:rPr>
          <w:lang w:val="es-AR"/>
        </w:rPr>
        <w:t xml:space="preserve">es así, </w:t>
      </w:r>
      <w:r w:rsidRPr="00A21A41">
        <w:rPr>
          <w:lang w:val="es-AR"/>
        </w:rPr>
        <w:t>a pesar de incluir un grupo similar de países</w:t>
      </w:r>
      <w:r>
        <w:t xml:space="preserve">. </w:t>
      </w:r>
      <w:r w:rsidRPr="00A21A41">
        <w:t>CBERA se refiere a los países dentro de la Iniciativa de la Cuenca del Caribe que actualmente incluye a</w:t>
      </w:r>
      <w:r w:rsidRPr="00A21A41">
        <w:rPr>
          <w:color w:val="333333"/>
        </w:rPr>
        <w:t xml:space="preserve"> Antigua y Barbuda, Aruba, Bahamas, Barbados, Belice, Dominica, Granada, Guyana,  Haití, Jamaica, Monserrate, Antillas Holandesa</w:t>
      </w:r>
      <w:r>
        <w:rPr>
          <w:color w:val="333333"/>
        </w:rPr>
        <w:t>s, San Kitts y Nevis, Santa Lucí</w:t>
      </w:r>
      <w:r w:rsidRPr="00A21A41">
        <w:rPr>
          <w:color w:val="333333"/>
        </w:rPr>
        <w:t>a, San Vicente y las Granadinas, Trinidad y Tobago</w:t>
      </w:r>
      <w:r>
        <w:rPr>
          <w:color w:val="333333"/>
        </w:rPr>
        <w:t xml:space="preserve"> e Islas Vírgenes Británicas. </w:t>
      </w:r>
      <w:r w:rsidRPr="00A21A41">
        <w:rPr>
          <w:color w:val="333333"/>
        </w:rPr>
        <w:t>CARICOM</w:t>
      </w:r>
      <w:r>
        <w:rPr>
          <w:color w:val="333333"/>
        </w:rPr>
        <w:t>,</w:t>
      </w:r>
      <w:r w:rsidRPr="00A21A41">
        <w:rPr>
          <w:color w:val="333333"/>
        </w:rPr>
        <w:t xml:space="preserve"> por su parte</w:t>
      </w:r>
      <w:r>
        <w:rPr>
          <w:color w:val="333333"/>
        </w:rPr>
        <w:t>,</w:t>
      </w:r>
      <w:r w:rsidRPr="00A21A41">
        <w:rPr>
          <w:color w:val="333333"/>
        </w:rPr>
        <w:t xml:space="preserve"> incluye a:</w:t>
      </w:r>
      <w:r w:rsidRPr="00A21A41">
        <w:rPr>
          <w:szCs w:val="13"/>
        </w:rPr>
        <w:t xml:space="preserve"> </w:t>
      </w:r>
      <w:hyperlink r:id="rId1" w:history="1">
        <w:r w:rsidRPr="00A21A41">
          <w:t>Antigua y Barbuda</w:t>
        </w:r>
      </w:hyperlink>
      <w:r w:rsidRPr="00A21A41">
        <w:rPr>
          <w:szCs w:val="13"/>
        </w:rPr>
        <w:t xml:space="preserve">, </w:t>
      </w:r>
      <w:hyperlink r:id="rId2" w:history="1">
        <w:r w:rsidRPr="00A21A41">
          <w:t>Bahamas</w:t>
        </w:r>
      </w:hyperlink>
      <w:r w:rsidRPr="00A21A41">
        <w:rPr>
          <w:szCs w:val="13"/>
        </w:rPr>
        <w:t xml:space="preserve">, </w:t>
      </w:r>
      <w:hyperlink r:id="rId3" w:history="1">
        <w:r w:rsidRPr="00A21A41">
          <w:t>Barbados</w:t>
        </w:r>
      </w:hyperlink>
      <w:r w:rsidRPr="00A21A41">
        <w:rPr>
          <w:szCs w:val="13"/>
        </w:rPr>
        <w:t xml:space="preserve">, </w:t>
      </w:r>
      <w:hyperlink r:id="rId4" w:history="1">
        <w:r w:rsidRPr="00A21A41">
          <w:t>Belice</w:t>
        </w:r>
      </w:hyperlink>
      <w:r w:rsidRPr="00A21A41">
        <w:rPr>
          <w:szCs w:val="13"/>
        </w:rPr>
        <w:t xml:space="preserve">, </w:t>
      </w:r>
      <w:hyperlink r:id="rId5" w:history="1">
        <w:r w:rsidRPr="00A21A41">
          <w:t>Dominica</w:t>
        </w:r>
      </w:hyperlink>
      <w:r w:rsidRPr="00A21A41">
        <w:rPr>
          <w:szCs w:val="13"/>
        </w:rPr>
        <w:t xml:space="preserve">, </w:t>
      </w:r>
      <w:hyperlink r:id="rId6" w:history="1">
        <w:r w:rsidRPr="00A21A41">
          <w:t>Granada</w:t>
        </w:r>
      </w:hyperlink>
      <w:r w:rsidRPr="00A21A41">
        <w:rPr>
          <w:szCs w:val="13"/>
        </w:rPr>
        <w:t xml:space="preserve">, </w:t>
      </w:r>
      <w:hyperlink r:id="rId7" w:history="1">
        <w:r w:rsidRPr="00A21A41">
          <w:t>Guyana</w:t>
        </w:r>
      </w:hyperlink>
      <w:r w:rsidRPr="00A21A41">
        <w:rPr>
          <w:szCs w:val="13"/>
        </w:rPr>
        <w:t xml:space="preserve">, </w:t>
      </w:r>
      <w:hyperlink r:id="rId8" w:history="1">
        <w:r w:rsidRPr="00A21A41">
          <w:t>Haití</w:t>
        </w:r>
      </w:hyperlink>
      <w:r w:rsidRPr="00A21A41">
        <w:rPr>
          <w:szCs w:val="13"/>
        </w:rPr>
        <w:t xml:space="preserve">, </w:t>
      </w:r>
      <w:hyperlink r:id="rId9" w:history="1">
        <w:r w:rsidRPr="00A21A41">
          <w:t>Jamaica</w:t>
        </w:r>
      </w:hyperlink>
      <w:r w:rsidRPr="00A21A41">
        <w:rPr>
          <w:szCs w:val="13"/>
        </w:rPr>
        <w:t xml:space="preserve">, </w:t>
      </w:r>
      <w:hyperlink r:id="rId10" w:history="1">
        <w:r w:rsidRPr="00A21A41">
          <w:t>Monserrate</w:t>
        </w:r>
      </w:hyperlink>
      <w:r w:rsidRPr="00A21A41">
        <w:rPr>
          <w:szCs w:val="13"/>
        </w:rPr>
        <w:t xml:space="preserve">, </w:t>
      </w:r>
      <w:hyperlink r:id="rId11" w:history="1">
        <w:r>
          <w:t>Santa Lucí</w:t>
        </w:r>
        <w:r w:rsidRPr="00A21A41">
          <w:t>a</w:t>
        </w:r>
      </w:hyperlink>
      <w:r w:rsidRPr="00A21A41">
        <w:rPr>
          <w:szCs w:val="13"/>
        </w:rPr>
        <w:t xml:space="preserve">, </w:t>
      </w:r>
      <w:hyperlink r:id="rId12" w:history="1">
        <w:r>
          <w:t xml:space="preserve">San Kitts </w:t>
        </w:r>
        <w:r w:rsidRPr="00A21A41">
          <w:t>y Nevis</w:t>
        </w:r>
      </w:hyperlink>
      <w:r w:rsidRPr="00A21A41">
        <w:rPr>
          <w:szCs w:val="13"/>
        </w:rPr>
        <w:t xml:space="preserve">, </w:t>
      </w:r>
      <w:hyperlink r:id="rId13" w:history="1">
        <w:r w:rsidRPr="00A21A41">
          <w:t>San Vicente y las Granadinas</w:t>
        </w:r>
      </w:hyperlink>
      <w:r w:rsidRPr="00A21A41">
        <w:rPr>
          <w:szCs w:val="13"/>
        </w:rPr>
        <w:t xml:space="preserve">, </w:t>
      </w:r>
      <w:hyperlink r:id="rId14" w:history="1">
        <w:r w:rsidRPr="00A21A41">
          <w:t>Surinam</w:t>
        </w:r>
      </w:hyperlink>
      <w:r w:rsidRPr="00A21A41">
        <w:rPr>
          <w:szCs w:val="13"/>
        </w:rPr>
        <w:t xml:space="preserve">, </w:t>
      </w:r>
      <w:r>
        <w:rPr>
          <w:szCs w:val="13"/>
        </w:rPr>
        <w:t xml:space="preserve">y </w:t>
      </w:r>
      <w:hyperlink r:id="rId15" w:history="1">
        <w:r w:rsidRPr="00A21A41">
          <w:t>Trinidad y Tobago</w:t>
        </w:r>
      </w:hyperlink>
      <w:r w:rsidRPr="000A0BB6">
        <w:rPr>
          <w:sz w:val="13"/>
          <w:szCs w:val="13"/>
        </w:rPr>
        <w:t>.</w:t>
      </w:r>
    </w:p>
  </w:footnote>
  <w:footnote w:id="55">
    <w:p w:rsidR="00246118" w:rsidRPr="001639B8" w:rsidRDefault="00246118">
      <w:pPr>
        <w:pStyle w:val="FootnoteText"/>
      </w:pPr>
      <w:r>
        <w:rPr>
          <w:rStyle w:val="FootnoteReference"/>
        </w:rPr>
        <w:footnoteRef/>
      </w:r>
      <w:r w:rsidRPr="001639B8">
        <w:t xml:space="preserve"> </w:t>
      </w:r>
      <w:r>
        <w:t>Los d</w:t>
      </w:r>
      <w:r w:rsidRPr="001639B8">
        <w:t>atos de Puerto Rico</w:t>
      </w:r>
      <w:r>
        <w:t xml:space="preserve"> se obtuvieron</w:t>
      </w:r>
      <w:r w:rsidRPr="001639B8">
        <w:t xml:space="preserve"> de l</w:t>
      </w:r>
      <w:r>
        <w:t xml:space="preserve">a Junta de Planificación y los de Estados Unidos del </w:t>
      </w:r>
      <w:r w:rsidRPr="00F72ED9">
        <w:rPr>
          <w:i/>
        </w:rPr>
        <w:t>Bureau of Economic Analysis</w:t>
      </w:r>
      <w:r>
        <w:t>.</w:t>
      </w:r>
    </w:p>
  </w:footnote>
  <w:footnote w:id="56">
    <w:p w:rsidR="00246118" w:rsidRPr="004C162A" w:rsidRDefault="00246118" w:rsidP="005A5E7D">
      <w:pPr>
        <w:pStyle w:val="FootnoteText"/>
      </w:pPr>
      <w:r>
        <w:rPr>
          <w:rStyle w:val="FootnoteReference"/>
        </w:rPr>
        <w:footnoteRef/>
      </w:r>
      <w:r w:rsidRPr="004C162A">
        <w:t xml:space="preserve"> La Corporación del Fondo de Interés Apremiante de Puerto Rico (COFINA), recibe el 2.75% del Impuesto sobre ventas y uso (IVU) que corresponde al gobierno central y lo utiliza para pagar o financiar, total o parcialmente, o para aportar fondos a ciertas obligaciones de deuda del E.L.A., la deuda del Secretario de Hacienda con el</w:t>
      </w:r>
      <w:r>
        <w:t xml:space="preserve"> Banco Gubernamental de Fomento</w:t>
      </w:r>
      <w:r w:rsidRPr="004C162A">
        <w:t xml:space="preserve"> y otras.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42"/>
      <w:gridCol w:w="8170"/>
    </w:tblGrid>
    <w:tr w:rsidR="00246118">
      <w:tc>
        <w:tcPr>
          <w:tcW w:w="750" w:type="pct"/>
          <w:tcBorders>
            <w:right w:val="single" w:sz="18" w:space="0" w:color="4F81BD" w:themeColor="accent1"/>
          </w:tcBorders>
        </w:tcPr>
        <w:p w:rsidR="00246118" w:rsidRDefault="00246118">
          <w:pPr>
            <w:pStyle w:val="Header"/>
          </w:pPr>
        </w:p>
      </w:tc>
      <w:tc>
        <w:tcPr>
          <w:tcW w:w="4250" w:type="pct"/>
          <w:tcBorders>
            <w:left w:val="single" w:sz="18" w:space="0" w:color="4F81BD" w:themeColor="accent1"/>
          </w:tcBorders>
        </w:tcPr>
        <w:p w:rsidR="00246118" w:rsidRDefault="00246118" w:rsidP="00A9525B">
          <w:pPr>
            <w:pStyle w:val="Header"/>
            <w:ind w:left="718" w:firstLine="0"/>
            <w:jc w:val="right"/>
            <w:rPr>
              <w:rFonts w:asciiTheme="majorHAnsi" w:eastAsiaTheme="majorEastAsia" w:hAnsiTheme="majorHAnsi" w:cstheme="majorBidi"/>
              <w:color w:val="4F81BD" w:themeColor="accent1"/>
              <w:szCs w:val="24"/>
            </w:rPr>
          </w:pPr>
          <w:r>
            <w:rPr>
              <w:rFonts w:asciiTheme="majorHAnsi" w:eastAsiaTheme="majorEastAsia" w:hAnsiTheme="majorHAnsi" w:cstheme="majorBidi"/>
              <w:color w:val="4F81BD" w:themeColor="accent1"/>
              <w:szCs w:val="24"/>
            </w:rPr>
            <w:t>Resumen Ejecutivo</w:t>
          </w:r>
        </w:p>
      </w:tc>
    </w:tr>
  </w:tbl>
  <w:p w:rsidR="00246118" w:rsidRDefault="00246118">
    <w:pPr>
      <w:pStyle w:val="Heade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38"/>
      <w:gridCol w:w="8152"/>
    </w:tblGrid>
    <w:tr w:rsidR="00246118">
      <w:tc>
        <w:tcPr>
          <w:tcW w:w="750" w:type="pct"/>
          <w:tcBorders>
            <w:right w:val="single" w:sz="18" w:space="0" w:color="4F81BD" w:themeColor="accent1"/>
          </w:tcBorders>
        </w:tcPr>
        <w:p w:rsidR="00246118" w:rsidRPr="001F32F7" w:rsidRDefault="00246118" w:rsidP="001F32F7">
          <w:pPr>
            <w:pStyle w:val="Header"/>
            <w:jc w:val="right"/>
            <w:rPr>
              <w:rFonts w:asciiTheme="minorHAnsi" w:hAnsiTheme="minorHAnsi"/>
              <w:szCs w:val="24"/>
            </w:rPr>
          </w:pPr>
          <w:r w:rsidRPr="001F32F7">
            <w:rPr>
              <w:rFonts w:asciiTheme="minorHAnsi" w:hAnsiTheme="minorHAnsi"/>
              <w:szCs w:val="24"/>
            </w:rPr>
            <w:t xml:space="preserve"> </w:t>
          </w:r>
        </w:p>
      </w:tc>
      <w:tc>
        <w:tcPr>
          <w:tcW w:w="4250" w:type="pct"/>
          <w:tcBorders>
            <w:left w:val="single" w:sz="18" w:space="0" w:color="4F81BD" w:themeColor="accent1"/>
          </w:tcBorders>
        </w:tcPr>
        <w:p w:rsidR="00246118" w:rsidRPr="001F32F7" w:rsidRDefault="00246118" w:rsidP="001F32F7">
          <w:pPr>
            <w:pStyle w:val="Heading1"/>
            <w:jc w:val="right"/>
            <w:rPr>
              <w:rFonts w:asciiTheme="minorHAnsi" w:hAnsiTheme="minorHAnsi"/>
              <w:sz w:val="24"/>
              <w:szCs w:val="24"/>
            </w:rPr>
          </w:pPr>
          <w:r w:rsidRPr="001F32F7">
            <w:rPr>
              <w:rFonts w:asciiTheme="minorHAnsi" w:hAnsiTheme="minorHAnsi"/>
              <w:sz w:val="24"/>
              <w:szCs w:val="24"/>
            </w:rPr>
            <w:t>Capítulo 5: La perspectiva de la competitividad en el tema de la estadidad</w:t>
          </w:r>
        </w:p>
        <w:p w:rsidR="00246118" w:rsidRPr="001F32F7" w:rsidRDefault="00246118" w:rsidP="001F32F7">
          <w:pPr>
            <w:pStyle w:val="Header"/>
            <w:ind w:left="718" w:firstLine="0"/>
            <w:jc w:val="right"/>
            <w:rPr>
              <w:rFonts w:asciiTheme="minorHAnsi" w:eastAsiaTheme="majorEastAsia" w:hAnsiTheme="minorHAnsi" w:cstheme="majorBidi"/>
              <w:color w:val="4F81BD" w:themeColor="accent1"/>
              <w:szCs w:val="24"/>
            </w:rPr>
          </w:pPr>
        </w:p>
      </w:tc>
    </w:tr>
  </w:tbl>
  <w:p w:rsidR="00246118" w:rsidRDefault="00246118">
    <w:pPr>
      <w:pStyle w:val="Header"/>
    </w:pP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38"/>
      <w:gridCol w:w="8152"/>
    </w:tblGrid>
    <w:tr w:rsidR="00246118">
      <w:tc>
        <w:tcPr>
          <w:tcW w:w="750" w:type="pct"/>
          <w:tcBorders>
            <w:right w:val="single" w:sz="18" w:space="0" w:color="4F81BD" w:themeColor="accent1"/>
          </w:tcBorders>
        </w:tcPr>
        <w:p w:rsidR="00246118" w:rsidRPr="001F32F7" w:rsidRDefault="00246118" w:rsidP="001F32F7">
          <w:pPr>
            <w:pStyle w:val="Header"/>
            <w:jc w:val="right"/>
            <w:rPr>
              <w:rFonts w:asciiTheme="minorHAnsi" w:hAnsiTheme="minorHAnsi"/>
              <w:szCs w:val="24"/>
            </w:rPr>
          </w:pPr>
          <w:r w:rsidRPr="001F32F7">
            <w:rPr>
              <w:rFonts w:asciiTheme="minorHAnsi" w:hAnsiTheme="minorHAnsi"/>
              <w:szCs w:val="24"/>
            </w:rPr>
            <w:t xml:space="preserve"> </w:t>
          </w:r>
        </w:p>
      </w:tc>
      <w:tc>
        <w:tcPr>
          <w:tcW w:w="4250" w:type="pct"/>
          <w:tcBorders>
            <w:left w:val="single" w:sz="18" w:space="0" w:color="4F81BD" w:themeColor="accent1"/>
          </w:tcBorders>
        </w:tcPr>
        <w:p w:rsidR="00246118" w:rsidRPr="009B59BB" w:rsidRDefault="00246118" w:rsidP="009B59BB">
          <w:pPr>
            <w:pStyle w:val="Heading1"/>
            <w:jc w:val="right"/>
            <w:rPr>
              <w:rFonts w:asciiTheme="minorHAnsi" w:hAnsiTheme="minorHAnsi"/>
              <w:iCs/>
              <w:color w:val="7F7F7F"/>
              <w:spacing w:val="15"/>
              <w:kern w:val="1"/>
              <w:sz w:val="24"/>
              <w:szCs w:val="24"/>
              <w:lang w:eastAsia="ar-SA"/>
            </w:rPr>
          </w:pPr>
          <w:r w:rsidRPr="009B59BB">
            <w:rPr>
              <w:rFonts w:asciiTheme="minorHAnsi" w:hAnsiTheme="minorHAnsi"/>
              <w:sz w:val="24"/>
              <w:szCs w:val="24"/>
            </w:rPr>
            <w:t>Capítulo 6: El debate sobre la estadidad como vehículo de convergencia en crecimiento económico</w:t>
          </w:r>
        </w:p>
        <w:p w:rsidR="00246118" w:rsidRPr="001F32F7" w:rsidRDefault="00246118" w:rsidP="001F32F7">
          <w:pPr>
            <w:pStyle w:val="Header"/>
            <w:ind w:left="718" w:firstLine="0"/>
            <w:jc w:val="right"/>
            <w:rPr>
              <w:rFonts w:asciiTheme="minorHAnsi" w:eastAsiaTheme="majorEastAsia" w:hAnsiTheme="minorHAnsi" w:cstheme="majorBidi"/>
              <w:color w:val="4F81BD" w:themeColor="accent1"/>
              <w:szCs w:val="24"/>
            </w:rPr>
          </w:pPr>
        </w:p>
      </w:tc>
    </w:tr>
  </w:tbl>
  <w:p w:rsidR="00246118" w:rsidRDefault="00246118">
    <w:pPr>
      <w:pStyle w:val="Header"/>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38"/>
      <w:gridCol w:w="8152"/>
    </w:tblGrid>
    <w:tr w:rsidR="00246118">
      <w:tc>
        <w:tcPr>
          <w:tcW w:w="750" w:type="pct"/>
          <w:tcBorders>
            <w:right w:val="single" w:sz="18" w:space="0" w:color="4F81BD" w:themeColor="accent1"/>
          </w:tcBorders>
        </w:tcPr>
        <w:p w:rsidR="00246118" w:rsidRPr="001F32F7" w:rsidRDefault="00246118" w:rsidP="001F32F7">
          <w:pPr>
            <w:pStyle w:val="Header"/>
            <w:jc w:val="right"/>
            <w:rPr>
              <w:rFonts w:asciiTheme="minorHAnsi" w:hAnsiTheme="minorHAnsi"/>
              <w:szCs w:val="24"/>
            </w:rPr>
          </w:pPr>
          <w:r w:rsidRPr="001F32F7">
            <w:rPr>
              <w:rFonts w:asciiTheme="minorHAnsi" w:hAnsiTheme="minorHAnsi"/>
              <w:szCs w:val="24"/>
            </w:rPr>
            <w:t xml:space="preserve"> </w:t>
          </w:r>
        </w:p>
      </w:tc>
      <w:tc>
        <w:tcPr>
          <w:tcW w:w="4250" w:type="pct"/>
          <w:tcBorders>
            <w:left w:val="single" w:sz="18" w:space="0" w:color="4F81BD" w:themeColor="accent1"/>
          </w:tcBorders>
        </w:tcPr>
        <w:p w:rsidR="00246118" w:rsidRPr="00552A79" w:rsidRDefault="00246118" w:rsidP="009B59BB">
          <w:pPr>
            <w:pStyle w:val="Heading1"/>
            <w:jc w:val="right"/>
            <w:rPr>
              <w:rFonts w:asciiTheme="minorHAnsi" w:hAnsiTheme="minorHAnsi"/>
              <w:iCs/>
              <w:color w:val="7F7F7F"/>
              <w:spacing w:val="15"/>
              <w:kern w:val="1"/>
              <w:sz w:val="24"/>
              <w:szCs w:val="24"/>
              <w:lang w:val="en-US" w:eastAsia="ar-SA"/>
            </w:rPr>
          </w:pPr>
          <w:r w:rsidRPr="009B59BB">
            <w:rPr>
              <w:rFonts w:asciiTheme="minorHAnsi" w:hAnsiTheme="minorHAnsi"/>
              <w:sz w:val="24"/>
              <w:szCs w:val="24"/>
            </w:rPr>
            <w:t xml:space="preserve">Capítulo </w:t>
          </w:r>
          <w:r w:rsidRPr="00552A79">
            <w:rPr>
              <w:rFonts w:asciiTheme="minorHAnsi" w:hAnsiTheme="minorHAnsi"/>
              <w:sz w:val="24"/>
              <w:szCs w:val="24"/>
            </w:rPr>
            <w:t>7</w:t>
          </w:r>
          <w:r>
            <w:rPr>
              <w:rFonts w:asciiTheme="minorHAnsi" w:hAnsiTheme="minorHAnsi"/>
              <w:sz w:val="24"/>
              <w:szCs w:val="24"/>
            </w:rPr>
            <w:t xml:space="preserve">: </w:t>
          </w:r>
          <w:r>
            <w:rPr>
              <w:rFonts w:asciiTheme="minorHAnsi" w:hAnsiTheme="minorHAnsi"/>
              <w:sz w:val="24"/>
              <w:szCs w:val="24"/>
              <w:lang w:val="en-US"/>
            </w:rPr>
            <w:t>Conclusiones  y recomendacciones</w:t>
          </w:r>
        </w:p>
        <w:p w:rsidR="00246118" w:rsidRPr="001F32F7" w:rsidRDefault="00246118" w:rsidP="001F32F7">
          <w:pPr>
            <w:pStyle w:val="Header"/>
            <w:ind w:left="718" w:firstLine="0"/>
            <w:jc w:val="right"/>
            <w:rPr>
              <w:rFonts w:asciiTheme="minorHAnsi" w:eastAsiaTheme="majorEastAsia" w:hAnsiTheme="minorHAnsi" w:cstheme="majorBidi"/>
              <w:color w:val="4F81BD" w:themeColor="accent1"/>
              <w:szCs w:val="24"/>
            </w:rPr>
          </w:pPr>
        </w:p>
      </w:tc>
    </w:tr>
  </w:tbl>
  <w:p w:rsidR="00246118" w:rsidRDefault="00246118">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42"/>
      <w:gridCol w:w="8170"/>
    </w:tblGrid>
    <w:tr w:rsidR="00246118">
      <w:tc>
        <w:tcPr>
          <w:tcW w:w="750" w:type="pct"/>
          <w:tcBorders>
            <w:right w:val="single" w:sz="18" w:space="0" w:color="4F81BD" w:themeColor="accent1"/>
          </w:tcBorders>
        </w:tcPr>
        <w:p w:rsidR="00246118" w:rsidRDefault="00246118" w:rsidP="00A9525B">
          <w:pPr>
            <w:pStyle w:val="Header"/>
          </w:pPr>
        </w:p>
      </w:tc>
      <w:tc>
        <w:tcPr>
          <w:tcW w:w="4250" w:type="pct"/>
          <w:tcBorders>
            <w:left w:val="single" w:sz="18" w:space="0" w:color="4F81BD" w:themeColor="accent1"/>
          </w:tcBorders>
        </w:tcPr>
        <w:p w:rsidR="00246118" w:rsidRDefault="00246118" w:rsidP="00A9525B">
          <w:pPr>
            <w:pStyle w:val="Header"/>
            <w:ind w:left="718" w:firstLine="0"/>
            <w:jc w:val="right"/>
            <w:rPr>
              <w:rFonts w:asciiTheme="majorHAnsi" w:eastAsiaTheme="majorEastAsia" w:hAnsiTheme="majorHAnsi" w:cstheme="majorBidi"/>
              <w:color w:val="4F81BD" w:themeColor="accent1"/>
              <w:szCs w:val="24"/>
            </w:rPr>
          </w:pPr>
          <w:r>
            <w:rPr>
              <w:rFonts w:asciiTheme="majorHAnsi" w:eastAsiaTheme="majorEastAsia" w:hAnsiTheme="majorHAnsi" w:cstheme="majorBidi"/>
              <w:color w:val="4F81BD" w:themeColor="accent1"/>
              <w:szCs w:val="24"/>
            </w:rPr>
            <w:t>Capítulo 1: El Congreso de Estados Unidos y los escenarios políticos del estatus</w:t>
          </w:r>
        </w:p>
      </w:tc>
    </w:tr>
  </w:tbl>
  <w:p w:rsidR="00246118" w:rsidRDefault="00246118">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42"/>
      <w:gridCol w:w="8170"/>
    </w:tblGrid>
    <w:tr w:rsidR="00246118">
      <w:tc>
        <w:tcPr>
          <w:tcW w:w="750" w:type="pct"/>
          <w:tcBorders>
            <w:right w:val="single" w:sz="18" w:space="0" w:color="4F81BD" w:themeColor="accent1"/>
          </w:tcBorders>
        </w:tcPr>
        <w:p w:rsidR="00246118" w:rsidRDefault="00246118">
          <w:pPr>
            <w:pStyle w:val="Header"/>
          </w:pPr>
        </w:p>
      </w:tc>
      <w:tc>
        <w:tcPr>
          <w:tcW w:w="4250" w:type="pct"/>
          <w:tcBorders>
            <w:left w:val="single" w:sz="18" w:space="0" w:color="4F81BD" w:themeColor="accent1"/>
          </w:tcBorders>
        </w:tcPr>
        <w:p w:rsidR="00246118" w:rsidRDefault="00246118" w:rsidP="00A9525B">
          <w:pPr>
            <w:pStyle w:val="Header"/>
            <w:ind w:left="718" w:firstLine="0"/>
            <w:jc w:val="right"/>
            <w:rPr>
              <w:rFonts w:asciiTheme="majorHAnsi" w:eastAsiaTheme="majorEastAsia" w:hAnsiTheme="majorHAnsi" w:cstheme="majorBidi"/>
              <w:color w:val="4F81BD" w:themeColor="accent1"/>
              <w:szCs w:val="24"/>
            </w:rPr>
          </w:pPr>
          <w:r>
            <w:rPr>
              <w:rFonts w:asciiTheme="majorHAnsi" w:eastAsiaTheme="majorEastAsia" w:hAnsiTheme="majorHAnsi" w:cstheme="majorBidi"/>
              <w:color w:val="4F81BD" w:themeColor="accent1"/>
              <w:szCs w:val="24"/>
            </w:rPr>
            <w:t>Capítulo 2: Reseña de la literatura</w:t>
          </w:r>
        </w:p>
      </w:tc>
    </w:tr>
  </w:tbl>
  <w:p w:rsidR="00246118" w:rsidRDefault="00246118">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42"/>
      <w:gridCol w:w="8170"/>
    </w:tblGrid>
    <w:tr w:rsidR="002B5716">
      <w:tc>
        <w:tcPr>
          <w:tcW w:w="750" w:type="pct"/>
          <w:tcBorders>
            <w:right w:val="single" w:sz="18" w:space="0" w:color="4F81BD" w:themeColor="accent1"/>
          </w:tcBorders>
        </w:tcPr>
        <w:p w:rsidR="00246118" w:rsidRDefault="00246118">
          <w:pPr>
            <w:pStyle w:val="Header"/>
          </w:pPr>
          <w:r>
            <w:t xml:space="preserve"> </w:t>
          </w:r>
        </w:p>
      </w:tc>
      <w:tc>
        <w:tcPr>
          <w:tcW w:w="4250" w:type="pct"/>
          <w:tcBorders>
            <w:left w:val="single" w:sz="18" w:space="0" w:color="4F81BD" w:themeColor="accent1"/>
          </w:tcBorders>
        </w:tcPr>
        <w:p w:rsidR="00246118" w:rsidRDefault="00246118" w:rsidP="00885659">
          <w:pPr>
            <w:pStyle w:val="Header"/>
            <w:ind w:left="718" w:firstLine="0"/>
            <w:jc w:val="right"/>
            <w:rPr>
              <w:rFonts w:asciiTheme="majorHAnsi" w:eastAsiaTheme="majorEastAsia" w:hAnsiTheme="majorHAnsi" w:cstheme="majorBidi"/>
              <w:color w:val="4F81BD" w:themeColor="accent1"/>
              <w:szCs w:val="24"/>
            </w:rPr>
          </w:pPr>
          <w:r>
            <w:rPr>
              <w:rFonts w:asciiTheme="majorHAnsi" w:eastAsiaTheme="majorEastAsia" w:hAnsiTheme="majorHAnsi" w:cstheme="majorBidi"/>
              <w:color w:val="4F81BD" w:themeColor="accent1"/>
              <w:szCs w:val="24"/>
            </w:rPr>
            <w:t>Capítulo 3: Impactos de la estadidad en el régimen fiscal de Puerto Rico</w:t>
          </w:r>
        </w:p>
      </w:tc>
    </w:tr>
  </w:tbl>
  <w:p w:rsidR="00246118" w:rsidRDefault="00246118">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18" w:rsidRDefault="008964A4" w:rsidP="005A5E7D">
    <w:pPr>
      <w:pStyle w:val="Header"/>
      <w:framePr w:wrap="around" w:vAnchor="text" w:hAnchor="margin" w:xAlign="right" w:y="1"/>
      <w:rPr>
        <w:rStyle w:val="PageNumber"/>
      </w:rPr>
    </w:pPr>
    <w:r>
      <w:rPr>
        <w:rStyle w:val="PageNumber"/>
      </w:rPr>
      <w:fldChar w:fldCharType="begin"/>
    </w:r>
    <w:r w:rsidR="00246118">
      <w:rPr>
        <w:rStyle w:val="PageNumber"/>
      </w:rPr>
      <w:instrText xml:space="preserve">PAGE  </w:instrText>
    </w:r>
    <w:r>
      <w:rPr>
        <w:rStyle w:val="PageNumber"/>
      </w:rPr>
      <w:fldChar w:fldCharType="end"/>
    </w:r>
  </w:p>
  <w:p w:rsidR="00246118" w:rsidRDefault="00246118" w:rsidP="005A5E7D">
    <w:pPr>
      <w:pStyle w:val="Header"/>
      <w:ind w:right="360"/>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38"/>
      <w:gridCol w:w="8152"/>
    </w:tblGrid>
    <w:tr w:rsidR="00246118">
      <w:tc>
        <w:tcPr>
          <w:tcW w:w="750" w:type="pct"/>
          <w:tcBorders>
            <w:right w:val="single" w:sz="18" w:space="0" w:color="4F81BD" w:themeColor="accent1"/>
          </w:tcBorders>
        </w:tcPr>
        <w:p w:rsidR="00246118" w:rsidRDefault="00246118">
          <w:pPr>
            <w:pStyle w:val="Header"/>
          </w:pPr>
          <w:r>
            <w:t xml:space="preserve"> </w:t>
          </w:r>
        </w:p>
      </w:tc>
      <w:tc>
        <w:tcPr>
          <w:tcW w:w="4250" w:type="pct"/>
          <w:tcBorders>
            <w:left w:val="single" w:sz="18" w:space="0" w:color="4F81BD" w:themeColor="accent1"/>
          </w:tcBorders>
        </w:tcPr>
        <w:p w:rsidR="00246118" w:rsidRDefault="00246118" w:rsidP="00885659">
          <w:pPr>
            <w:pStyle w:val="Header"/>
            <w:ind w:left="718" w:firstLine="0"/>
            <w:jc w:val="right"/>
            <w:rPr>
              <w:rFonts w:asciiTheme="majorHAnsi" w:eastAsiaTheme="majorEastAsia" w:hAnsiTheme="majorHAnsi" w:cstheme="majorBidi"/>
              <w:color w:val="4F81BD" w:themeColor="accent1"/>
              <w:szCs w:val="24"/>
            </w:rPr>
          </w:pPr>
          <w:r>
            <w:rPr>
              <w:rFonts w:asciiTheme="majorHAnsi" w:eastAsiaTheme="majorEastAsia" w:hAnsiTheme="majorHAnsi" w:cstheme="majorBidi"/>
              <w:color w:val="4F81BD" w:themeColor="accent1"/>
              <w:szCs w:val="24"/>
            </w:rPr>
            <w:t>Capítulo 3: Impactos de la estadidad en el régimen fiscal de Puerto Rico</w:t>
          </w:r>
        </w:p>
      </w:tc>
    </w:tr>
  </w:tbl>
  <w:p w:rsidR="00246118" w:rsidRDefault="00246118">
    <w:pPr>
      <w:pStyle w:val="Heade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18" w:rsidRPr="00AA7002" w:rsidRDefault="00246118" w:rsidP="005A5E7D">
    <w:pPr>
      <w:pStyle w:val="Header"/>
      <w:ind w:right="360"/>
      <w:rPr>
        <w:lang w:val="es-ES_tradnl"/>
      </w:rPr>
    </w:pPr>
    <w:r>
      <w:rPr>
        <w:lang w:val="es-ES_tradnl"/>
      </w:rPr>
      <w:tab/>
      <w:t xml:space="preserve">     </w:t>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38"/>
      <w:gridCol w:w="8152"/>
    </w:tblGrid>
    <w:tr w:rsidR="00246118">
      <w:tc>
        <w:tcPr>
          <w:tcW w:w="750" w:type="pct"/>
          <w:tcBorders>
            <w:right w:val="single" w:sz="18" w:space="0" w:color="4F81BD" w:themeColor="accent1"/>
          </w:tcBorders>
        </w:tcPr>
        <w:p w:rsidR="00246118" w:rsidRDefault="00246118">
          <w:pPr>
            <w:pStyle w:val="Header"/>
          </w:pPr>
          <w:r>
            <w:t xml:space="preserve"> </w:t>
          </w:r>
        </w:p>
      </w:tc>
      <w:tc>
        <w:tcPr>
          <w:tcW w:w="4250" w:type="pct"/>
          <w:tcBorders>
            <w:left w:val="single" w:sz="18" w:space="0" w:color="4F81BD" w:themeColor="accent1"/>
          </w:tcBorders>
        </w:tcPr>
        <w:p w:rsidR="00246118" w:rsidRDefault="00246118" w:rsidP="00B015EE">
          <w:pPr>
            <w:pStyle w:val="Header"/>
            <w:ind w:left="718" w:firstLine="0"/>
            <w:jc w:val="right"/>
            <w:rPr>
              <w:rFonts w:asciiTheme="majorHAnsi" w:eastAsiaTheme="majorEastAsia" w:hAnsiTheme="majorHAnsi" w:cstheme="majorBidi"/>
              <w:color w:val="4F81BD" w:themeColor="accent1"/>
              <w:szCs w:val="24"/>
            </w:rPr>
          </w:pPr>
          <w:r>
            <w:rPr>
              <w:rFonts w:asciiTheme="majorHAnsi" w:eastAsiaTheme="majorEastAsia" w:hAnsiTheme="majorHAnsi" w:cstheme="majorBidi"/>
              <w:color w:val="4F81BD" w:themeColor="accent1"/>
              <w:szCs w:val="24"/>
            </w:rPr>
            <w:t>Capítulo 4: Implicaciones de la estadidad para el comercio exterior y el sector empresarial</w:t>
          </w:r>
        </w:p>
      </w:tc>
    </w:tr>
  </w:tbl>
  <w:p w:rsidR="00246118" w:rsidRDefault="00246118">
    <w:pPr>
      <w:pStyle w:val="Header"/>
    </w:pP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18" w:rsidRPr="00AA7002" w:rsidRDefault="00246118" w:rsidP="005A5E7D">
    <w:pPr>
      <w:pStyle w:val="Header"/>
      <w:ind w:right="360"/>
      <w:rPr>
        <w:lang w:val="es-ES_tradnl"/>
      </w:rPr>
    </w:pPr>
    <w:r>
      <w:rPr>
        <w:lang w:val="es-ES_tradnl"/>
      </w:rPr>
      <w:tab/>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3CCBF7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C825CF"/>
    <w:multiLevelType w:val="hybridMultilevel"/>
    <w:tmpl w:val="622EFC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2D2374D"/>
    <w:multiLevelType w:val="hybridMultilevel"/>
    <w:tmpl w:val="6B7E1724"/>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Wingdings 2"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Wingdings 2"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Wingdings 2" w:hint="default"/>
      </w:rPr>
    </w:lvl>
    <w:lvl w:ilvl="8" w:tplc="04090005" w:tentative="1">
      <w:start w:val="1"/>
      <w:numFmt w:val="bullet"/>
      <w:lvlText w:val=""/>
      <w:lvlJc w:val="left"/>
      <w:pPr>
        <w:ind w:left="7248" w:hanging="360"/>
      </w:pPr>
      <w:rPr>
        <w:rFonts w:ascii="Wingdings" w:hAnsi="Wingdings" w:hint="default"/>
      </w:rPr>
    </w:lvl>
  </w:abstractNum>
  <w:abstractNum w:abstractNumId="3">
    <w:nsid w:val="15365E3B"/>
    <w:multiLevelType w:val="hybridMultilevel"/>
    <w:tmpl w:val="8AA425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1C39760C"/>
    <w:multiLevelType w:val="hybridMultilevel"/>
    <w:tmpl w:val="E5884FC6"/>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Wingdings 2"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Wingdings 2"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Wingdings 2" w:hint="default"/>
      </w:rPr>
    </w:lvl>
    <w:lvl w:ilvl="8" w:tplc="04090005" w:tentative="1">
      <w:start w:val="1"/>
      <w:numFmt w:val="bullet"/>
      <w:lvlText w:val=""/>
      <w:lvlJc w:val="left"/>
      <w:pPr>
        <w:ind w:left="7186" w:hanging="360"/>
      </w:pPr>
      <w:rPr>
        <w:rFonts w:ascii="Wingdings" w:hAnsi="Wingdings" w:hint="default"/>
      </w:rPr>
    </w:lvl>
  </w:abstractNum>
  <w:abstractNum w:abstractNumId="5">
    <w:nsid w:val="20620197"/>
    <w:multiLevelType w:val="hybridMultilevel"/>
    <w:tmpl w:val="6F56AB5A"/>
    <w:lvl w:ilvl="0" w:tplc="D4B25A16">
      <w:start w:val="1"/>
      <w:numFmt w:val="bullet"/>
      <w:lvlText w:val=""/>
      <w:lvlJc w:val="left"/>
      <w:pPr>
        <w:tabs>
          <w:tab w:val="num" w:pos="720"/>
        </w:tabs>
        <w:ind w:left="720" w:hanging="360"/>
      </w:pPr>
      <w:rPr>
        <w:rFonts w:ascii="Wingdings 2" w:hAnsi="Wingdings 2" w:hint="default"/>
      </w:rPr>
    </w:lvl>
    <w:lvl w:ilvl="1" w:tplc="83000A2A">
      <w:start w:val="998"/>
      <w:numFmt w:val="bullet"/>
      <w:lvlText w:val=""/>
      <w:lvlJc w:val="left"/>
      <w:pPr>
        <w:tabs>
          <w:tab w:val="num" w:pos="1440"/>
        </w:tabs>
        <w:ind w:left="1440" w:hanging="360"/>
      </w:pPr>
      <w:rPr>
        <w:rFonts w:ascii="Wingdings 2" w:hAnsi="Wingdings 2" w:hint="default"/>
      </w:rPr>
    </w:lvl>
    <w:lvl w:ilvl="2" w:tplc="31AACC60">
      <w:start w:val="998"/>
      <w:numFmt w:val="bullet"/>
      <w:lvlText w:val=""/>
      <w:lvlJc w:val="left"/>
      <w:pPr>
        <w:tabs>
          <w:tab w:val="num" w:pos="2160"/>
        </w:tabs>
        <w:ind w:left="2160" w:hanging="360"/>
      </w:pPr>
      <w:rPr>
        <w:rFonts w:ascii="Wingdings 2" w:hAnsi="Wingdings 2" w:hint="default"/>
      </w:rPr>
    </w:lvl>
    <w:lvl w:ilvl="3" w:tplc="0E227F8E">
      <w:start w:val="4"/>
      <w:numFmt w:val="bullet"/>
      <w:lvlText w:val="-"/>
      <w:lvlJc w:val="left"/>
      <w:pPr>
        <w:ind w:left="2880" w:hanging="360"/>
      </w:pPr>
      <w:rPr>
        <w:rFonts w:ascii="Calibri" w:eastAsia="MS Mincho" w:hAnsi="Calibri" w:cs="Times New Roman" w:hint="default"/>
      </w:rPr>
    </w:lvl>
    <w:lvl w:ilvl="4" w:tplc="4726051A">
      <w:start w:val="1"/>
      <w:numFmt w:val="bullet"/>
      <w:lvlText w:val=""/>
      <w:lvlJc w:val="left"/>
      <w:pPr>
        <w:tabs>
          <w:tab w:val="num" w:pos="3600"/>
        </w:tabs>
        <w:ind w:left="3600" w:hanging="360"/>
      </w:pPr>
      <w:rPr>
        <w:rFonts w:ascii="Wingdings 2" w:hAnsi="Wingdings 2" w:hint="default"/>
      </w:rPr>
    </w:lvl>
    <w:lvl w:ilvl="5" w:tplc="2C3E8E84" w:tentative="1">
      <w:start w:val="1"/>
      <w:numFmt w:val="bullet"/>
      <w:lvlText w:val=""/>
      <w:lvlJc w:val="left"/>
      <w:pPr>
        <w:tabs>
          <w:tab w:val="num" w:pos="4320"/>
        </w:tabs>
        <w:ind w:left="4320" w:hanging="360"/>
      </w:pPr>
      <w:rPr>
        <w:rFonts w:ascii="Wingdings 2" w:hAnsi="Wingdings 2" w:hint="default"/>
      </w:rPr>
    </w:lvl>
    <w:lvl w:ilvl="6" w:tplc="E442571E" w:tentative="1">
      <w:start w:val="1"/>
      <w:numFmt w:val="bullet"/>
      <w:lvlText w:val=""/>
      <w:lvlJc w:val="left"/>
      <w:pPr>
        <w:tabs>
          <w:tab w:val="num" w:pos="5040"/>
        </w:tabs>
        <w:ind w:left="5040" w:hanging="360"/>
      </w:pPr>
      <w:rPr>
        <w:rFonts w:ascii="Wingdings 2" w:hAnsi="Wingdings 2" w:hint="default"/>
      </w:rPr>
    </w:lvl>
    <w:lvl w:ilvl="7" w:tplc="7124E094" w:tentative="1">
      <w:start w:val="1"/>
      <w:numFmt w:val="bullet"/>
      <w:lvlText w:val=""/>
      <w:lvlJc w:val="left"/>
      <w:pPr>
        <w:tabs>
          <w:tab w:val="num" w:pos="5760"/>
        </w:tabs>
        <w:ind w:left="5760" w:hanging="360"/>
      </w:pPr>
      <w:rPr>
        <w:rFonts w:ascii="Wingdings 2" w:hAnsi="Wingdings 2" w:hint="default"/>
      </w:rPr>
    </w:lvl>
    <w:lvl w:ilvl="8" w:tplc="4422208C" w:tentative="1">
      <w:start w:val="1"/>
      <w:numFmt w:val="bullet"/>
      <w:lvlText w:val=""/>
      <w:lvlJc w:val="left"/>
      <w:pPr>
        <w:tabs>
          <w:tab w:val="num" w:pos="6480"/>
        </w:tabs>
        <w:ind w:left="6480" w:hanging="360"/>
      </w:pPr>
      <w:rPr>
        <w:rFonts w:ascii="Wingdings 2" w:hAnsi="Wingdings 2" w:hint="default"/>
      </w:rPr>
    </w:lvl>
  </w:abstractNum>
  <w:abstractNum w:abstractNumId="6">
    <w:nsid w:val="220548E1"/>
    <w:multiLevelType w:val="hybridMultilevel"/>
    <w:tmpl w:val="ACE2E834"/>
    <w:lvl w:ilvl="0" w:tplc="142C5EBA">
      <w:start w:val="1"/>
      <w:numFmt w:val="upperLetter"/>
      <w:lvlText w:val="%1."/>
      <w:lvlJc w:val="left"/>
      <w:pPr>
        <w:ind w:left="36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7">
    <w:nsid w:val="26B359B1"/>
    <w:multiLevelType w:val="hybridMultilevel"/>
    <w:tmpl w:val="3BDE2800"/>
    <w:lvl w:ilvl="0" w:tplc="E7122B12">
      <w:start w:val="1"/>
      <w:numFmt w:val="decimal"/>
      <w:lvlText w:val="%1."/>
      <w:lvlJc w:val="left"/>
      <w:pPr>
        <w:ind w:left="1788"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7424802"/>
    <w:multiLevelType w:val="hybridMultilevel"/>
    <w:tmpl w:val="7FF44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B05D45"/>
    <w:multiLevelType w:val="hybridMultilevel"/>
    <w:tmpl w:val="FAD8B39E"/>
    <w:lvl w:ilvl="0" w:tplc="5A82B5FE">
      <w:start w:val="1"/>
      <w:numFmt w:val="bullet"/>
      <w:lvlText w:val=""/>
      <w:lvlJc w:val="left"/>
      <w:pPr>
        <w:tabs>
          <w:tab w:val="num" w:pos="720"/>
        </w:tabs>
        <w:ind w:left="720" w:hanging="360"/>
      </w:pPr>
      <w:rPr>
        <w:rFonts w:ascii="Wingdings 2" w:hAnsi="Wingdings 2" w:hint="default"/>
      </w:rPr>
    </w:lvl>
    <w:lvl w:ilvl="1" w:tplc="736A436A">
      <w:start w:val="537"/>
      <w:numFmt w:val="bullet"/>
      <w:lvlText w:val=""/>
      <w:lvlJc w:val="left"/>
      <w:pPr>
        <w:tabs>
          <w:tab w:val="num" w:pos="1440"/>
        </w:tabs>
        <w:ind w:left="1440" w:hanging="360"/>
      </w:pPr>
      <w:rPr>
        <w:rFonts w:ascii="Wingdings 2" w:hAnsi="Wingdings 2" w:hint="default"/>
      </w:rPr>
    </w:lvl>
    <w:lvl w:ilvl="2" w:tplc="9BFC7A78">
      <w:start w:val="1"/>
      <w:numFmt w:val="bullet"/>
      <w:lvlText w:val=""/>
      <w:lvlJc w:val="left"/>
      <w:pPr>
        <w:tabs>
          <w:tab w:val="num" w:pos="2160"/>
        </w:tabs>
        <w:ind w:left="2160" w:hanging="360"/>
      </w:pPr>
      <w:rPr>
        <w:rFonts w:ascii="Wingdings 2" w:hAnsi="Wingdings 2" w:hint="default"/>
      </w:rPr>
    </w:lvl>
    <w:lvl w:ilvl="3" w:tplc="B0DA3504" w:tentative="1">
      <w:start w:val="1"/>
      <w:numFmt w:val="bullet"/>
      <w:lvlText w:val=""/>
      <w:lvlJc w:val="left"/>
      <w:pPr>
        <w:tabs>
          <w:tab w:val="num" w:pos="2880"/>
        </w:tabs>
        <w:ind w:left="2880" w:hanging="360"/>
      </w:pPr>
      <w:rPr>
        <w:rFonts w:ascii="Wingdings 2" w:hAnsi="Wingdings 2" w:hint="default"/>
      </w:rPr>
    </w:lvl>
    <w:lvl w:ilvl="4" w:tplc="3FDC6310" w:tentative="1">
      <w:start w:val="1"/>
      <w:numFmt w:val="bullet"/>
      <w:lvlText w:val=""/>
      <w:lvlJc w:val="left"/>
      <w:pPr>
        <w:tabs>
          <w:tab w:val="num" w:pos="3600"/>
        </w:tabs>
        <w:ind w:left="3600" w:hanging="360"/>
      </w:pPr>
      <w:rPr>
        <w:rFonts w:ascii="Wingdings 2" w:hAnsi="Wingdings 2" w:hint="default"/>
      </w:rPr>
    </w:lvl>
    <w:lvl w:ilvl="5" w:tplc="E87EF08A" w:tentative="1">
      <w:start w:val="1"/>
      <w:numFmt w:val="bullet"/>
      <w:lvlText w:val=""/>
      <w:lvlJc w:val="left"/>
      <w:pPr>
        <w:tabs>
          <w:tab w:val="num" w:pos="4320"/>
        </w:tabs>
        <w:ind w:left="4320" w:hanging="360"/>
      </w:pPr>
      <w:rPr>
        <w:rFonts w:ascii="Wingdings 2" w:hAnsi="Wingdings 2" w:hint="default"/>
      </w:rPr>
    </w:lvl>
    <w:lvl w:ilvl="6" w:tplc="9EC43DCE" w:tentative="1">
      <w:start w:val="1"/>
      <w:numFmt w:val="bullet"/>
      <w:lvlText w:val=""/>
      <w:lvlJc w:val="left"/>
      <w:pPr>
        <w:tabs>
          <w:tab w:val="num" w:pos="5040"/>
        </w:tabs>
        <w:ind w:left="5040" w:hanging="360"/>
      </w:pPr>
      <w:rPr>
        <w:rFonts w:ascii="Wingdings 2" w:hAnsi="Wingdings 2" w:hint="default"/>
      </w:rPr>
    </w:lvl>
    <w:lvl w:ilvl="7" w:tplc="5284ECB4" w:tentative="1">
      <w:start w:val="1"/>
      <w:numFmt w:val="bullet"/>
      <w:lvlText w:val=""/>
      <w:lvlJc w:val="left"/>
      <w:pPr>
        <w:tabs>
          <w:tab w:val="num" w:pos="5760"/>
        </w:tabs>
        <w:ind w:left="5760" w:hanging="360"/>
      </w:pPr>
      <w:rPr>
        <w:rFonts w:ascii="Wingdings 2" w:hAnsi="Wingdings 2" w:hint="default"/>
      </w:rPr>
    </w:lvl>
    <w:lvl w:ilvl="8" w:tplc="4314C5C8" w:tentative="1">
      <w:start w:val="1"/>
      <w:numFmt w:val="bullet"/>
      <w:lvlText w:val=""/>
      <w:lvlJc w:val="left"/>
      <w:pPr>
        <w:tabs>
          <w:tab w:val="num" w:pos="6480"/>
        </w:tabs>
        <w:ind w:left="6480" w:hanging="360"/>
      </w:pPr>
      <w:rPr>
        <w:rFonts w:ascii="Wingdings 2" w:hAnsi="Wingdings 2" w:hint="default"/>
      </w:rPr>
    </w:lvl>
  </w:abstractNum>
  <w:abstractNum w:abstractNumId="10">
    <w:nsid w:val="2CFF6E6B"/>
    <w:multiLevelType w:val="hybridMultilevel"/>
    <w:tmpl w:val="C932F7B4"/>
    <w:lvl w:ilvl="0" w:tplc="91F4E0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5F4AD9"/>
    <w:multiLevelType w:val="hybridMultilevel"/>
    <w:tmpl w:val="859E92F6"/>
    <w:lvl w:ilvl="0" w:tplc="F074512A">
      <w:start w:val="1"/>
      <w:numFmt w:val="upperLetter"/>
      <w:lvlText w:val="%1."/>
      <w:lvlJc w:val="left"/>
      <w:pPr>
        <w:ind w:left="36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2">
    <w:nsid w:val="33784E02"/>
    <w:multiLevelType w:val="hybridMultilevel"/>
    <w:tmpl w:val="1A6CF7EE"/>
    <w:lvl w:ilvl="0" w:tplc="AAAE60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54C547A"/>
    <w:multiLevelType w:val="hybridMultilevel"/>
    <w:tmpl w:val="8CD8A7BC"/>
    <w:lvl w:ilvl="0" w:tplc="1A60238E">
      <w:start w:val="1"/>
      <w:numFmt w:val="upperLetter"/>
      <w:lvlText w:val="%1."/>
      <w:lvlJc w:val="left"/>
      <w:pPr>
        <w:ind w:left="36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4">
    <w:nsid w:val="3605207D"/>
    <w:multiLevelType w:val="hybridMultilevel"/>
    <w:tmpl w:val="15269748"/>
    <w:lvl w:ilvl="0" w:tplc="2916B628">
      <w:start w:val="1"/>
      <w:numFmt w:val="bullet"/>
      <w:lvlText w:val=""/>
      <w:lvlJc w:val="left"/>
      <w:pPr>
        <w:tabs>
          <w:tab w:val="num" w:pos="720"/>
        </w:tabs>
        <w:ind w:left="720" w:hanging="360"/>
      </w:pPr>
      <w:rPr>
        <w:rFonts w:ascii="Wingdings 2" w:hAnsi="Wingdings 2" w:hint="default"/>
      </w:rPr>
    </w:lvl>
    <w:lvl w:ilvl="1" w:tplc="A68CEA8C">
      <w:start w:val="1"/>
      <w:numFmt w:val="bullet"/>
      <w:lvlText w:val=""/>
      <w:lvlJc w:val="left"/>
      <w:pPr>
        <w:tabs>
          <w:tab w:val="num" w:pos="1440"/>
        </w:tabs>
        <w:ind w:left="1440" w:hanging="360"/>
      </w:pPr>
      <w:rPr>
        <w:rFonts w:ascii="Wingdings 2" w:hAnsi="Wingdings 2" w:hint="default"/>
      </w:rPr>
    </w:lvl>
    <w:lvl w:ilvl="2" w:tplc="B1AE0F94" w:tentative="1">
      <w:start w:val="1"/>
      <w:numFmt w:val="bullet"/>
      <w:lvlText w:val=""/>
      <w:lvlJc w:val="left"/>
      <w:pPr>
        <w:tabs>
          <w:tab w:val="num" w:pos="2160"/>
        </w:tabs>
        <w:ind w:left="2160" w:hanging="360"/>
      </w:pPr>
      <w:rPr>
        <w:rFonts w:ascii="Wingdings 2" w:hAnsi="Wingdings 2" w:hint="default"/>
      </w:rPr>
    </w:lvl>
    <w:lvl w:ilvl="3" w:tplc="F2FAE9DC" w:tentative="1">
      <w:start w:val="1"/>
      <w:numFmt w:val="bullet"/>
      <w:lvlText w:val=""/>
      <w:lvlJc w:val="left"/>
      <w:pPr>
        <w:tabs>
          <w:tab w:val="num" w:pos="2880"/>
        </w:tabs>
        <w:ind w:left="2880" w:hanging="360"/>
      </w:pPr>
      <w:rPr>
        <w:rFonts w:ascii="Wingdings 2" w:hAnsi="Wingdings 2" w:hint="default"/>
      </w:rPr>
    </w:lvl>
    <w:lvl w:ilvl="4" w:tplc="32381568" w:tentative="1">
      <w:start w:val="1"/>
      <w:numFmt w:val="bullet"/>
      <w:lvlText w:val=""/>
      <w:lvlJc w:val="left"/>
      <w:pPr>
        <w:tabs>
          <w:tab w:val="num" w:pos="3600"/>
        </w:tabs>
        <w:ind w:left="3600" w:hanging="360"/>
      </w:pPr>
      <w:rPr>
        <w:rFonts w:ascii="Wingdings 2" w:hAnsi="Wingdings 2" w:hint="default"/>
      </w:rPr>
    </w:lvl>
    <w:lvl w:ilvl="5" w:tplc="A9665826" w:tentative="1">
      <w:start w:val="1"/>
      <w:numFmt w:val="bullet"/>
      <w:lvlText w:val=""/>
      <w:lvlJc w:val="left"/>
      <w:pPr>
        <w:tabs>
          <w:tab w:val="num" w:pos="4320"/>
        </w:tabs>
        <w:ind w:left="4320" w:hanging="360"/>
      </w:pPr>
      <w:rPr>
        <w:rFonts w:ascii="Wingdings 2" w:hAnsi="Wingdings 2" w:hint="default"/>
      </w:rPr>
    </w:lvl>
    <w:lvl w:ilvl="6" w:tplc="1EB8EFF2" w:tentative="1">
      <w:start w:val="1"/>
      <w:numFmt w:val="bullet"/>
      <w:lvlText w:val=""/>
      <w:lvlJc w:val="left"/>
      <w:pPr>
        <w:tabs>
          <w:tab w:val="num" w:pos="5040"/>
        </w:tabs>
        <w:ind w:left="5040" w:hanging="360"/>
      </w:pPr>
      <w:rPr>
        <w:rFonts w:ascii="Wingdings 2" w:hAnsi="Wingdings 2" w:hint="default"/>
      </w:rPr>
    </w:lvl>
    <w:lvl w:ilvl="7" w:tplc="AEB03642" w:tentative="1">
      <w:start w:val="1"/>
      <w:numFmt w:val="bullet"/>
      <w:lvlText w:val=""/>
      <w:lvlJc w:val="left"/>
      <w:pPr>
        <w:tabs>
          <w:tab w:val="num" w:pos="5760"/>
        </w:tabs>
        <w:ind w:left="5760" w:hanging="360"/>
      </w:pPr>
      <w:rPr>
        <w:rFonts w:ascii="Wingdings 2" w:hAnsi="Wingdings 2" w:hint="default"/>
      </w:rPr>
    </w:lvl>
    <w:lvl w:ilvl="8" w:tplc="EE26E53C" w:tentative="1">
      <w:start w:val="1"/>
      <w:numFmt w:val="bullet"/>
      <w:lvlText w:val=""/>
      <w:lvlJc w:val="left"/>
      <w:pPr>
        <w:tabs>
          <w:tab w:val="num" w:pos="6480"/>
        </w:tabs>
        <w:ind w:left="6480" w:hanging="360"/>
      </w:pPr>
      <w:rPr>
        <w:rFonts w:ascii="Wingdings 2" w:hAnsi="Wingdings 2" w:hint="default"/>
      </w:rPr>
    </w:lvl>
  </w:abstractNum>
  <w:abstractNum w:abstractNumId="15">
    <w:nsid w:val="37BA2A3B"/>
    <w:multiLevelType w:val="hybridMultilevel"/>
    <w:tmpl w:val="9688593E"/>
    <w:lvl w:ilvl="0" w:tplc="0C0C98B2">
      <w:start w:val="1"/>
      <w:numFmt w:val="bullet"/>
      <w:lvlText w:val=""/>
      <w:lvlJc w:val="left"/>
      <w:pPr>
        <w:tabs>
          <w:tab w:val="num" w:pos="720"/>
        </w:tabs>
        <w:ind w:left="720" w:hanging="360"/>
      </w:pPr>
      <w:rPr>
        <w:rFonts w:ascii="Wingdings 2" w:hAnsi="Wingdings 2" w:hint="default"/>
      </w:rPr>
    </w:lvl>
    <w:lvl w:ilvl="1" w:tplc="85BC0AA8">
      <w:start w:val="720"/>
      <w:numFmt w:val="bullet"/>
      <w:lvlText w:val=""/>
      <w:lvlJc w:val="left"/>
      <w:pPr>
        <w:tabs>
          <w:tab w:val="num" w:pos="1440"/>
        </w:tabs>
        <w:ind w:left="1440" w:hanging="360"/>
      </w:pPr>
      <w:rPr>
        <w:rFonts w:ascii="Wingdings 2" w:hAnsi="Wingdings 2" w:hint="default"/>
      </w:rPr>
    </w:lvl>
    <w:lvl w:ilvl="2" w:tplc="276EFF8C">
      <w:start w:val="1"/>
      <w:numFmt w:val="bullet"/>
      <w:lvlText w:val=""/>
      <w:lvlJc w:val="left"/>
      <w:pPr>
        <w:tabs>
          <w:tab w:val="num" w:pos="2160"/>
        </w:tabs>
        <w:ind w:left="2160" w:hanging="360"/>
      </w:pPr>
      <w:rPr>
        <w:rFonts w:ascii="Wingdings 2" w:hAnsi="Wingdings 2" w:hint="default"/>
      </w:rPr>
    </w:lvl>
    <w:lvl w:ilvl="3" w:tplc="4E2409CE" w:tentative="1">
      <w:start w:val="1"/>
      <w:numFmt w:val="bullet"/>
      <w:lvlText w:val=""/>
      <w:lvlJc w:val="left"/>
      <w:pPr>
        <w:tabs>
          <w:tab w:val="num" w:pos="2880"/>
        </w:tabs>
        <w:ind w:left="2880" w:hanging="360"/>
      </w:pPr>
      <w:rPr>
        <w:rFonts w:ascii="Wingdings 2" w:hAnsi="Wingdings 2" w:hint="default"/>
      </w:rPr>
    </w:lvl>
    <w:lvl w:ilvl="4" w:tplc="9AA8BA5E" w:tentative="1">
      <w:start w:val="1"/>
      <w:numFmt w:val="bullet"/>
      <w:lvlText w:val=""/>
      <w:lvlJc w:val="left"/>
      <w:pPr>
        <w:tabs>
          <w:tab w:val="num" w:pos="3600"/>
        </w:tabs>
        <w:ind w:left="3600" w:hanging="360"/>
      </w:pPr>
      <w:rPr>
        <w:rFonts w:ascii="Wingdings 2" w:hAnsi="Wingdings 2" w:hint="default"/>
      </w:rPr>
    </w:lvl>
    <w:lvl w:ilvl="5" w:tplc="432696CC" w:tentative="1">
      <w:start w:val="1"/>
      <w:numFmt w:val="bullet"/>
      <w:lvlText w:val=""/>
      <w:lvlJc w:val="left"/>
      <w:pPr>
        <w:tabs>
          <w:tab w:val="num" w:pos="4320"/>
        </w:tabs>
        <w:ind w:left="4320" w:hanging="360"/>
      </w:pPr>
      <w:rPr>
        <w:rFonts w:ascii="Wingdings 2" w:hAnsi="Wingdings 2" w:hint="default"/>
      </w:rPr>
    </w:lvl>
    <w:lvl w:ilvl="6" w:tplc="A87E691C" w:tentative="1">
      <w:start w:val="1"/>
      <w:numFmt w:val="bullet"/>
      <w:lvlText w:val=""/>
      <w:lvlJc w:val="left"/>
      <w:pPr>
        <w:tabs>
          <w:tab w:val="num" w:pos="5040"/>
        </w:tabs>
        <w:ind w:left="5040" w:hanging="360"/>
      </w:pPr>
      <w:rPr>
        <w:rFonts w:ascii="Wingdings 2" w:hAnsi="Wingdings 2" w:hint="default"/>
      </w:rPr>
    </w:lvl>
    <w:lvl w:ilvl="7" w:tplc="B8F29714" w:tentative="1">
      <w:start w:val="1"/>
      <w:numFmt w:val="bullet"/>
      <w:lvlText w:val=""/>
      <w:lvlJc w:val="left"/>
      <w:pPr>
        <w:tabs>
          <w:tab w:val="num" w:pos="5760"/>
        </w:tabs>
        <w:ind w:left="5760" w:hanging="360"/>
      </w:pPr>
      <w:rPr>
        <w:rFonts w:ascii="Wingdings 2" w:hAnsi="Wingdings 2" w:hint="default"/>
      </w:rPr>
    </w:lvl>
    <w:lvl w:ilvl="8" w:tplc="6650AB18" w:tentative="1">
      <w:start w:val="1"/>
      <w:numFmt w:val="bullet"/>
      <w:lvlText w:val=""/>
      <w:lvlJc w:val="left"/>
      <w:pPr>
        <w:tabs>
          <w:tab w:val="num" w:pos="6480"/>
        </w:tabs>
        <w:ind w:left="6480" w:hanging="360"/>
      </w:pPr>
      <w:rPr>
        <w:rFonts w:ascii="Wingdings 2" w:hAnsi="Wingdings 2" w:hint="default"/>
      </w:rPr>
    </w:lvl>
  </w:abstractNum>
  <w:abstractNum w:abstractNumId="16">
    <w:nsid w:val="38183A91"/>
    <w:multiLevelType w:val="hybridMultilevel"/>
    <w:tmpl w:val="37D0B9F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Wingdings 2"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Wingdings 2"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Wingdings 2" w:hint="default"/>
      </w:rPr>
    </w:lvl>
    <w:lvl w:ilvl="8" w:tplc="04090005" w:tentative="1">
      <w:start w:val="1"/>
      <w:numFmt w:val="bullet"/>
      <w:lvlText w:val=""/>
      <w:lvlJc w:val="left"/>
      <w:pPr>
        <w:ind w:left="7248" w:hanging="360"/>
      </w:pPr>
      <w:rPr>
        <w:rFonts w:ascii="Wingdings" w:hAnsi="Wingdings" w:hint="default"/>
      </w:rPr>
    </w:lvl>
  </w:abstractNum>
  <w:abstractNum w:abstractNumId="17">
    <w:nsid w:val="44A66243"/>
    <w:multiLevelType w:val="hybridMultilevel"/>
    <w:tmpl w:val="CF2A281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4FCC150A"/>
    <w:multiLevelType w:val="hybridMultilevel"/>
    <w:tmpl w:val="2D1AA308"/>
    <w:lvl w:ilvl="0" w:tplc="1B723F78">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Wingdings 2"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2"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2"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F2435FB"/>
    <w:multiLevelType w:val="hybridMultilevel"/>
    <w:tmpl w:val="80A6D3D2"/>
    <w:lvl w:ilvl="0" w:tplc="905A60DE">
      <w:start w:val="1"/>
      <w:numFmt w:val="upperLetter"/>
      <w:pStyle w:val="Heading2"/>
      <w:lvlText w:val="%1."/>
      <w:lvlJc w:val="left"/>
      <w:pPr>
        <w:ind w:left="4046"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0">
    <w:nsid w:val="5F771B4F"/>
    <w:multiLevelType w:val="hybridMultilevel"/>
    <w:tmpl w:val="B094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053EE0"/>
    <w:multiLevelType w:val="hybridMultilevel"/>
    <w:tmpl w:val="60448078"/>
    <w:lvl w:ilvl="0" w:tplc="6CBA918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56C5F38">
      <w:start w:val="1"/>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230748"/>
    <w:multiLevelType w:val="hybridMultilevel"/>
    <w:tmpl w:val="B4862AB0"/>
    <w:lvl w:ilvl="0" w:tplc="E7122B1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nsid w:val="64B36A92"/>
    <w:multiLevelType w:val="hybridMultilevel"/>
    <w:tmpl w:val="7FCE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CF4F89"/>
    <w:multiLevelType w:val="hybridMultilevel"/>
    <w:tmpl w:val="26BEC77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6EE05254"/>
    <w:multiLevelType w:val="hybridMultilevel"/>
    <w:tmpl w:val="590213BA"/>
    <w:lvl w:ilvl="0" w:tplc="A4782662">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0838DC"/>
    <w:multiLevelType w:val="hybridMultilevel"/>
    <w:tmpl w:val="1088986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783318DB"/>
    <w:multiLevelType w:val="hybridMultilevel"/>
    <w:tmpl w:val="8F427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D6C723D"/>
    <w:multiLevelType w:val="hybridMultilevel"/>
    <w:tmpl w:val="BFB8A01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7F257BA2"/>
    <w:multiLevelType w:val="hybridMultilevel"/>
    <w:tmpl w:val="B3ECF510"/>
    <w:lvl w:ilvl="0" w:tplc="07081000">
      <w:start w:val="1"/>
      <w:numFmt w:val="upperLetter"/>
      <w:lvlText w:val="%1."/>
      <w:lvlJc w:val="left"/>
      <w:pPr>
        <w:ind w:left="36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num w:numId="1">
    <w:abstractNumId w:val="21"/>
  </w:num>
  <w:num w:numId="2">
    <w:abstractNumId w:val="5"/>
  </w:num>
  <w:num w:numId="3">
    <w:abstractNumId w:val="15"/>
  </w:num>
  <w:num w:numId="4">
    <w:abstractNumId w:val="9"/>
  </w:num>
  <w:num w:numId="5">
    <w:abstractNumId w:val="12"/>
  </w:num>
  <w:num w:numId="6">
    <w:abstractNumId w:val="10"/>
  </w:num>
  <w:num w:numId="7">
    <w:abstractNumId w:val="4"/>
  </w:num>
  <w:num w:numId="8">
    <w:abstractNumId w:val="2"/>
  </w:num>
  <w:num w:numId="9">
    <w:abstractNumId w:val="14"/>
  </w:num>
  <w:num w:numId="10">
    <w:abstractNumId w:val="11"/>
    <w:lvlOverride w:ilvl="0">
      <w:startOverride w:val="1"/>
    </w:lvlOverride>
  </w:num>
  <w:num w:numId="11">
    <w:abstractNumId w:val="11"/>
    <w:lvlOverride w:ilvl="0">
      <w:startOverride w:val="1"/>
    </w:lvlOverride>
  </w:num>
  <w:num w:numId="12">
    <w:abstractNumId w:val="0"/>
  </w:num>
  <w:num w:numId="13">
    <w:abstractNumId w:val="27"/>
  </w:num>
  <w:num w:numId="14">
    <w:abstractNumId w:val="11"/>
    <w:lvlOverride w:ilvl="0">
      <w:startOverride w:val="1"/>
    </w:lvlOverride>
  </w:num>
  <w:num w:numId="15">
    <w:abstractNumId w:val="20"/>
  </w:num>
  <w:num w:numId="16">
    <w:abstractNumId w:val="23"/>
  </w:num>
  <w:num w:numId="17">
    <w:abstractNumId w:val="8"/>
  </w:num>
  <w:num w:numId="18">
    <w:abstractNumId w:val="16"/>
  </w:num>
  <w:num w:numId="19">
    <w:abstractNumId w:val="18"/>
  </w:num>
  <w:num w:numId="20">
    <w:abstractNumId w:val="22"/>
  </w:num>
  <w:num w:numId="21">
    <w:abstractNumId w:val="7"/>
  </w:num>
  <w:num w:numId="22">
    <w:abstractNumId w:val="29"/>
    <w:lvlOverride w:ilvl="0">
      <w:startOverride w:val="1"/>
    </w:lvlOverride>
  </w:num>
  <w:num w:numId="23">
    <w:abstractNumId w:val="29"/>
    <w:lvlOverride w:ilvl="0">
      <w:startOverride w:val="2"/>
    </w:lvlOverride>
  </w:num>
  <w:num w:numId="24">
    <w:abstractNumId w:val="13"/>
    <w:lvlOverride w:ilvl="0">
      <w:startOverride w:val="1"/>
    </w:lvlOverride>
  </w:num>
  <w:num w:numId="25">
    <w:abstractNumId w:val="6"/>
    <w:lvlOverride w:ilvl="0">
      <w:startOverride w:val="1"/>
    </w:lvlOverride>
  </w:num>
  <w:num w:numId="26">
    <w:abstractNumId w:val="6"/>
    <w:lvlOverride w:ilvl="0">
      <w:startOverride w:val="2"/>
    </w:lvlOverride>
  </w:num>
  <w:num w:numId="27">
    <w:abstractNumId w:val="19"/>
  </w:num>
  <w:num w:numId="28">
    <w:abstractNumId w:val="19"/>
    <w:lvlOverride w:ilvl="0">
      <w:startOverride w:val="2"/>
    </w:lvlOverride>
  </w:num>
  <w:num w:numId="29">
    <w:abstractNumId w:val="25"/>
  </w:num>
  <w:num w:numId="30">
    <w:abstractNumId w:val="19"/>
    <w:lvlOverride w:ilvl="0">
      <w:startOverride w:val="6"/>
    </w:lvlOverride>
  </w:num>
  <w:num w:numId="31">
    <w:abstractNumId w:val="19"/>
    <w:lvlOverride w:ilvl="0">
      <w:startOverride w:val="2"/>
    </w:lvlOverride>
  </w:num>
  <w:num w:numId="32">
    <w:abstractNumId w:val="19"/>
    <w:lvlOverride w:ilvl="0">
      <w:startOverride w:val="3"/>
    </w:lvlOverride>
  </w:num>
  <w:num w:numId="33">
    <w:abstractNumId w:val="19"/>
    <w:lvlOverride w:ilvl="0">
      <w:startOverride w:val="1"/>
    </w:lvlOverride>
  </w:num>
  <w:num w:numId="34">
    <w:abstractNumId w:val="1"/>
  </w:num>
  <w:num w:numId="35">
    <w:abstractNumId w:val="17"/>
  </w:num>
  <w:num w:numId="36">
    <w:abstractNumId w:val="26"/>
  </w:num>
  <w:num w:numId="37">
    <w:abstractNumId w:val="24"/>
  </w:num>
  <w:num w:numId="38">
    <w:abstractNumId w:val="28"/>
  </w:num>
  <w:num w:numId="39">
    <w:abstractNumId w:val="3"/>
  </w:num>
  <w:num w:numId="40">
    <w:abstractNumId w:val="19"/>
    <w:lvlOverride w:ilvl="0">
      <w:startOverride w:val="2"/>
    </w:lvlOverride>
  </w:num>
  <w:num w:numId="41">
    <w:abstractNumId w:val="19"/>
    <w:lvlOverride w:ilvl="0">
      <w:startOverride w:val="2"/>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701"/>
  <w:doNotTrackMoves/>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
  <w:rsids>
    <w:rsidRoot w:val="00D57BDC"/>
    <w:rsid w:val="00035AD7"/>
    <w:rsid w:val="00043CCA"/>
    <w:rsid w:val="00087312"/>
    <w:rsid w:val="00100E1E"/>
    <w:rsid w:val="00130282"/>
    <w:rsid w:val="00191124"/>
    <w:rsid w:val="001F32F7"/>
    <w:rsid w:val="00246118"/>
    <w:rsid w:val="002B5716"/>
    <w:rsid w:val="002D3FEB"/>
    <w:rsid w:val="00344E15"/>
    <w:rsid w:val="00437C6A"/>
    <w:rsid w:val="004B3F74"/>
    <w:rsid w:val="004C19A5"/>
    <w:rsid w:val="004C2F35"/>
    <w:rsid w:val="005300BC"/>
    <w:rsid w:val="00552A79"/>
    <w:rsid w:val="00564D67"/>
    <w:rsid w:val="00587A7B"/>
    <w:rsid w:val="005A5E7D"/>
    <w:rsid w:val="00633E51"/>
    <w:rsid w:val="00640139"/>
    <w:rsid w:val="00672E96"/>
    <w:rsid w:val="006C1869"/>
    <w:rsid w:val="007538AA"/>
    <w:rsid w:val="007809A7"/>
    <w:rsid w:val="00793A6E"/>
    <w:rsid w:val="007A2099"/>
    <w:rsid w:val="00815B1D"/>
    <w:rsid w:val="00816D6E"/>
    <w:rsid w:val="00873F5E"/>
    <w:rsid w:val="00885659"/>
    <w:rsid w:val="008964A4"/>
    <w:rsid w:val="0095547C"/>
    <w:rsid w:val="009B1BB2"/>
    <w:rsid w:val="009B59BB"/>
    <w:rsid w:val="00A01D20"/>
    <w:rsid w:val="00A01EFF"/>
    <w:rsid w:val="00A020C4"/>
    <w:rsid w:val="00A226D8"/>
    <w:rsid w:val="00A9525B"/>
    <w:rsid w:val="00AB0E30"/>
    <w:rsid w:val="00B015EE"/>
    <w:rsid w:val="00B52B1D"/>
    <w:rsid w:val="00B60AFF"/>
    <w:rsid w:val="00B94D73"/>
    <w:rsid w:val="00BE4D98"/>
    <w:rsid w:val="00BE7185"/>
    <w:rsid w:val="00C43290"/>
    <w:rsid w:val="00CB3560"/>
    <w:rsid w:val="00CC331E"/>
    <w:rsid w:val="00CE1F1C"/>
    <w:rsid w:val="00D071C3"/>
    <w:rsid w:val="00D1783E"/>
    <w:rsid w:val="00D32F91"/>
    <w:rsid w:val="00D57BDC"/>
    <w:rsid w:val="00DA3BBD"/>
    <w:rsid w:val="00DD060E"/>
    <w:rsid w:val="00E03FB8"/>
    <w:rsid w:val="00E408B2"/>
    <w:rsid w:val="00E462B1"/>
    <w:rsid w:val="00E51E97"/>
    <w:rsid w:val="00E949C1"/>
    <w:rsid w:val="00ED5CEF"/>
    <w:rsid w:val="00F446A4"/>
    <w:rsid w:val="00FD1E6D"/>
  </w:rsids>
  <m:mathPr>
    <m:mathFont m:val="+mn-e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uiPriority="99"/>
    <w:lsdException w:name="No List" w:uiPriority="99"/>
    <w:lsdException w:name="Table Simple 1" w:uiPriority="99"/>
    <w:lsdException w:name="Table Grid" w:uiPriority="59"/>
    <w:lsdException w:name="No Spacing" w:qFormat="1"/>
    <w:lsdException w:name="List Paragraph" w:qFormat="1"/>
    <w:lsdException w:name="Quote" w:qFormat="1"/>
    <w:lsdException w:name="Intense Quote" w:qFormat="1"/>
    <w:lsdException w:name="Colorful List Accent 2" w:uiPriority="63"/>
    <w:lsdException w:name="Medium Grid 3 Accent 3" w:uiPriority="60"/>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00BC"/>
    <w:pPr>
      <w:spacing w:line="276" w:lineRule="auto"/>
      <w:ind w:firstLine="720"/>
      <w:jc w:val="both"/>
    </w:pPr>
    <w:rPr>
      <w:rFonts w:ascii="Times New Roman" w:hAnsi="Times New Roman"/>
      <w:sz w:val="24"/>
      <w:szCs w:val="22"/>
      <w:lang w:val="es-PR"/>
    </w:rPr>
  </w:style>
  <w:style w:type="paragraph" w:styleId="Heading1">
    <w:name w:val="heading 1"/>
    <w:basedOn w:val="Normal"/>
    <w:next w:val="Normal"/>
    <w:link w:val="Heading1Char"/>
    <w:qFormat/>
    <w:rsid w:val="005300BC"/>
    <w:pPr>
      <w:keepNext/>
      <w:keepLines/>
      <w:spacing w:before="100" w:beforeAutospacing="1" w:after="100" w:afterAutospacing="1" w:line="240" w:lineRule="auto"/>
      <w:ind w:firstLine="0"/>
      <w:jc w:val="left"/>
      <w:outlineLvl w:val="0"/>
    </w:pPr>
    <w:rPr>
      <w:rFonts w:eastAsia="Times New Roman"/>
      <w:b/>
      <w:bCs/>
      <w:color w:val="1F497D" w:themeColor="text2"/>
      <w:sz w:val="36"/>
      <w:szCs w:val="28"/>
    </w:rPr>
  </w:style>
  <w:style w:type="paragraph" w:styleId="Heading2">
    <w:name w:val="heading 2"/>
    <w:basedOn w:val="Normal"/>
    <w:next w:val="Normal"/>
    <w:link w:val="Heading2Char"/>
    <w:qFormat/>
    <w:rsid w:val="00816D6E"/>
    <w:pPr>
      <w:keepNext/>
      <w:keepLines/>
      <w:numPr>
        <w:numId w:val="27"/>
      </w:numPr>
      <w:spacing w:line="240" w:lineRule="auto"/>
      <w:jc w:val="left"/>
      <w:outlineLvl w:val="1"/>
    </w:pPr>
    <w:rPr>
      <w:rFonts w:eastAsia="Times New Roman"/>
      <w:b/>
      <w:bCs/>
      <w:color w:val="4F81BD" w:themeColor="accent1"/>
      <w:sz w:val="28"/>
      <w:szCs w:val="26"/>
    </w:rPr>
  </w:style>
  <w:style w:type="paragraph" w:styleId="Heading3">
    <w:name w:val="heading 3"/>
    <w:basedOn w:val="Normal"/>
    <w:next w:val="Normal"/>
    <w:link w:val="Heading3Char"/>
    <w:qFormat/>
    <w:rsid w:val="00176706"/>
    <w:pPr>
      <w:keepNext/>
      <w:keepLines/>
      <w:ind w:firstLine="0"/>
      <w:outlineLvl w:val="2"/>
    </w:pPr>
    <w:rPr>
      <w:rFonts w:eastAsia="Times New Roman"/>
      <w:b/>
      <w:bCs/>
      <w:i/>
      <w:szCs w:val="20"/>
    </w:rPr>
  </w:style>
  <w:style w:type="paragraph" w:styleId="Heading4">
    <w:name w:val="heading 4"/>
    <w:basedOn w:val="Normal"/>
    <w:next w:val="Normal"/>
    <w:link w:val="Heading4Char"/>
    <w:qFormat/>
    <w:rsid w:val="00331E52"/>
    <w:pPr>
      <w:keepNext/>
      <w:keepLines/>
      <w:spacing w:line="240" w:lineRule="auto"/>
      <w:ind w:firstLine="0"/>
      <w:jc w:val="left"/>
      <w:outlineLvl w:val="3"/>
    </w:pPr>
    <w:rPr>
      <w:rFonts w:eastAsia="Times New Roman"/>
      <w:b/>
      <w:bCs/>
      <w:i/>
      <w:iCs/>
      <w:szCs w:val="20"/>
    </w:rPr>
  </w:style>
  <w:style w:type="paragraph" w:styleId="Heading5">
    <w:name w:val="heading 5"/>
    <w:basedOn w:val="Normal"/>
    <w:next w:val="Normal"/>
    <w:link w:val="Heading5Char"/>
    <w:qFormat/>
    <w:rsid w:val="00331E52"/>
    <w:pPr>
      <w:keepNext/>
      <w:keepLines/>
      <w:spacing w:before="200"/>
      <w:outlineLvl w:val="4"/>
    </w:pPr>
    <w:rPr>
      <w:rFonts w:ascii="Cambria" w:eastAsia="Times New Roman" w:hAnsi="Cambria"/>
      <w:color w:val="243F6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lorfulList-Accent11">
    <w:name w:val="Colorful List - Accent 11"/>
    <w:basedOn w:val="Normal"/>
    <w:uiPriority w:val="34"/>
    <w:qFormat/>
    <w:rsid w:val="00D57BDC"/>
    <w:pPr>
      <w:ind w:left="720"/>
      <w:contextualSpacing/>
    </w:pPr>
  </w:style>
  <w:style w:type="paragraph" w:styleId="Header">
    <w:name w:val="header"/>
    <w:basedOn w:val="Normal"/>
    <w:link w:val="HeaderChar"/>
    <w:unhideWhenUsed/>
    <w:rsid w:val="00F652C1"/>
    <w:pPr>
      <w:tabs>
        <w:tab w:val="center" w:pos="4680"/>
        <w:tab w:val="right" w:pos="9360"/>
      </w:tabs>
      <w:spacing w:line="240" w:lineRule="auto"/>
    </w:pPr>
  </w:style>
  <w:style w:type="character" w:customStyle="1" w:styleId="HeaderChar">
    <w:name w:val="Header Char"/>
    <w:basedOn w:val="DefaultParagraphFont"/>
    <w:link w:val="Header"/>
    <w:rsid w:val="00F652C1"/>
  </w:style>
  <w:style w:type="paragraph" w:styleId="Footer">
    <w:name w:val="footer"/>
    <w:basedOn w:val="Normal"/>
    <w:link w:val="FooterChar"/>
    <w:uiPriority w:val="99"/>
    <w:unhideWhenUsed/>
    <w:rsid w:val="00F652C1"/>
    <w:pPr>
      <w:tabs>
        <w:tab w:val="center" w:pos="4680"/>
        <w:tab w:val="right" w:pos="9360"/>
      </w:tabs>
      <w:spacing w:line="240" w:lineRule="auto"/>
    </w:pPr>
  </w:style>
  <w:style w:type="character" w:customStyle="1" w:styleId="FooterChar">
    <w:name w:val="Footer Char"/>
    <w:basedOn w:val="DefaultParagraphFont"/>
    <w:link w:val="Footer"/>
    <w:uiPriority w:val="99"/>
    <w:rsid w:val="00F652C1"/>
  </w:style>
  <w:style w:type="table" w:styleId="TableGrid">
    <w:name w:val="Table Grid"/>
    <w:basedOn w:val="TableNormal"/>
    <w:uiPriority w:val="59"/>
    <w:rsid w:val="003655E6"/>
    <w:rPr>
      <w:rFonts w:eastAsia="Calibri"/>
      <w:lang w:val="es-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3655E6"/>
    <w:pPr>
      <w:spacing w:line="240" w:lineRule="auto"/>
    </w:pPr>
    <w:rPr>
      <w:rFonts w:ascii="Tahoma" w:hAnsi="Tahoma"/>
      <w:sz w:val="16"/>
      <w:szCs w:val="16"/>
    </w:rPr>
  </w:style>
  <w:style w:type="character" w:customStyle="1" w:styleId="BalloonTextChar">
    <w:name w:val="Balloon Text Char"/>
    <w:link w:val="BalloonText"/>
    <w:rsid w:val="003655E6"/>
    <w:rPr>
      <w:rFonts w:ascii="Tahoma" w:hAnsi="Tahoma" w:cs="Tahoma"/>
      <w:sz w:val="16"/>
      <w:szCs w:val="16"/>
    </w:rPr>
  </w:style>
  <w:style w:type="table" w:styleId="ColorfulList-Accent2">
    <w:name w:val="Colorful List Accent 2"/>
    <w:basedOn w:val="TableNormal"/>
    <w:uiPriority w:val="63"/>
    <w:rsid w:val="0031532F"/>
    <w:rPr>
      <w:rFonts w:eastAsia="Calibri"/>
      <w:lang w:val="es-P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FootnoteText">
    <w:name w:val="footnote text"/>
    <w:basedOn w:val="Normal"/>
    <w:link w:val="FootnoteTextChar"/>
    <w:unhideWhenUsed/>
    <w:rsid w:val="001639B8"/>
    <w:pPr>
      <w:spacing w:line="240" w:lineRule="auto"/>
    </w:pPr>
    <w:rPr>
      <w:rFonts w:ascii="Calibri" w:hAnsi="Calibri"/>
      <w:sz w:val="20"/>
      <w:szCs w:val="20"/>
    </w:rPr>
  </w:style>
  <w:style w:type="character" w:customStyle="1" w:styleId="FootnoteTextChar">
    <w:name w:val="Footnote Text Char"/>
    <w:link w:val="FootnoteText"/>
    <w:rsid w:val="001639B8"/>
    <w:rPr>
      <w:sz w:val="20"/>
      <w:szCs w:val="20"/>
    </w:rPr>
  </w:style>
  <w:style w:type="character" w:styleId="FootnoteReference">
    <w:name w:val="footnote reference"/>
    <w:unhideWhenUsed/>
    <w:rsid w:val="001639B8"/>
    <w:rPr>
      <w:vertAlign w:val="superscript"/>
    </w:rPr>
  </w:style>
  <w:style w:type="character" w:styleId="Hyperlink">
    <w:name w:val="Hyperlink"/>
    <w:uiPriority w:val="99"/>
    <w:unhideWhenUsed/>
    <w:rsid w:val="0034640C"/>
    <w:rPr>
      <w:color w:val="0000FF"/>
      <w:u w:val="single"/>
    </w:rPr>
  </w:style>
  <w:style w:type="character" w:customStyle="1" w:styleId="Heading1Char">
    <w:name w:val="Heading 1 Char"/>
    <w:link w:val="Heading1"/>
    <w:rsid w:val="005300BC"/>
    <w:rPr>
      <w:rFonts w:ascii="Times New Roman" w:eastAsia="Times New Roman" w:hAnsi="Times New Roman"/>
      <w:b/>
      <w:bCs/>
      <w:color w:val="1F497D" w:themeColor="text2"/>
      <w:sz w:val="36"/>
      <w:szCs w:val="28"/>
    </w:rPr>
  </w:style>
  <w:style w:type="paragraph" w:styleId="Title">
    <w:name w:val="Title"/>
    <w:basedOn w:val="Normal"/>
    <w:next w:val="Normal"/>
    <w:link w:val="TitleChar"/>
    <w:qFormat/>
    <w:rsid w:val="00BD682C"/>
    <w:pPr>
      <w:pBdr>
        <w:bottom w:val="single" w:sz="8" w:space="4" w:color="4F81BD"/>
      </w:pBdr>
      <w:spacing w:after="300" w:line="240" w:lineRule="auto"/>
      <w:contextualSpacing/>
    </w:pPr>
    <w:rPr>
      <w:rFonts w:eastAsia="Times New Roman"/>
      <w:color w:val="17365D"/>
      <w:spacing w:val="5"/>
      <w:kern w:val="28"/>
      <w:sz w:val="32"/>
      <w:szCs w:val="52"/>
    </w:rPr>
  </w:style>
  <w:style w:type="character" w:customStyle="1" w:styleId="TitleChar">
    <w:name w:val="Title Char"/>
    <w:link w:val="Title"/>
    <w:rsid w:val="00BD682C"/>
    <w:rPr>
      <w:rFonts w:ascii="Times New Roman" w:eastAsia="Times New Roman" w:hAnsi="Times New Roman" w:cs="Times New Roman"/>
      <w:color w:val="17365D"/>
      <w:spacing w:val="5"/>
      <w:kern w:val="28"/>
      <w:sz w:val="32"/>
      <w:szCs w:val="52"/>
    </w:rPr>
  </w:style>
  <w:style w:type="character" w:customStyle="1" w:styleId="Heading2Char">
    <w:name w:val="Heading 2 Char"/>
    <w:link w:val="Heading2"/>
    <w:rsid w:val="00816D6E"/>
    <w:rPr>
      <w:rFonts w:ascii="Times New Roman" w:eastAsia="Times New Roman" w:hAnsi="Times New Roman"/>
      <w:b/>
      <w:bCs/>
      <w:color w:val="4F81BD" w:themeColor="accent1"/>
      <w:sz w:val="28"/>
      <w:szCs w:val="26"/>
      <w:lang w:val="es-PR"/>
    </w:rPr>
  </w:style>
  <w:style w:type="character" w:customStyle="1" w:styleId="Heading3Char">
    <w:name w:val="Heading 3 Char"/>
    <w:link w:val="Heading3"/>
    <w:rsid w:val="00176706"/>
    <w:rPr>
      <w:rFonts w:ascii="Times New Roman" w:eastAsia="Times New Roman" w:hAnsi="Times New Roman" w:cs="Times New Roman"/>
      <w:b/>
      <w:bCs/>
      <w:i/>
      <w:sz w:val="24"/>
      <w:lang w:val="es-PR"/>
    </w:rPr>
  </w:style>
  <w:style w:type="numbering" w:customStyle="1" w:styleId="NoList1">
    <w:name w:val="No List1"/>
    <w:next w:val="NoList"/>
    <w:semiHidden/>
    <w:unhideWhenUsed/>
    <w:rsid w:val="004E58D5"/>
  </w:style>
  <w:style w:type="paragraph" w:styleId="BodyText2">
    <w:name w:val="Body Text 2"/>
    <w:basedOn w:val="Normal"/>
    <w:link w:val="BodyText2Char"/>
    <w:rsid w:val="004E58D5"/>
    <w:pPr>
      <w:widowControl w:val="0"/>
      <w:autoSpaceDE w:val="0"/>
      <w:autoSpaceDN w:val="0"/>
      <w:spacing w:after="120" w:line="240" w:lineRule="auto"/>
      <w:ind w:left="360" w:firstLine="0"/>
      <w:jc w:val="left"/>
    </w:pPr>
    <w:rPr>
      <w:rFonts w:ascii="Garamond" w:eastAsia="Times New Roman" w:hAnsi="Garamond"/>
      <w:sz w:val="20"/>
      <w:szCs w:val="20"/>
    </w:rPr>
  </w:style>
  <w:style w:type="character" w:customStyle="1" w:styleId="BodyText2Char">
    <w:name w:val="Body Text 2 Char"/>
    <w:link w:val="BodyText2"/>
    <w:rsid w:val="004E58D5"/>
    <w:rPr>
      <w:rFonts w:ascii="Garamond" w:eastAsia="Times New Roman" w:hAnsi="Garamond" w:cs="Times New Roman"/>
      <w:sz w:val="20"/>
      <w:szCs w:val="20"/>
    </w:rPr>
  </w:style>
  <w:style w:type="paragraph" w:styleId="TOAHeading">
    <w:name w:val="toa heading"/>
    <w:basedOn w:val="Normal"/>
    <w:next w:val="Normal"/>
    <w:rsid w:val="004E58D5"/>
    <w:pPr>
      <w:widowControl w:val="0"/>
      <w:autoSpaceDE w:val="0"/>
      <w:autoSpaceDN w:val="0"/>
      <w:spacing w:before="120" w:line="240" w:lineRule="auto"/>
      <w:ind w:firstLine="0"/>
      <w:jc w:val="left"/>
    </w:pPr>
    <w:rPr>
      <w:rFonts w:ascii="Arial" w:eastAsia="Times New Roman" w:hAnsi="Arial" w:cs="Arial"/>
      <w:b/>
      <w:bCs/>
      <w:szCs w:val="24"/>
    </w:rPr>
  </w:style>
  <w:style w:type="character" w:customStyle="1" w:styleId="footnotetex">
    <w:name w:val="footnote tex"/>
    <w:rsid w:val="004E58D5"/>
    <w:rPr>
      <w:rFonts w:ascii="Times New Roman" w:hAnsi="Times New Roman"/>
    </w:rPr>
  </w:style>
  <w:style w:type="paragraph" w:styleId="Index8">
    <w:name w:val="index 8"/>
    <w:basedOn w:val="Normal"/>
    <w:next w:val="Normal"/>
    <w:autoRedefine/>
    <w:rsid w:val="004E58D5"/>
    <w:pPr>
      <w:widowControl w:val="0"/>
      <w:autoSpaceDE w:val="0"/>
      <w:autoSpaceDN w:val="0"/>
      <w:spacing w:line="240" w:lineRule="auto"/>
      <w:ind w:left="1600" w:hanging="200"/>
      <w:jc w:val="left"/>
    </w:pPr>
    <w:rPr>
      <w:rFonts w:ascii="Garamond" w:eastAsia="Times New Roman" w:hAnsi="Garamond" w:cs="Garamond"/>
      <w:sz w:val="20"/>
      <w:szCs w:val="20"/>
    </w:rPr>
  </w:style>
  <w:style w:type="paragraph" w:styleId="MacroText">
    <w:name w:val="macro"/>
    <w:link w:val="MacroTextChar"/>
    <w:rsid w:val="004E58D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eastAsia="Times New Roman" w:hAnsi="Courier New" w:cs="Courier New"/>
      <w:lang w:val="es-ES_tradnl"/>
    </w:rPr>
  </w:style>
  <w:style w:type="character" w:customStyle="1" w:styleId="MacroTextChar">
    <w:name w:val="Macro Text Char"/>
    <w:link w:val="MacroText"/>
    <w:rsid w:val="004E58D5"/>
    <w:rPr>
      <w:rFonts w:ascii="Courier New" w:eastAsia="Times New Roman" w:hAnsi="Courier New" w:cs="Courier New"/>
      <w:lang w:val="es-ES_tradnl" w:eastAsia="en-US" w:bidi="ar-SA"/>
    </w:rPr>
  </w:style>
  <w:style w:type="paragraph" w:styleId="PlainText">
    <w:name w:val="Plain Text"/>
    <w:basedOn w:val="Normal"/>
    <w:link w:val="PlainTextChar"/>
    <w:rsid w:val="004E58D5"/>
    <w:pPr>
      <w:widowControl w:val="0"/>
      <w:autoSpaceDE w:val="0"/>
      <w:autoSpaceDN w:val="0"/>
      <w:spacing w:line="240" w:lineRule="auto"/>
      <w:ind w:firstLine="0"/>
      <w:jc w:val="left"/>
    </w:pPr>
    <w:rPr>
      <w:rFonts w:ascii="Courier New" w:eastAsia="Times New Roman" w:hAnsi="Courier New"/>
      <w:sz w:val="20"/>
      <w:szCs w:val="20"/>
    </w:rPr>
  </w:style>
  <w:style w:type="character" w:customStyle="1" w:styleId="PlainTextChar">
    <w:name w:val="Plain Text Char"/>
    <w:link w:val="PlainText"/>
    <w:rsid w:val="004E58D5"/>
    <w:rPr>
      <w:rFonts w:ascii="Courier New" w:eastAsia="Times New Roman" w:hAnsi="Courier New" w:cs="Times New Roman"/>
      <w:sz w:val="20"/>
      <w:szCs w:val="20"/>
    </w:rPr>
  </w:style>
  <w:style w:type="character" w:styleId="PageNumber">
    <w:name w:val="page number"/>
    <w:rsid w:val="004E58D5"/>
    <w:rPr>
      <w:rFonts w:cs="Times New Roman"/>
    </w:rPr>
  </w:style>
  <w:style w:type="paragraph" w:styleId="EndnoteText">
    <w:name w:val="endnote text"/>
    <w:basedOn w:val="Normal"/>
    <w:link w:val="EndnoteTextChar"/>
    <w:rsid w:val="004E58D5"/>
    <w:pPr>
      <w:widowControl w:val="0"/>
      <w:autoSpaceDE w:val="0"/>
      <w:autoSpaceDN w:val="0"/>
      <w:spacing w:line="240" w:lineRule="auto"/>
      <w:ind w:firstLine="0"/>
      <w:jc w:val="left"/>
    </w:pPr>
    <w:rPr>
      <w:rFonts w:ascii="Garamond" w:eastAsia="Times New Roman" w:hAnsi="Garamond"/>
      <w:sz w:val="20"/>
      <w:szCs w:val="20"/>
    </w:rPr>
  </w:style>
  <w:style w:type="character" w:customStyle="1" w:styleId="EndnoteTextChar">
    <w:name w:val="Endnote Text Char"/>
    <w:link w:val="EndnoteText"/>
    <w:rsid w:val="004E58D5"/>
    <w:rPr>
      <w:rFonts w:ascii="Garamond" w:eastAsia="Times New Roman" w:hAnsi="Garamond" w:cs="Times New Roman"/>
      <w:sz w:val="20"/>
      <w:szCs w:val="20"/>
    </w:rPr>
  </w:style>
  <w:style w:type="character" w:styleId="EndnoteReference">
    <w:name w:val="endnote reference"/>
    <w:rsid w:val="004E58D5"/>
    <w:rPr>
      <w:rFonts w:cs="Times New Roman"/>
      <w:vertAlign w:val="superscript"/>
    </w:rPr>
  </w:style>
  <w:style w:type="character" w:styleId="CommentReference">
    <w:name w:val="annotation reference"/>
    <w:unhideWhenUsed/>
    <w:rsid w:val="004E58D5"/>
    <w:rPr>
      <w:sz w:val="18"/>
      <w:szCs w:val="18"/>
    </w:rPr>
  </w:style>
  <w:style w:type="paragraph" w:styleId="CommentText">
    <w:name w:val="annotation text"/>
    <w:basedOn w:val="Normal"/>
    <w:link w:val="CommentTextChar"/>
    <w:unhideWhenUsed/>
    <w:rsid w:val="004E58D5"/>
    <w:pPr>
      <w:widowControl w:val="0"/>
      <w:autoSpaceDE w:val="0"/>
      <w:autoSpaceDN w:val="0"/>
      <w:spacing w:line="240" w:lineRule="auto"/>
      <w:ind w:firstLine="0"/>
      <w:jc w:val="left"/>
    </w:pPr>
    <w:rPr>
      <w:rFonts w:ascii="Garamond" w:eastAsia="Times New Roman" w:hAnsi="Garamond"/>
      <w:szCs w:val="24"/>
    </w:rPr>
  </w:style>
  <w:style w:type="character" w:customStyle="1" w:styleId="CommentTextChar">
    <w:name w:val="Comment Text Char"/>
    <w:link w:val="CommentText"/>
    <w:rsid w:val="004E58D5"/>
    <w:rPr>
      <w:rFonts w:ascii="Garamond" w:eastAsia="Times New Roman" w:hAnsi="Garamond" w:cs="Times New Roman"/>
      <w:sz w:val="24"/>
      <w:szCs w:val="24"/>
    </w:rPr>
  </w:style>
  <w:style w:type="paragraph" w:styleId="CommentSubject">
    <w:name w:val="annotation subject"/>
    <w:basedOn w:val="CommentText"/>
    <w:next w:val="CommentText"/>
    <w:link w:val="CommentSubjectChar"/>
    <w:semiHidden/>
    <w:unhideWhenUsed/>
    <w:rsid w:val="004E58D5"/>
    <w:rPr>
      <w:b/>
      <w:bCs/>
      <w:sz w:val="20"/>
      <w:szCs w:val="20"/>
    </w:rPr>
  </w:style>
  <w:style w:type="character" w:customStyle="1" w:styleId="CommentSubjectChar">
    <w:name w:val="Comment Subject Char"/>
    <w:link w:val="CommentSubject"/>
    <w:semiHidden/>
    <w:rsid w:val="004E58D5"/>
    <w:rPr>
      <w:rFonts w:ascii="Garamond" w:eastAsia="Times New Roman" w:hAnsi="Garamond" w:cs="Times New Roman"/>
      <w:b/>
      <w:bCs/>
      <w:sz w:val="20"/>
      <w:szCs w:val="20"/>
    </w:rPr>
  </w:style>
  <w:style w:type="character" w:styleId="FollowedHyperlink">
    <w:name w:val="FollowedHyperlink"/>
    <w:rsid w:val="004E58D5"/>
    <w:rPr>
      <w:color w:val="800080"/>
      <w:u w:val="single"/>
    </w:rPr>
  </w:style>
  <w:style w:type="character" w:customStyle="1" w:styleId="bxgy-binding-byline">
    <w:name w:val="bxgy-binding-byline"/>
    <w:basedOn w:val="DefaultParagraphFont"/>
    <w:rsid w:val="004E58D5"/>
  </w:style>
  <w:style w:type="character" w:customStyle="1" w:styleId="bxgy-byline-text">
    <w:name w:val="bxgy-byline-text"/>
    <w:basedOn w:val="DefaultParagraphFont"/>
    <w:rsid w:val="004E58D5"/>
  </w:style>
  <w:style w:type="numbering" w:customStyle="1" w:styleId="NoList2">
    <w:name w:val="No List2"/>
    <w:next w:val="NoList"/>
    <w:uiPriority w:val="99"/>
    <w:semiHidden/>
    <w:unhideWhenUsed/>
    <w:rsid w:val="003A21B9"/>
  </w:style>
  <w:style w:type="character" w:customStyle="1" w:styleId="ListLabel1">
    <w:name w:val="ListLabel 1"/>
    <w:rsid w:val="003A21B9"/>
    <w:rPr>
      <w:rFonts w:cs="Courier New"/>
    </w:rPr>
  </w:style>
  <w:style w:type="paragraph" w:customStyle="1" w:styleId="Encabezado">
    <w:name w:val="Encabezado"/>
    <w:basedOn w:val="Normal"/>
    <w:next w:val="BodyText"/>
    <w:rsid w:val="003A21B9"/>
    <w:pPr>
      <w:keepNext/>
      <w:suppressAutoHyphens/>
      <w:spacing w:before="240" w:after="120"/>
      <w:ind w:firstLine="706"/>
    </w:pPr>
    <w:rPr>
      <w:rFonts w:ascii="Arial" w:eastAsia="Microsoft YaHei" w:hAnsi="Arial" w:cs="Mangal"/>
      <w:kern w:val="1"/>
      <w:sz w:val="28"/>
      <w:szCs w:val="28"/>
      <w:lang w:eastAsia="ar-SA"/>
    </w:rPr>
  </w:style>
  <w:style w:type="paragraph" w:styleId="BodyText">
    <w:name w:val="Body Text"/>
    <w:basedOn w:val="Normal"/>
    <w:link w:val="BodyTextChar"/>
    <w:rsid w:val="003A21B9"/>
    <w:pPr>
      <w:suppressAutoHyphens/>
      <w:spacing w:after="120"/>
      <w:ind w:firstLine="706"/>
    </w:pPr>
    <w:rPr>
      <w:rFonts w:eastAsia="SimSun"/>
      <w:kern w:val="1"/>
      <w:szCs w:val="20"/>
      <w:lang w:eastAsia="ar-SA"/>
    </w:rPr>
  </w:style>
  <w:style w:type="character" w:customStyle="1" w:styleId="BodyTextChar">
    <w:name w:val="Body Text Char"/>
    <w:link w:val="BodyText"/>
    <w:rsid w:val="003A21B9"/>
    <w:rPr>
      <w:rFonts w:ascii="Times New Roman" w:eastAsia="SimSun" w:hAnsi="Times New Roman" w:cs="Calibri"/>
      <w:kern w:val="1"/>
      <w:sz w:val="24"/>
      <w:lang w:val="es-PR" w:eastAsia="ar-SA"/>
    </w:rPr>
  </w:style>
  <w:style w:type="paragraph" w:styleId="List">
    <w:name w:val="List"/>
    <w:basedOn w:val="BodyText"/>
    <w:rsid w:val="003A21B9"/>
    <w:rPr>
      <w:rFonts w:cs="Mangal"/>
    </w:rPr>
  </w:style>
  <w:style w:type="paragraph" w:customStyle="1" w:styleId="Etiqueta">
    <w:name w:val="Etiqueta"/>
    <w:basedOn w:val="Normal"/>
    <w:rsid w:val="003A21B9"/>
    <w:pPr>
      <w:suppressLineNumbers/>
      <w:suppressAutoHyphens/>
      <w:spacing w:before="120" w:after="120"/>
      <w:ind w:firstLine="706"/>
    </w:pPr>
    <w:rPr>
      <w:rFonts w:eastAsia="SimSun" w:cs="Mangal"/>
      <w:i/>
      <w:iCs/>
      <w:kern w:val="1"/>
      <w:szCs w:val="24"/>
      <w:lang w:eastAsia="ar-SA"/>
    </w:rPr>
  </w:style>
  <w:style w:type="paragraph" w:customStyle="1" w:styleId="ndice">
    <w:name w:val="Índice"/>
    <w:basedOn w:val="Normal"/>
    <w:rsid w:val="003A21B9"/>
    <w:pPr>
      <w:suppressLineNumbers/>
      <w:suppressAutoHyphens/>
      <w:ind w:firstLine="706"/>
    </w:pPr>
    <w:rPr>
      <w:rFonts w:eastAsia="SimSun" w:cs="Mangal"/>
      <w:kern w:val="1"/>
      <w:lang w:eastAsia="ar-SA"/>
    </w:rPr>
  </w:style>
  <w:style w:type="paragraph" w:styleId="NormalWeb">
    <w:name w:val="Normal (Web)"/>
    <w:basedOn w:val="Normal"/>
    <w:rsid w:val="003A21B9"/>
    <w:pPr>
      <w:suppressAutoHyphens/>
      <w:spacing w:before="28" w:after="100" w:line="100" w:lineRule="atLeast"/>
      <w:ind w:firstLine="706"/>
    </w:pPr>
    <w:rPr>
      <w:rFonts w:eastAsia="Times New Roman"/>
      <w:kern w:val="1"/>
      <w:szCs w:val="24"/>
      <w:lang w:eastAsia="ar-SA"/>
    </w:rPr>
  </w:style>
  <w:style w:type="paragraph" w:customStyle="1" w:styleId="ColorfulGrid-Accent11">
    <w:name w:val="Colorful Grid - Accent 11"/>
    <w:basedOn w:val="Normal"/>
    <w:next w:val="Normal"/>
    <w:link w:val="ColorfulGrid-Accent1Char"/>
    <w:uiPriority w:val="29"/>
    <w:qFormat/>
    <w:rsid w:val="003A21B9"/>
    <w:pPr>
      <w:suppressAutoHyphens/>
      <w:ind w:firstLine="706"/>
    </w:pPr>
    <w:rPr>
      <w:rFonts w:eastAsia="SimSun"/>
      <w:i/>
      <w:iCs/>
      <w:color w:val="000000"/>
      <w:kern w:val="1"/>
      <w:szCs w:val="20"/>
      <w:lang w:eastAsia="ar-SA"/>
    </w:rPr>
  </w:style>
  <w:style w:type="character" w:customStyle="1" w:styleId="ColorfulGrid-Accent1Char">
    <w:name w:val="Colorful Grid - Accent 1 Char"/>
    <w:link w:val="ColorfulGrid-Accent11"/>
    <w:uiPriority w:val="29"/>
    <w:rsid w:val="003A21B9"/>
    <w:rPr>
      <w:rFonts w:ascii="Times New Roman" w:eastAsia="SimSun" w:hAnsi="Times New Roman" w:cs="Calibri"/>
      <w:i/>
      <w:iCs/>
      <w:color w:val="000000"/>
      <w:kern w:val="1"/>
      <w:sz w:val="24"/>
      <w:lang w:val="es-PR" w:eastAsia="ar-SA"/>
    </w:rPr>
  </w:style>
  <w:style w:type="table" w:styleId="MediumGrid3-Accent3">
    <w:name w:val="Medium Grid 3 Accent 3"/>
    <w:basedOn w:val="TableNormal"/>
    <w:uiPriority w:val="60"/>
    <w:rsid w:val="003A21B9"/>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tyle1">
    <w:name w:val="Style1"/>
    <w:basedOn w:val="TableSimple1"/>
    <w:uiPriority w:val="99"/>
    <w:qFormat/>
    <w:rsid w:val="003A21B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3A21B9"/>
    <w:pPr>
      <w:suppressAutoHyphens/>
      <w:spacing w:line="480" w:lineRule="auto"/>
      <w:ind w:firstLine="706"/>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olorfulShading-Accent11">
    <w:name w:val="Colorful Shading - Accent 11"/>
    <w:hidden/>
    <w:uiPriority w:val="99"/>
    <w:semiHidden/>
    <w:rsid w:val="003A21B9"/>
    <w:rPr>
      <w:rFonts w:ascii="Times New Roman" w:eastAsia="SimSun" w:hAnsi="Times New Roman" w:cs="Calibri"/>
      <w:kern w:val="1"/>
      <w:sz w:val="24"/>
      <w:szCs w:val="22"/>
      <w:lang w:val="es-PR" w:eastAsia="ar-SA"/>
    </w:rPr>
  </w:style>
  <w:style w:type="character" w:customStyle="1" w:styleId="MediumGrid11">
    <w:name w:val="Medium Grid 11"/>
    <w:uiPriority w:val="99"/>
    <w:semiHidden/>
    <w:rsid w:val="003A21B9"/>
    <w:rPr>
      <w:color w:val="808080"/>
    </w:rPr>
  </w:style>
  <w:style w:type="character" w:customStyle="1" w:styleId="BookTitle1">
    <w:name w:val="Book Title1"/>
    <w:qFormat/>
    <w:rsid w:val="003A21B9"/>
    <w:rPr>
      <w:b/>
      <w:bCs/>
      <w:smallCaps/>
      <w:spacing w:val="5"/>
    </w:rPr>
  </w:style>
  <w:style w:type="paragraph" w:customStyle="1" w:styleId="MediumGrid21">
    <w:name w:val="Medium Grid 21"/>
    <w:link w:val="MediumGrid2Char"/>
    <w:qFormat/>
    <w:rsid w:val="003A21B9"/>
    <w:pPr>
      <w:suppressAutoHyphens/>
      <w:ind w:firstLine="706"/>
      <w:jc w:val="both"/>
    </w:pPr>
    <w:rPr>
      <w:rFonts w:ascii="Times New Roman" w:eastAsia="SimSun" w:hAnsi="Times New Roman"/>
      <w:kern w:val="1"/>
      <w:sz w:val="24"/>
      <w:lang w:val="es-PR" w:eastAsia="ar-SA"/>
    </w:rPr>
  </w:style>
  <w:style w:type="paragraph" w:styleId="Subtitle">
    <w:name w:val="Subtitle"/>
    <w:basedOn w:val="Normal"/>
    <w:next w:val="Normal"/>
    <w:link w:val="SubtitleChar"/>
    <w:qFormat/>
    <w:rsid w:val="002A4568"/>
    <w:pPr>
      <w:numPr>
        <w:ilvl w:val="1"/>
      </w:numPr>
      <w:suppressAutoHyphens/>
      <w:spacing w:line="240" w:lineRule="auto"/>
      <w:ind w:firstLine="720"/>
      <w:jc w:val="left"/>
    </w:pPr>
    <w:rPr>
      <w:rFonts w:eastAsia="Times New Roman"/>
      <w:b/>
      <w:iCs/>
      <w:color w:val="7F7F7F"/>
      <w:spacing w:val="15"/>
      <w:kern w:val="1"/>
      <w:sz w:val="32"/>
      <w:szCs w:val="24"/>
      <w:lang w:eastAsia="ar-SA"/>
    </w:rPr>
  </w:style>
  <w:style w:type="character" w:customStyle="1" w:styleId="SubtitleChar">
    <w:name w:val="Subtitle Char"/>
    <w:link w:val="Subtitle"/>
    <w:rsid w:val="002A4568"/>
    <w:rPr>
      <w:rFonts w:ascii="Times New Roman" w:eastAsia="Times New Roman" w:hAnsi="Times New Roman" w:cs="Times New Roman"/>
      <w:b/>
      <w:iCs/>
      <w:color w:val="7F7F7F"/>
      <w:spacing w:val="15"/>
      <w:kern w:val="1"/>
      <w:sz w:val="32"/>
      <w:szCs w:val="24"/>
      <w:lang w:val="es-PR" w:eastAsia="ar-SA"/>
    </w:rPr>
  </w:style>
  <w:style w:type="paragraph" w:customStyle="1" w:styleId="Bibliography1">
    <w:name w:val="Bibliography1"/>
    <w:basedOn w:val="Normal"/>
    <w:next w:val="Normal"/>
    <w:unhideWhenUsed/>
    <w:rsid w:val="003A21B9"/>
    <w:pPr>
      <w:suppressAutoHyphens/>
      <w:ind w:firstLine="706"/>
    </w:pPr>
    <w:rPr>
      <w:rFonts w:eastAsia="SimSun" w:cs="Calibri"/>
      <w:kern w:val="1"/>
      <w:lang w:eastAsia="ar-SA"/>
    </w:rPr>
  </w:style>
  <w:style w:type="character" w:customStyle="1" w:styleId="apple-converted-space">
    <w:name w:val="apple-converted-space"/>
    <w:basedOn w:val="DefaultParagraphFont"/>
    <w:rsid w:val="003A21B9"/>
  </w:style>
  <w:style w:type="character" w:customStyle="1" w:styleId="Heading4Char">
    <w:name w:val="Heading 4 Char"/>
    <w:link w:val="Heading4"/>
    <w:rsid w:val="00331E52"/>
    <w:rPr>
      <w:rFonts w:ascii="Times New Roman" w:eastAsia="Times New Roman" w:hAnsi="Times New Roman" w:cs="Times New Roman"/>
      <w:b/>
      <w:bCs/>
      <w:i/>
      <w:iCs/>
      <w:sz w:val="24"/>
    </w:rPr>
  </w:style>
  <w:style w:type="numbering" w:customStyle="1" w:styleId="NoList3">
    <w:name w:val="No List3"/>
    <w:next w:val="NoList"/>
    <w:uiPriority w:val="99"/>
    <w:semiHidden/>
    <w:unhideWhenUsed/>
    <w:rsid w:val="00851652"/>
  </w:style>
  <w:style w:type="paragraph" w:styleId="ListBullet">
    <w:name w:val="List Bullet"/>
    <w:basedOn w:val="Normal"/>
    <w:unhideWhenUsed/>
    <w:rsid w:val="00851652"/>
    <w:pPr>
      <w:numPr>
        <w:numId w:val="12"/>
      </w:numPr>
      <w:tabs>
        <w:tab w:val="clear" w:pos="360"/>
      </w:tabs>
      <w:spacing w:line="240" w:lineRule="auto"/>
      <w:ind w:left="1080" w:hanging="720"/>
      <w:contextualSpacing/>
      <w:jc w:val="left"/>
    </w:pPr>
    <w:rPr>
      <w:rFonts w:ascii="Cambria" w:eastAsia="Cambria" w:hAnsi="Cambria"/>
      <w:szCs w:val="24"/>
    </w:rPr>
  </w:style>
  <w:style w:type="paragraph" w:styleId="z-TopofForm">
    <w:name w:val="HTML Top of Form"/>
    <w:basedOn w:val="Normal"/>
    <w:link w:val="z-TopofFormChar"/>
    <w:rsid w:val="00851652"/>
    <w:pPr>
      <w:spacing w:line="240" w:lineRule="auto"/>
      <w:ind w:firstLine="0"/>
      <w:jc w:val="left"/>
    </w:pPr>
    <w:rPr>
      <w:rFonts w:eastAsia="Times New Roman"/>
      <w:noProof/>
      <w:sz w:val="20"/>
      <w:szCs w:val="20"/>
    </w:rPr>
  </w:style>
  <w:style w:type="character" w:customStyle="1" w:styleId="z-TopofFormChar">
    <w:name w:val="z-Top of Form Char"/>
    <w:link w:val="z-TopofForm"/>
    <w:rsid w:val="00851652"/>
    <w:rPr>
      <w:rFonts w:ascii="Times New Roman" w:eastAsia="Times New Roman" w:hAnsi="Times New Roman" w:cs="Times New Roman"/>
      <w:noProof/>
      <w:sz w:val="20"/>
      <w:szCs w:val="20"/>
    </w:rPr>
  </w:style>
  <w:style w:type="character" w:customStyle="1" w:styleId="SubtleEmphasis1">
    <w:name w:val="Subtle Emphasis1"/>
    <w:qFormat/>
    <w:rsid w:val="002A4568"/>
    <w:rPr>
      <w:i/>
      <w:iCs/>
      <w:color w:val="808080"/>
    </w:rPr>
  </w:style>
  <w:style w:type="character" w:customStyle="1" w:styleId="MediumGrid2Char">
    <w:name w:val="Medium Grid 2 Char"/>
    <w:link w:val="MediumGrid21"/>
    <w:rsid w:val="006D2E08"/>
    <w:rPr>
      <w:rFonts w:ascii="Times New Roman" w:eastAsia="SimSun" w:hAnsi="Times New Roman"/>
      <w:kern w:val="1"/>
      <w:sz w:val="24"/>
      <w:lang w:val="es-PR" w:eastAsia="ar-SA" w:bidi="ar-SA"/>
    </w:rPr>
  </w:style>
  <w:style w:type="paragraph" w:customStyle="1" w:styleId="TOCHeading1">
    <w:name w:val="TOC Heading1"/>
    <w:basedOn w:val="Heading1"/>
    <w:next w:val="Normal"/>
    <w:unhideWhenUsed/>
    <w:qFormat/>
    <w:rsid w:val="00EB44B2"/>
    <w:pPr>
      <w:spacing w:before="480" w:beforeAutospacing="0" w:after="0" w:afterAutospacing="0" w:line="276" w:lineRule="auto"/>
      <w:outlineLvl w:val="9"/>
    </w:pPr>
    <w:rPr>
      <w:rFonts w:ascii="Cambria" w:hAnsi="Cambria"/>
      <w:color w:val="365F91"/>
    </w:rPr>
  </w:style>
  <w:style w:type="paragraph" w:styleId="TOC1">
    <w:name w:val="toc 1"/>
    <w:basedOn w:val="Normal"/>
    <w:next w:val="Normal"/>
    <w:autoRedefine/>
    <w:uiPriority w:val="39"/>
    <w:unhideWhenUsed/>
    <w:qFormat/>
    <w:rsid w:val="00CC0AEC"/>
    <w:pPr>
      <w:tabs>
        <w:tab w:val="right" w:leader="dot" w:pos="9350"/>
      </w:tabs>
      <w:spacing w:after="100"/>
      <w:ind w:firstLine="0"/>
    </w:pPr>
    <w:rPr>
      <w:b/>
      <w:sz w:val="36"/>
      <w:szCs w:val="28"/>
    </w:rPr>
  </w:style>
  <w:style w:type="paragraph" w:styleId="TOC2">
    <w:name w:val="toc 2"/>
    <w:basedOn w:val="Normal"/>
    <w:next w:val="Normal"/>
    <w:autoRedefine/>
    <w:uiPriority w:val="39"/>
    <w:unhideWhenUsed/>
    <w:qFormat/>
    <w:rsid w:val="00816F19"/>
    <w:pPr>
      <w:tabs>
        <w:tab w:val="left" w:pos="1170"/>
        <w:tab w:val="right" w:leader="dot" w:pos="9350"/>
      </w:tabs>
      <w:spacing w:after="100"/>
      <w:ind w:left="1170" w:hanging="630"/>
    </w:pPr>
  </w:style>
  <w:style w:type="paragraph" w:styleId="TOC3">
    <w:name w:val="toc 3"/>
    <w:basedOn w:val="Normal"/>
    <w:next w:val="Normal"/>
    <w:autoRedefine/>
    <w:uiPriority w:val="39"/>
    <w:unhideWhenUsed/>
    <w:qFormat/>
    <w:rsid w:val="007538AA"/>
    <w:pPr>
      <w:tabs>
        <w:tab w:val="left" w:pos="90"/>
        <w:tab w:val="left" w:pos="1867"/>
        <w:tab w:val="right" w:leader="dot" w:pos="9350"/>
      </w:tabs>
      <w:spacing w:after="100" w:line="240" w:lineRule="auto"/>
      <w:ind w:left="1890" w:hanging="450"/>
      <w:jc w:val="left"/>
    </w:pPr>
    <w:rPr>
      <w:noProof/>
      <w:szCs w:val="24"/>
    </w:rPr>
  </w:style>
  <w:style w:type="paragraph" w:styleId="TOC4">
    <w:name w:val="toc 4"/>
    <w:basedOn w:val="Normal"/>
    <w:next w:val="Normal"/>
    <w:autoRedefine/>
    <w:uiPriority w:val="39"/>
    <w:unhideWhenUsed/>
    <w:rsid w:val="0080668B"/>
    <w:pPr>
      <w:tabs>
        <w:tab w:val="left" w:pos="1170"/>
        <w:tab w:val="right" w:leader="dot" w:pos="9350"/>
      </w:tabs>
      <w:spacing w:after="100" w:line="259" w:lineRule="auto"/>
      <w:ind w:left="1170" w:hanging="450"/>
      <w:jc w:val="left"/>
    </w:pPr>
    <w:rPr>
      <w:rFonts w:ascii="Calibri" w:eastAsia="Times New Roman" w:hAnsi="Calibri"/>
      <w:sz w:val="22"/>
    </w:rPr>
  </w:style>
  <w:style w:type="paragraph" w:styleId="TOC5">
    <w:name w:val="toc 5"/>
    <w:basedOn w:val="Normal"/>
    <w:next w:val="Normal"/>
    <w:autoRedefine/>
    <w:uiPriority w:val="39"/>
    <w:unhideWhenUsed/>
    <w:rsid w:val="00D511EF"/>
    <w:pPr>
      <w:spacing w:after="100" w:line="259" w:lineRule="auto"/>
      <w:ind w:left="880" w:firstLine="0"/>
      <w:jc w:val="left"/>
    </w:pPr>
    <w:rPr>
      <w:rFonts w:ascii="Calibri" w:eastAsia="Times New Roman" w:hAnsi="Calibri"/>
      <w:sz w:val="22"/>
    </w:rPr>
  </w:style>
  <w:style w:type="paragraph" w:styleId="TOC6">
    <w:name w:val="toc 6"/>
    <w:basedOn w:val="Normal"/>
    <w:next w:val="Normal"/>
    <w:autoRedefine/>
    <w:uiPriority w:val="39"/>
    <w:unhideWhenUsed/>
    <w:rsid w:val="00D511EF"/>
    <w:pPr>
      <w:spacing w:after="100" w:line="259" w:lineRule="auto"/>
      <w:ind w:left="1100" w:firstLine="0"/>
      <w:jc w:val="left"/>
    </w:pPr>
    <w:rPr>
      <w:rFonts w:ascii="Calibri" w:eastAsia="Times New Roman" w:hAnsi="Calibri"/>
      <w:sz w:val="22"/>
    </w:rPr>
  </w:style>
  <w:style w:type="paragraph" w:styleId="TOC7">
    <w:name w:val="toc 7"/>
    <w:basedOn w:val="Normal"/>
    <w:next w:val="Normal"/>
    <w:autoRedefine/>
    <w:uiPriority w:val="39"/>
    <w:unhideWhenUsed/>
    <w:rsid w:val="00D511EF"/>
    <w:pPr>
      <w:spacing w:after="100" w:line="259" w:lineRule="auto"/>
      <w:ind w:left="1320" w:firstLine="0"/>
      <w:jc w:val="left"/>
    </w:pPr>
    <w:rPr>
      <w:rFonts w:ascii="Calibri" w:eastAsia="Times New Roman" w:hAnsi="Calibri"/>
      <w:sz w:val="22"/>
    </w:rPr>
  </w:style>
  <w:style w:type="paragraph" w:styleId="TOC8">
    <w:name w:val="toc 8"/>
    <w:basedOn w:val="Normal"/>
    <w:next w:val="Normal"/>
    <w:autoRedefine/>
    <w:uiPriority w:val="39"/>
    <w:unhideWhenUsed/>
    <w:rsid w:val="00D511EF"/>
    <w:pPr>
      <w:spacing w:after="100" w:line="259" w:lineRule="auto"/>
      <w:ind w:left="1540" w:firstLine="0"/>
      <w:jc w:val="left"/>
    </w:pPr>
    <w:rPr>
      <w:rFonts w:ascii="Calibri" w:eastAsia="Times New Roman" w:hAnsi="Calibri"/>
      <w:sz w:val="22"/>
    </w:rPr>
  </w:style>
  <w:style w:type="paragraph" w:styleId="TOC9">
    <w:name w:val="toc 9"/>
    <w:basedOn w:val="Normal"/>
    <w:next w:val="Normal"/>
    <w:autoRedefine/>
    <w:uiPriority w:val="39"/>
    <w:unhideWhenUsed/>
    <w:rsid w:val="00D511EF"/>
    <w:pPr>
      <w:spacing w:after="100" w:line="259" w:lineRule="auto"/>
      <w:ind w:left="1760" w:firstLine="0"/>
      <w:jc w:val="left"/>
    </w:pPr>
    <w:rPr>
      <w:rFonts w:ascii="Calibri" w:eastAsia="Times New Roman" w:hAnsi="Calibri"/>
      <w:sz w:val="22"/>
    </w:rPr>
  </w:style>
  <w:style w:type="character" w:customStyle="1" w:styleId="Heading5Char">
    <w:name w:val="Heading 5 Char"/>
    <w:link w:val="Heading5"/>
    <w:rsid w:val="00331E52"/>
    <w:rPr>
      <w:rFonts w:ascii="Cambria" w:eastAsia="Times New Roman" w:hAnsi="Cambria" w:cs="Times New Roman"/>
      <w:color w:val="243F60"/>
      <w:sz w:val="24"/>
    </w:rPr>
  </w:style>
  <w:style w:type="paragraph" w:styleId="ListParagraph">
    <w:name w:val="List Paragraph"/>
    <w:basedOn w:val="Normal"/>
    <w:qFormat/>
    <w:rsid w:val="00437C6A"/>
    <w:pPr>
      <w:spacing w:line="480" w:lineRule="auto"/>
      <w:ind w:left="720"/>
      <w:contextualSpacing/>
    </w:pPr>
  </w:style>
  <w:style w:type="paragraph" w:styleId="Quote">
    <w:name w:val="Quote"/>
    <w:basedOn w:val="Normal"/>
    <w:next w:val="Normal"/>
    <w:link w:val="QuoteChar"/>
    <w:qFormat/>
    <w:rsid w:val="00437C6A"/>
    <w:pPr>
      <w:suppressAutoHyphens/>
      <w:spacing w:line="480" w:lineRule="auto"/>
      <w:ind w:firstLine="706"/>
    </w:pPr>
    <w:rPr>
      <w:rFonts w:eastAsia="SimSun" w:cs="Calibri"/>
      <w:i/>
      <w:iCs/>
      <w:color w:val="000000"/>
      <w:kern w:val="1"/>
      <w:lang w:eastAsia="ar-SA"/>
    </w:rPr>
  </w:style>
  <w:style w:type="character" w:customStyle="1" w:styleId="QuoteChar">
    <w:name w:val="Quote Char"/>
    <w:basedOn w:val="DefaultParagraphFont"/>
    <w:link w:val="Quote"/>
    <w:rsid w:val="00437C6A"/>
    <w:rPr>
      <w:rFonts w:ascii="Times New Roman" w:eastAsia="SimSun" w:hAnsi="Times New Roman" w:cs="Calibri"/>
      <w:i/>
      <w:iCs/>
      <w:color w:val="000000"/>
      <w:kern w:val="1"/>
      <w:sz w:val="24"/>
      <w:szCs w:val="22"/>
      <w:lang w:val="es-PR" w:eastAsia="ar-SA"/>
    </w:rPr>
  </w:style>
  <w:style w:type="paragraph" w:styleId="NoSpacing">
    <w:name w:val="No Spacing"/>
    <w:link w:val="NoSpacingChar"/>
    <w:qFormat/>
    <w:rsid w:val="00437C6A"/>
    <w:pPr>
      <w:suppressAutoHyphens/>
      <w:ind w:firstLine="706"/>
      <w:jc w:val="both"/>
    </w:pPr>
    <w:rPr>
      <w:rFonts w:ascii="Times New Roman" w:eastAsia="SimSun" w:hAnsi="Times New Roman" w:cs="Calibri"/>
      <w:kern w:val="1"/>
      <w:sz w:val="24"/>
      <w:szCs w:val="22"/>
      <w:lang w:val="es-PR" w:eastAsia="ar-SA"/>
    </w:rPr>
  </w:style>
  <w:style w:type="character" w:customStyle="1" w:styleId="NoSpacingChar">
    <w:name w:val="No Spacing Char"/>
    <w:link w:val="NoSpacing"/>
    <w:locked/>
    <w:rsid w:val="00437C6A"/>
    <w:rPr>
      <w:rFonts w:ascii="Times New Roman" w:eastAsia="SimSun" w:hAnsi="Times New Roman" w:cs="Calibri"/>
      <w:kern w:val="1"/>
      <w:sz w:val="24"/>
      <w:szCs w:val="22"/>
      <w:lang w:val="es-PR" w:eastAsia="ar-SA"/>
    </w:rPr>
  </w:style>
  <w:style w:type="character" w:customStyle="1" w:styleId="fn">
    <w:name w:val="fn"/>
    <w:basedOn w:val="DefaultParagraphFont"/>
    <w:rsid w:val="00B015EE"/>
  </w:style>
  <w:style w:type="character" w:customStyle="1" w:styleId="Subtitle1">
    <w:name w:val="Subtitle1"/>
    <w:basedOn w:val="DefaultParagraphFont"/>
    <w:rsid w:val="00B015EE"/>
  </w:style>
  <w:style w:type="character" w:customStyle="1" w:styleId="num-ratings">
    <w:name w:val="num-ratings"/>
    <w:basedOn w:val="DefaultParagraphFont"/>
    <w:rsid w:val="00B015EE"/>
  </w:style>
  <w:style w:type="character" w:customStyle="1" w:styleId="count">
    <w:name w:val="count"/>
    <w:basedOn w:val="DefaultParagraphFont"/>
    <w:rsid w:val="00B015EE"/>
  </w:style>
  <w:style w:type="character" w:customStyle="1" w:styleId="st">
    <w:name w:val="st"/>
    <w:basedOn w:val="DefaultParagraphFont"/>
    <w:rsid w:val="00B015EE"/>
  </w:style>
  <w:style w:type="character" w:styleId="Emphasis">
    <w:name w:val="Emphasis"/>
    <w:basedOn w:val="DefaultParagraphFont"/>
    <w:uiPriority w:val="20"/>
    <w:qFormat/>
    <w:rsid w:val="00B015EE"/>
    <w:rPr>
      <w:i/>
      <w:iCs/>
    </w:rPr>
  </w:style>
  <w:style w:type="paragraph" w:styleId="HTMLPreformatted">
    <w:name w:val="HTML Preformatted"/>
    <w:basedOn w:val="Normal"/>
    <w:link w:val="HTMLPreformattedChar"/>
    <w:uiPriority w:val="99"/>
    <w:unhideWhenUsed/>
    <w:rsid w:val="00B01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015EE"/>
    <w:rPr>
      <w:rFonts w:ascii="Courier New" w:eastAsia="Times New Roman" w:hAnsi="Courier New" w:cs="Courier New"/>
    </w:rPr>
  </w:style>
  <w:style w:type="paragraph" w:styleId="Bibliography">
    <w:name w:val="Bibliography"/>
    <w:basedOn w:val="Normal"/>
    <w:next w:val="Normal"/>
    <w:rsid w:val="001F32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uiPriority="99"/>
    <w:lsdException w:name="No List" w:uiPriority="99"/>
    <w:lsdException w:name="Table Simple 1" w:uiPriority="99"/>
    <w:lsdException w:name="Table Grid" w:uiPriority="59"/>
    <w:lsdException w:name="No Spacing" w:qFormat="1"/>
    <w:lsdException w:name="List Paragraph" w:qFormat="1"/>
    <w:lsdException w:name="Quote" w:qFormat="1"/>
    <w:lsdException w:name="Intense Quote" w:qFormat="1"/>
    <w:lsdException w:name="Colorful List Accent 2" w:uiPriority="63"/>
    <w:lsdException w:name="Medium Grid 3 Accent 3" w:uiPriority="60"/>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300BC"/>
    <w:pPr>
      <w:spacing w:line="276" w:lineRule="auto"/>
      <w:ind w:firstLine="720"/>
      <w:jc w:val="both"/>
    </w:pPr>
    <w:rPr>
      <w:rFonts w:ascii="Times New Roman" w:hAnsi="Times New Roman"/>
      <w:sz w:val="24"/>
      <w:szCs w:val="22"/>
      <w:lang w:val="es-PR"/>
    </w:rPr>
  </w:style>
  <w:style w:type="paragraph" w:styleId="Heading1">
    <w:name w:val="heading 1"/>
    <w:basedOn w:val="Normal"/>
    <w:next w:val="Normal"/>
    <w:link w:val="Heading1Char"/>
    <w:qFormat/>
    <w:rsid w:val="005300BC"/>
    <w:pPr>
      <w:keepNext/>
      <w:keepLines/>
      <w:spacing w:before="100" w:beforeAutospacing="1" w:after="100" w:afterAutospacing="1" w:line="240" w:lineRule="auto"/>
      <w:ind w:firstLine="0"/>
      <w:jc w:val="left"/>
      <w:outlineLvl w:val="0"/>
    </w:pPr>
    <w:rPr>
      <w:rFonts w:eastAsia="Times New Roman"/>
      <w:b/>
      <w:bCs/>
      <w:color w:val="1F497D" w:themeColor="text2"/>
      <w:sz w:val="36"/>
      <w:szCs w:val="28"/>
    </w:rPr>
  </w:style>
  <w:style w:type="paragraph" w:styleId="Heading2">
    <w:name w:val="heading 2"/>
    <w:basedOn w:val="Normal"/>
    <w:next w:val="Normal"/>
    <w:link w:val="Heading2Char"/>
    <w:qFormat/>
    <w:rsid w:val="00816D6E"/>
    <w:pPr>
      <w:keepNext/>
      <w:keepLines/>
      <w:numPr>
        <w:numId w:val="27"/>
      </w:numPr>
      <w:spacing w:line="240" w:lineRule="auto"/>
      <w:jc w:val="left"/>
      <w:outlineLvl w:val="1"/>
    </w:pPr>
    <w:rPr>
      <w:rFonts w:eastAsia="Times New Roman"/>
      <w:b/>
      <w:bCs/>
      <w:color w:val="4F81BD" w:themeColor="accent1"/>
      <w:sz w:val="28"/>
      <w:szCs w:val="26"/>
    </w:rPr>
  </w:style>
  <w:style w:type="paragraph" w:styleId="Heading3">
    <w:name w:val="heading 3"/>
    <w:basedOn w:val="Normal"/>
    <w:next w:val="Normal"/>
    <w:link w:val="Heading3Char"/>
    <w:qFormat/>
    <w:rsid w:val="00176706"/>
    <w:pPr>
      <w:keepNext/>
      <w:keepLines/>
      <w:ind w:firstLine="0"/>
      <w:outlineLvl w:val="2"/>
    </w:pPr>
    <w:rPr>
      <w:rFonts w:eastAsia="Times New Roman"/>
      <w:b/>
      <w:bCs/>
      <w:i/>
      <w:szCs w:val="20"/>
    </w:rPr>
  </w:style>
  <w:style w:type="paragraph" w:styleId="Heading4">
    <w:name w:val="heading 4"/>
    <w:basedOn w:val="Normal"/>
    <w:next w:val="Normal"/>
    <w:link w:val="Heading4Char"/>
    <w:qFormat/>
    <w:rsid w:val="00331E52"/>
    <w:pPr>
      <w:keepNext/>
      <w:keepLines/>
      <w:spacing w:line="240" w:lineRule="auto"/>
      <w:ind w:firstLine="0"/>
      <w:jc w:val="left"/>
      <w:outlineLvl w:val="3"/>
    </w:pPr>
    <w:rPr>
      <w:rFonts w:eastAsia="Times New Roman"/>
      <w:b/>
      <w:bCs/>
      <w:i/>
      <w:iCs/>
      <w:szCs w:val="20"/>
    </w:rPr>
  </w:style>
  <w:style w:type="paragraph" w:styleId="Heading5">
    <w:name w:val="heading 5"/>
    <w:basedOn w:val="Normal"/>
    <w:next w:val="Normal"/>
    <w:link w:val="Heading5Char"/>
    <w:qFormat/>
    <w:rsid w:val="00331E52"/>
    <w:pPr>
      <w:keepNext/>
      <w:keepLines/>
      <w:spacing w:before="200"/>
      <w:outlineLvl w:val="4"/>
    </w:pPr>
    <w:rPr>
      <w:rFonts w:ascii="Cambria" w:eastAsia="Times New Roman" w:hAnsi="Cambria"/>
      <w:color w:val="243F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57BDC"/>
    <w:pPr>
      <w:ind w:left="720"/>
      <w:contextualSpacing/>
    </w:pPr>
  </w:style>
  <w:style w:type="paragraph" w:styleId="Header">
    <w:name w:val="header"/>
    <w:basedOn w:val="Normal"/>
    <w:link w:val="HeaderChar"/>
    <w:unhideWhenUsed/>
    <w:rsid w:val="00F652C1"/>
    <w:pPr>
      <w:tabs>
        <w:tab w:val="center" w:pos="4680"/>
        <w:tab w:val="right" w:pos="9360"/>
      </w:tabs>
      <w:spacing w:line="240" w:lineRule="auto"/>
    </w:pPr>
  </w:style>
  <w:style w:type="character" w:customStyle="1" w:styleId="HeaderChar">
    <w:name w:val="Header Char"/>
    <w:basedOn w:val="DefaultParagraphFont"/>
    <w:link w:val="Header"/>
    <w:rsid w:val="00F652C1"/>
  </w:style>
  <w:style w:type="paragraph" w:styleId="Footer">
    <w:name w:val="footer"/>
    <w:basedOn w:val="Normal"/>
    <w:link w:val="FooterChar"/>
    <w:uiPriority w:val="99"/>
    <w:unhideWhenUsed/>
    <w:rsid w:val="00F652C1"/>
    <w:pPr>
      <w:tabs>
        <w:tab w:val="center" w:pos="4680"/>
        <w:tab w:val="right" w:pos="9360"/>
      </w:tabs>
      <w:spacing w:line="240" w:lineRule="auto"/>
    </w:pPr>
  </w:style>
  <w:style w:type="character" w:customStyle="1" w:styleId="FooterChar">
    <w:name w:val="Footer Char"/>
    <w:basedOn w:val="DefaultParagraphFont"/>
    <w:link w:val="Footer"/>
    <w:uiPriority w:val="99"/>
    <w:rsid w:val="00F652C1"/>
  </w:style>
  <w:style w:type="table" w:styleId="TableGrid">
    <w:name w:val="Table Grid"/>
    <w:basedOn w:val="TableNormal"/>
    <w:uiPriority w:val="59"/>
    <w:rsid w:val="003655E6"/>
    <w:rPr>
      <w:rFonts w:eastAsia="Calibri"/>
      <w:lang w:val="es-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3655E6"/>
    <w:pPr>
      <w:spacing w:line="240" w:lineRule="auto"/>
    </w:pPr>
    <w:rPr>
      <w:rFonts w:ascii="Tahoma" w:hAnsi="Tahoma"/>
      <w:sz w:val="16"/>
      <w:szCs w:val="16"/>
    </w:rPr>
  </w:style>
  <w:style w:type="character" w:customStyle="1" w:styleId="BalloonTextChar">
    <w:name w:val="Balloon Text Char"/>
    <w:link w:val="BalloonText"/>
    <w:rsid w:val="003655E6"/>
    <w:rPr>
      <w:rFonts w:ascii="Tahoma" w:hAnsi="Tahoma" w:cs="Tahoma"/>
      <w:sz w:val="16"/>
      <w:szCs w:val="16"/>
    </w:rPr>
  </w:style>
  <w:style w:type="table" w:styleId="ColorfulList-Accent2">
    <w:name w:val="Colorful List Accent 2"/>
    <w:basedOn w:val="TableNormal"/>
    <w:uiPriority w:val="63"/>
    <w:rsid w:val="0031532F"/>
    <w:rPr>
      <w:rFonts w:eastAsia="Calibri"/>
      <w:lang w:val="es-P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FootnoteText">
    <w:name w:val="footnote text"/>
    <w:basedOn w:val="Normal"/>
    <w:link w:val="FootnoteTextChar"/>
    <w:unhideWhenUsed/>
    <w:rsid w:val="001639B8"/>
    <w:pPr>
      <w:spacing w:line="240" w:lineRule="auto"/>
    </w:pPr>
    <w:rPr>
      <w:rFonts w:ascii="Calibri" w:hAnsi="Calibri"/>
      <w:sz w:val="20"/>
      <w:szCs w:val="20"/>
    </w:rPr>
  </w:style>
  <w:style w:type="character" w:customStyle="1" w:styleId="FootnoteTextChar">
    <w:name w:val="Footnote Text Char"/>
    <w:link w:val="FootnoteText"/>
    <w:rsid w:val="001639B8"/>
    <w:rPr>
      <w:sz w:val="20"/>
      <w:szCs w:val="20"/>
    </w:rPr>
  </w:style>
  <w:style w:type="character" w:styleId="FootnoteReference">
    <w:name w:val="footnote reference"/>
    <w:unhideWhenUsed/>
    <w:rsid w:val="001639B8"/>
    <w:rPr>
      <w:vertAlign w:val="superscript"/>
    </w:rPr>
  </w:style>
  <w:style w:type="character" w:styleId="Hyperlink">
    <w:name w:val="Hyperlink"/>
    <w:uiPriority w:val="99"/>
    <w:unhideWhenUsed/>
    <w:rsid w:val="0034640C"/>
    <w:rPr>
      <w:color w:val="0000FF"/>
      <w:u w:val="single"/>
    </w:rPr>
  </w:style>
  <w:style w:type="character" w:customStyle="1" w:styleId="Heading1Char">
    <w:name w:val="Heading 1 Char"/>
    <w:link w:val="Heading1"/>
    <w:rsid w:val="005300BC"/>
    <w:rPr>
      <w:rFonts w:ascii="Times New Roman" w:eastAsia="Times New Roman" w:hAnsi="Times New Roman"/>
      <w:b/>
      <w:bCs/>
      <w:color w:val="1F497D" w:themeColor="text2"/>
      <w:sz w:val="36"/>
      <w:szCs w:val="28"/>
    </w:rPr>
  </w:style>
  <w:style w:type="paragraph" w:styleId="Title">
    <w:name w:val="Title"/>
    <w:basedOn w:val="Normal"/>
    <w:next w:val="Normal"/>
    <w:link w:val="TitleChar"/>
    <w:qFormat/>
    <w:rsid w:val="00BD682C"/>
    <w:pPr>
      <w:pBdr>
        <w:bottom w:val="single" w:sz="8" w:space="4" w:color="4F81BD"/>
      </w:pBdr>
      <w:spacing w:after="300" w:line="240" w:lineRule="auto"/>
      <w:contextualSpacing/>
    </w:pPr>
    <w:rPr>
      <w:rFonts w:eastAsia="Times New Roman"/>
      <w:color w:val="17365D"/>
      <w:spacing w:val="5"/>
      <w:kern w:val="28"/>
      <w:sz w:val="32"/>
      <w:szCs w:val="52"/>
    </w:rPr>
  </w:style>
  <w:style w:type="character" w:customStyle="1" w:styleId="TitleChar">
    <w:name w:val="Title Char"/>
    <w:link w:val="Title"/>
    <w:rsid w:val="00BD682C"/>
    <w:rPr>
      <w:rFonts w:ascii="Times New Roman" w:eastAsia="Times New Roman" w:hAnsi="Times New Roman" w:cs="Times New Roman"/>
      <w:color w:val="17365D"/>
      <w:spacing w:val="5"/>
      <w:kern w:val="28"/>
      <w:sz w:val="32"/>
      <w:szCs w:val="52"/>
    </w:rPr>
  </w:style>
  <w:style w:type="character" w:customStyle="1" w:styleId="Heading2Char">
    <w:name w:val="Heading 2 Char"/>
    <w:link w:val="Heading2"/>
    <w:rsid w:val="00816D6E"/>
    <w:rPr>
      <w:rFonts w:ascii="Times New Roman" w:eastAsia="Times New Roman" w:hAnsi="Times New Roman"/>
      <w:b/>
      <w:bCs/>
      <w:color w:val="4F81BD" w:themeColor="accent1"/>
      <w:sz w:val="28"/>
      <w:szCs w:val="26"/>
      <w:lang w:val="es-PR"/>
    </w:rPr>
  </w:style>
  <w:style w:type="character" w:customStyle="1" w:styleId="Heading3Char">
    <w:name w:val="Heading 3 Char"/>
    <w:link w:val="Heading3"/>
    <w:rsid w:val="00176706"/>
    <w:rPr>
      <w:rFonts w:ascii="Times New Roman" w:eastAsia="Times New Roman" w:hAnsi="Times New Roman" w:cs="Times New Roman"/>
      <w:b/>
      <w:bCs/>
      <w:i/>
      <w:sz w:val="24"/>
      <w:lang w:val="es-PR"/>
    </w:rPr>
  </w:style>
  <w:style w:type="numbering" w:customStyle="1" w:styleId="NoList1">
    <w:name w:val="No List1"/>
    <w:next w:val="NoList"/>
    <w:semiHidden/>
    <w:unhideWhenUsed/>
    <w:rsid w:val="004E58D5"/>
  </w:style>
  <w:style w:type="paragraph" w:styleId="BodyText2">
    <w:name w:val="Body Text 2"/>
    <w:basedOn w:val="Normal"/>
    <w:link w:val="BodyText2Char"/>
    <w:rsid w:val="004E58D5"/>
    <w:pPr>
      <w:widowControl w:val="0"/>
      <w:autoSpaceDE w:val="0"/>
      <w:autoSpaceDN w:val="0"/>
      <w:spacing w:after="120" w:line="240" w:lineRule="auto"/>
      <w:ind w:left="360" w:firstLine="0"/>
      <w:jc w:val="left"/>
    </w:pPr>
    <w:rPr>
      <w:rFonts w:ascii="Garamond" w:eastAsia="Times New Roman" w:hAnsi="Garamond"/>
      <w:sz w:val="20"/>
      <w:szCs w:val="20"/>
    </w:rPr>
  </w:style>
  <w:style w:type="character" w:customStyle="1" w:styleId="BodyText2Char">
    <w:name w:val="Body Text 2 Char"/>
    <w:link w:val="BodyText2"/>
    <w:rsid w:val="004E58D5"/>
    <w:rPr>
      <w:rFonts w:ascii="Garamond" w:eastAsia="Times New Roman" w:hAnsi="Garamond" w:cs="Times New Roman"/>
      <w:sz w:val="20"/>
      <w:szCs w:val="20"/>
    </w:rPr>
  </w:style>
  <w:style w:type="paragraph" w:styleId="TOAHeading">
    <w:name w:val="toa heading"/>
    <w:basedOn w:val="Normal"/>
    <w:next w:val="Normal"/>
    <w:rsid w:val="004E58D5"/>
    <w:pPr>
      <w:widowControl w:val="0"/>
      <w:autoSpaceDE w:val="0"/>
      <w:autoSpaceDN w:val="0"/>
      <w:spacing w:before="120" w:line="240" w:lineRule="auto"/>
      <w:ind w:firstLine="0"/>
      <w:jc w:val="left"/>
    </w:pPr>
    <w:rPr>
      <w:rFonts w:ascii="Arial" w:eastAsia="Times New Roman" w:hAnsi="Arial" w:cs="Arial"/>
      <w:b/>
      <w:bCs/>
      <w:szCs w:val="24"/>
    </w:rPr>
  </w:style>
  <w:style w:type="character" w:customStyle="1" w:styleId="footnotetex">
    <w:name w:val="footnote tex"/>
    <w:rsid w:val="004E58D5"/>
    <w:rPr>
      <w:rFonts w:ascii="Times New Roman" w:hAnsi="Times New Roman"/>
    </w:rPr>
  </w:style>
  <w:style w:type="paragraph" w:styleId="Index8">
    <w:name w:val="index 8"/>
    <w:basedOn w:val="Normal"/>
    <w:next w:val="Normal"/>
    <w:autoRedefine/>
    <w:rsid w:val="004E58D5"/>
    <w:pPr>
      <w:widowControl w:val="0"/>
      <w:autoSpaceDE w:val="0"/>
      <w:autoSpaceDN w:val="0"/>
      <w:spacing w:line="240" w:lineRule="auto"/>
      <w:ind w:left="1600" w:hanging="200"/>
      <w:jc w:val="left"/>
    </w:pPr>
    <w:rPr>
      <w:rFonts w:ascii="Garamond" w:eastAsia="Times New Roman" w:hAnsi="Garamond" w:cs="Garamond"/>
      <w:sz w:val="20"/>
      <w:szCs w:val="20"/>
    </w:rPr>
  </w:style>
  <w:style w:type="paragraph" w:styleId="MacroText">
    <w:name w:val="macro"/>
    <w:link w:val="MacroTextChar"/>
    <w:rsid w:val="004E58D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eastAsia="Times New Roman" w:hAnsi="Courier New" w:cs="Courier New"/>
      <w:lang w:val="es-ES_tradnl"/>
    </w:rPr>
  </w:style>
  <w:style w:type="character" w:customStyle="1" w:styleId="MacroTextChar">
    <w:name w:val="Macro Text Char"/>
    <w:link w:val="MacroText"/>
    <w:rsid w:val="004E58D5"/>
    <w:rPr>
      <w:rFonts w:ascii="Courier New" w:eastAsia="Times New Roman" w:hAnsi="Courier New" w:cs="Courier New"/>
      <w:lang w:val="es-ES_tradnl" w:eastAsia="en-US" w:bidi="ar-SA"/>
    </w:rPr>
  </w:style>
  <w:style w:type="paragraph" w:styleId="PlainText">
    <w:name w:val="Plain Text"/>
    <w:basedOn w:val="Normal"/>
    <w:link w:val="PlainTextChar"/>
    <w:rsid w:val="004E58D5"/>
    <w:pPr>
      <w:widowControl w:val="0"/>
      <w:autoSpaceDE w:val="0"/>
      <w:autoSpaceDN w:val="0"/>
      <w:spacing w:line="240" w:lineRule="auto"/>
      <w:ind w:firstLine="0"/>
      <w:jc w:val="left"/>
    </w:pPr>
    <w:rPr>
      <w:rFonts w:ascii="Courier New" w:eastAsia="Times New Roman" w:hAnsi="Courier New"/>
      <w:sz w:val="20"/>
      <w:szCs w:val="20"/>
    </w:rPr>
  </w:style>
  <w:style w:type="character" w:customStyle="1" w:styleId="PlainTextChar">
    <w:name w:val="Plain Text Char"/>
    <w:link w:val="PlainText"/>
    <w:rsid w:val="004E58D5"/>
    <w:rPr>
      <w:rFonts w:ascii="Courier New" w:eastAsia="Times New Roman" w:hAnsi="Courier New" w:cs="Times New Roman"/>
      <w:sz w:val="20"/>
      <w:szCs w:val="20"/>
    </w:rPr>
  </w:style>
  <w:style w:type="character" w:styleId="PageNumber">
    <w:name w:val="page number"/>
    <w:rsid w:val="004E58D5"/>
    <w:rPr>
      <w:rFonts w:cs="Times New Roman"/>
    </w:rPr>
  </w:style>
  <w:style w:type="paragraph" w:styleId="EndnoteText">
    <w:name w:val="endnote text"/>
    <w:basedOn w:val="Normal"/>
    <w:link w:val="EndnoteTextChar"/>
    <w:rsid w:val="004E58D5"/>
    <w:pPr>
      <w:widowControl w:val="0"/>
      <w:autoSpaceDE w:val="0"/>
      <w:autoSpaceDN w:val="0"/>
      <w:spacing w:line="240" w:lineRule="auto"/>
      <w:ind w:firstLine="0"/>
      <w:jc w:val="left"/>
    </w:pPr>
    <w:rPr>
      <w:rFonts w:ascii="Garamond" w:eastAsia="Times New Roman" w:hAnsi="Garamond"/>
      <w:sz w:val="20"/>
      <w:szCs w:val="20"/>
    </w:rPr>
  </w:style>
  <w:style w:type="character" w:customStyle="1" w:styleId="EndnoteTextChar">
    <w:name w:val="Endnote Text Char"/>
    <w:link w:val="EndnoteText"/>
    <w:rsid w:val="004E58D5"/>
    <w:rPr>
      <w:rFonts w:ascii="Garamond" w:eastAsia="Times New Roman" w:hAnsi="Garamond" w:cs="Times New Roman"/>
      <w:sz w:val="20"/>
      <w:szCs w:val="20"/>
    </w:rPr>
  </w:style>
  <w:style w:type="character" w:styleId="EndnoteReference">
    <w:name w:val="endnote reference"/>
    <w:rsid w:val="004E58D5"/>
    <w:rPr>
      <w:rFonts w:cs="Times New Roman"/>
      <w:vertAlign w:val="superscript"/>
    </w:rPr>
  </w:style>
  <w:style w:type="character" w:styleId="CommentReference">
    <w:name w:val="annotation reference"/>
    <w:unhideWhenUsed/>
    <w:rsid w:val="004E58D5"/>
    <w:rPr>
      <w:sz w:val="18"/>
      <w:szCs w:val="18"/>
    </w:rPr>
  </w:style>
  <w:style w:type="paragraph" w:styleId="CommentText">
    <w:name w:val="annotation text"/>
    <w:basedOn w:val="Normal"/>
    <w:link w:val="CommentTextChar"/>
    <w:unhideWhenUsed/>
    <w:rsid w:val="004E58D5"/>
    <w:pPr>
      <w:widowControl w:val="0"/>
      <w:autoSpaceDE w:val="0"/>
      <w:autoSpaceDN w:val="0"/>
      <w:spacing w:line="240" w:lineRule="auto"/>
      <w:ind w:firstLine="0"/>
      <w:jc w:val="left"/>
    </w:pPr>
    <w:rPr>
      <w:rFonts w:ascii="Garamond" w:eastAsia="Times New Roman" w:hAnsi="Garamond"/>
      <w:szCs w:val="24"/>
    </w:rPr>
  </w:style>
  <w:style w:type="character" w:customStyle="1" w:styleId="CommentTextChar">
    <w:name w:val="Comment Text Char"/>
    <w:link w:val="CommentText"/>
    <w:rsid w:val="004E58D5"/>
    <w:rPr>
      <w:rFonts w:ascii="Garamond" w:eastAsia="Times New Roman" w:hAnsi="Garamond" w:cs="Times New Roman"/>
      <w:sz w:val="24"/>
      <w:szCs w:val="24"/>
    </w:rPr>
  </w:style>
  <w:style w:type="paragraph" w:styleId="CommentSubject">
    <w:name w:val="annotation subject"/>
    <w:basedOn w:val="CommentText"/>
    <w:next w:val="CommentText"/>
    <w:link w:val="CommentSubjectChar"/>
    <w:semiHidden/>
    <w:unhideWhenUsed/>
    <w:rsid w:val="004E58D5"/>
    <w:rPr>
      <w:b/>
      <w:bCs/>
      <w:sz w:val="20"/>
      <w:szCs w:val="20"/>
    </w:rPr>
  </w:style>
  <w:style w:type="character" w:customStyle="1" w:styleId="CommentSubjectChar">
    <w:name w:val="Comment Subject Char"/>
    <w:link w:val="CommentSubject"/>
    <w:semiHidden/>
    <w:rsid w:val="004E58D5"/>
    <w:rPr>
      <w:rFonts w:ascii="Garamond" w:eastAsia="Times New Roman" w:hAnsi="Garamond" w:cs="Times New Roman"/>
      <w:b/>
      <w:bCs/>
      <w:sz w:val="20"/>
      <w:szCs w:val="20"/>
    </w:rPr>
  </w:style>
  <w:style w:type="character" w:styleId="FollowedHyperlink">
    <w:name w:val="FollowedHyperlink"/>
    <w:rsid w:val="004E58D5"/>
    <w:rPr>
      <w:color w:val="800080"/>
      <w:u w:val="single"/>
    </w:rPr>
  </w:style>
  <w:style w:type="character" w:customStyle="1" w:styleId="bxgy-binding-byline">
    <w:name w:val="bxgy-binding-byline"/>
    <w:basedOn w:val="DefaultParagraphFont"/>
    <w:rsid w:val="004E58D5"/>
  </w:style>
  <w:style w:type="character" w:customStyle="1" w:styleId="bxgy-byline-text">
    <w:name w:val="bxgy-byline-text"/>
    <w:basedOn w:val="DefaultParagraphFont"/>
    <w:rsid w:val="004E58D5"/>
  </w:style>
  <w:style w:type="numbering" w:customStyle="1" w:styleId="NoList2">
    <w:name w:val="No List2"/>
    <w:next w:val="NoList"/>
    <w:uiPriority w:val="99"/>
    <w:semiHidden/>
    <w:unhideWhenUsed/>
    <w:rsid w:val="003A21B9"/>
  </w:style>
  <w:style w:type="character" w:customStyle="1" w:styleId="ListLabel1">
    <w:name w:val="ListLabel 1"/>
    <w:rsid w:val="003A21B9"/>
    <w:rPr>
      <w:rFonts w:cs="Courier New"/>
    </w:rPr>
  </w:style>
  <w:style w:type="paragraph" w:customStyle="1" w:styleId="Encabezado">
    <w:name w:val="Encabezado"/>
    <w:basedOn w:val="Normal"/>
    <w:next w:val="BodyText"/>
    <w:rsid w:val="003A21B9"/>
    <w:pPr>
      <w:keepNext/>
      <w:suppressAutoHyphens/>
      <w:spacing w:before="240" w:after="120"/>
      <w:ind w:firstLine="706"/>
    </w:pPr>
    <w:rPr>
      <w:rFonts w:ascii="Arial" w:eastAsia="Microsoft YaHei" w:hAnsi="Arial" w:cs="Mangal"/>
      <w:kern w:val="1"/>
      <w:sz w:val="28"/>
      <w:szCs w:val="28"/>
      <w:lang w:eastAsia="ar-SA"/>
    </w:rPr>
  </w:style>
  <w:style w:type="paragraph" w:styleId="BodyText">
    <w:name w:val="Body Text"/>
    <w:basedOn w:val="Normal"/>
    <w:link w:val="BodyTextChar"/>
    <w:rsid w:val="003A21B9"/>
    <w:pPr>
      <w:suppressAutoHyphens/>
      <w:spacing w:after="120"/>
      <w:ind w:firstLine="706"/>
    </w:pPr>
    <w:rPr>
      <w:rFonts w:eastAsia="SimSun"/>
      <w:kern w:val="1"/>
      <w:szCs w:val="20"/>
      <w:lang w:eastAsia="ar-SA"/>
    </w:rPr>
  </w:style>
  <w:style w:type="character" w:customStyle="1" w:styleId="BodyTextChar">
    <w:name w:val="Body Text Char"/>
    <w:link w:val="BodyText"/>
    <w:rsid w:val="003A21B9"/>
    <w:rPr>
      <w:rFonts w:ascii="Times New Roman" w:eastAsia="SimSun" w:hAnsi="Times New Roman" w:cs="Calibri"/>
      <w:kern w:val="1"/>
      <w:sz w:val="24"/>
      <w:lang w:val="es-PR" w:eastAsia="ar-SA"/>
    </w:rPr>
  </w:style>
  <w:style w:type="paragraph" w:styleId="List">
    <w:name w:val="List"/>
    <w:basedOn w:val="BodyText"/>
    <w:rsid w:val="003A21B9"/>
    <w:rPr>
      <w:rFonts w:cs="Mangal"/>
    </w:rPr>
  </w:style>
  <w:style w:type="paragraph" w:customStyle="1" w:styleId="Etiqueta">
    <w:name w:val="Etiqueta"/>
    <w:basedOn w:val="Normal"/>
    <w:rsid w:val="003A21B9"/>
    <w:pPr>
      <w:suppressLineNumbers/>
      <w:suppressAutoHyphens/>
      <w:spacing w:before="120" w:after="120"/>
      <w:ind w:firstLine="706"/>
    </w:pPr>
    <w:rPr>
      <w:rFonts w:eastAsia="SimSun" w:cs="Mangal"/>
      <w:i/>
      <w:iCs/>
      <w:kern w:val="1"/>
      <w:szCs w:val="24"/>
      <w:lang w:eastAsia="ar-SA"/>
    </w:rPr>
  </w:style>
  <w:style w:type="paragraph" w:customStyle="1" w:styleId="ndice">
    <w:name w:val="Índice"/>
    <w:basedOn w:val="Normal"/>
    <w:rsid w:val="003A21B9"/>
    <w:pPr>
      <w:suppressLineNumbers/>
      <w:suppressAutoHyphens/>
      <w:ind w:firstLine="706"/>
    </w:pPr>
    <w:rPr>
      <w:rFonts w:eastAsia="SimSun" w:cs="Mangal"/>
      <w:kern w:val="1"/>
      <w:lang w:eastAsia="ar-SA"/>
    </w:rPr>
  </w:style>
  <w:style w:type="paragraph" w:styleId="NormalWeb">
    <w:name w:val="Normal (Web)"/>
    <w:basedOn w:val="Normal"/>
    <w:rsid w:val="003A21B9"/>
    <w:pPr>
      <w:suppressAutoHyphens/>
      <w:spacing w:before="28" w:after="100" w:line="100" w:lineRule="atLeast"/>
      <w:ind w:firstLine="706"/>
    </w:pPr>
    <w:rPr>
      <w:rFonts w:eastAsia="Times New Roman"/>
      <w:kern w:val="1"/>
      <w:szCs w:val="24"/>
      <w:lang w:eastAsia="ar-SA"/>
    </w:rPr>
  </w:style>
  <w:style w:type="paragraph" w:customStyle="1" w:styleId="ColorfulGrid-Accent11">
    <w:name w:val="Colorful Grid - Accent 11"/>
    <w:basedOn w:val="Normal"/>
    <w:next w:val="Normal"/>
    <w:link w:val="ColorfulGrid-Accent1Char"/>
    <w:uiPriority w:val="29"/>
    <w:qFormat/>
    <w:rsid w:val="003A21B9"/>
    <w:pPr>
      <w:suppressAutoHyphens/>
      <w:ind w:firstLine="706"/>
    </w:pPr>
    <w:rPr>
      <w:rFonts w:eastAsia="SimSun"/>
      <w:i/>
      <w:iCs/>
      <w:color w:val="000000"/>
      <w:kern w:val="1"/>
      <w:szCs w:val="20"/>
      <w:lang w:eastAsia="ar-SA"/>
    </w:rPr>
  </w:style>
  <w:style w:type="character" w:customStyle="1" w:styleId="ColorfulGrid-Accent1Char">
    <w:name w:val="Colorful Grid - Accent 1 Char"/>
    <w:link w:val="ColorfulGrid-Accent11"/>
    <w:uiPriority w:val="29"/>
    <w:rsid w:val="003A21B9"/>
    <w:rPr>
      <w:rFonts w:ascii="Times New Roman" w:eastAsia="SimSun" w:hAnsi="Times New Roman" w:cs="Calibri"/>
      <w:i/>
      <w:iCs/>
      <w:color w:val="000000"/>
      <w:kern w:val="1"/>
      <w:sz w:val="24"/>
      <w:lang w:val="es-PR" w:eastAsia="ar-SA"/>
    </w:rPr>
  </w:style>
  <w:style w:type="table" w:styleId="MediumGrid3-Accent3">
    <w:name w:val="Medium Grid 3 Accent 3"/>
    <w:basedOn w:val="TableNormal"/>
    <w:uiPriority w:val="60"/>
    <w:rsid w:val="003A21B9"/>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tyle1">
    <w:name w:val="Style1"/>
    <w:basedOn w:val="TableSimple1"/>
    <w:uiPriority w:val="99"/>
    <w:qFormat/>
    <w:rsid w:val="003A21B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3A21B9"/>
    <w:pPr>
      <w:suppressAutoHyphens/>
      <w:spacing w:line="480" w:lineRule="auto"/>
      <w:ind w:firstLine="706"/>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olorfulShading-Accent11">
    <w:name w:val="Colorful Shading - Accent 11"/>
    <w:hidden/>
    <w:uiPriority w:val="99"/>
    <w:semiHidden/>
    <w:rsid w:val="003A21B9"/>
    <w:rPr>
      <w:rFonts w:ascii="Times New Roman" w:eastAsia="SimSun" w:hAnsi="Times New Roman" w:cs="Calibri"/>
      <w:kern w:val="1"/>
      <w:sz w:val="24"/>
      <w:szCs w:val="22"/>
      <w:lang w:val="es-PR" w:eastAsia="ar-SA"/>
    </w:rPr>
  </w:style>
  <w:style w:type="character" w:customStyle="1" w:styleId="MediumGrid11">
    <w:name w:val="Medium Grid 11"/>
    <w:uiPriority w:val="99"/>
    <w:semiHidden/>
    <w:rsid w:val="003A21B9"/>
    <w:rPr>
      <w:color w:val="808080"/>
    </w:rPr>
  </w:style>
  <w:style w:type="character" w:customStyle="1" w:styleId="BookTitle1">
    <w:name w:val="Book Title1"/>
    <w:qFormat/>
    <w:rsid w:val="003A21B9"/>
    <w:rPr>
      <w:b/>
      <w:bCs/>
      <w:smallCaps/>
      <w:spacing w:val="5"/>
    </w:rPr>
  </w:style>
  <w:style w:type="paragraph" w:customStyle="1" w:styleId="MediumGrid21">
    <w:name w:val="Medium Grid 21"/>
    <w:link w:val="MediumGrid2Char"/>
    <w:qFormat/>
    <w:rsid w:val="003A21B9"/>
    <w:pPr>
      <w:suppressAutoHyphens/>
      <w:ind w:firstLine="706"/>
      <w:jc w:val="both"/>
    </w:pPr>
    <w:rPr>
      <w:rFonts w:ascii="Times New Roman" w:eastAsia="SimSun" w:hAnsi="Times New Roman"/>
      <w:kern w:val="1"/>
      <w:sz w:val="24"/>
      <w:lang w:val="es-PR" w:eastAsia="ar-SA"/>
    </w:rPr>
  </w:style>
  <w:style w:type="paragraph" w:styleId="Subtitle">
    <w:name w:val="Subtitle"/>
    <w:basedOn w:val="Normal"/>
    <w:next w:val="Normal"/>
    <w:link w:val="SubtitleChar"/>
    <w:qFormat/>
    <w:rsid w:val="002A4568"/>
    <w:pPr>
      <w:numPr>
        <w:ilvl w:val="1"/>
      </w:numPr>
      <w:suppressAutoHyphens/>
      <w:spacing w:line="240" w:lineRule="auto"/>
      <w:ind w:firstLine="720"/>
      <w:jc w:val="left"/>
    </w:pPr>
    <w:rPr>
      <w:rFonts w:eastAsia="Times New Roman"/>
      <w:b/>
      <w:iCs/>
      <w:color w:val="7F7F7F"/>
      <w:spacing w:val="15"/>
      <w:kern w:val="1"/>
      <w:sz w:val="32"/>
      <w:szCs w:val="24"/>
      <w:lang w:eastAsia="ar-SA"/>
    </w:rPr>
  </w:style>
  <w:style w:type="character" w:customStyle="1" w:styleId="SubtitleChar">
    <w:name w:val="Subtitle Char"/>
    <w:link w:val="Subtitle"/>
    <w:rsid w:val="002A4568"/>
    <w:rPr>
      <w:rFonts w:ascii="Times New Roman" w:eastAsia="Times New Roman" w:hAnsi="Times New Roman" w:cs="Times New Roman"/>
      <w:b/>
      <w:iCs/>
      <w:color w:val="7F7F7F"/>
      <w:spacing w:val="15"/>
      <w:kern w:val="1"/>
      <w:sz w:val="32"/>
      <w:szCs w:val="24"/>
      <w:lang w:val="es-PR" w:eastAsia="ar-SA"/>
    </w:rPr>
  </w:style>
  <w:style w:type="paragraph" w:customStyle="1" w:styleId="Bibliography1">
    <w:name w:val="Bibliography1"/>
    <w:basedOn w:val="Normal"/>
    <w:next w:val="Normal"/>
    <w:unhideWhenUsed/>
    <w:rsid w:val="003A21B9"/>
    <w:pPr>
      <w:suppressAutoHyphens/>
      <w:ind w:firstLine="706"/>
    </w:pPr>
    <w:rPr>
      <w:rFonts w:eastAsia="SimSun" w:cs="Calibri"/>
      <w:kern w:val="1"/>
      <w:lang w:eastAsia="ar-SA"/>
    </w:rPr>
  </w:style>
  <w:style w:type="character" w:customStyle="1" w:styleId="apple-converted-space">
    <w:name w:val="apple-converted-space"/>
    <w:basedOn w:val="DefaultParagraphFont"/>
    <w:rsid w:val="003A21B9"/>
  </w:style>
  <w:style w:type="character" w:customStyle="1" w:styleId="Heading4Char">
    <w:name w:val="Heading 4 Char"/>
    <w:link w:val="Heading4"/>
    <w:rsid w:val="00331E52"/>
    <w:rPr>
      <w:rFonts w:ascii="Times New Roman" w:eastAsia="Times New Roman" w:hAnsi="Times New Roman" w:cs="Times New Roman"/>
      <w:b/>
      <w:bCs/>
      <w:i/>
      <w:iCs/>
      <w:sz w:val="24"/>
    </w:rPr>
  </w:style>
  <w:style w:type="numbering" w:customStyle="1" w:styleId="NoList3">
    <w:name w:val="No List3"/>
    <w:next w:val="NoList"/>
    <w:uiPriority w:val="99"/>
    <w:semiHidden/>
    <w:unhideWhenUsed/>
    <w:rsid w:val="00851652"/>
  </w:style>
  <w:style w:type="paragraph" w:styleId="ListBullet">
    <w:name w:val="List Bullet"/>
    <w:basedOn w:val="Normal"/>
    <w:unhideWhenUsed/>
    <w:rsid w:val="00851652"/>
    <w:pPr>
      <w:numPr>
        <w:numId w:val="12"/>
      </w:numPr>
      <w:tabs>
        <w:tab w:val="clear" w:pos="360"/>
      </w:tabs>
      <w:spacing w:line="240" w:lineRule="auto"/>
      <w:ind w:left="1080" w:hanging="720"/>
      <w:contextualSpacing/>
      <w:jc w:val="left"/>
    </w:pPr>
    <w:rPr>
      <w:rFonts w:ascii="Cambria" w:eastAsia="Cambria" w:hAnsi="Cambria"/>
      <w:szCs w:val="24"/>
    </w:rPr>
  </w:style>
  <w:style w:type="paragraph" w:styleId="z-TopofForm">
    <w:name w:val="HTML Top of Form"/>
    <w:basedOn w:val="Normal"/>
    <w:link w:val="z-TopofFormChar"/>
    <w:rsid w:val="00851652"/>
    <w:pPr>
      <w:spacing w:line="240" w:lineRule="auto"/>
      <w:ind w:firstLine="0"/>
      <w:jc w:val="left"/>
    </w:pPr>
    <w:rPr>
      <w:rFonts w:eastAsia="Times New Roman"/>
      <w:noProof/>
      <w:sz w:val="20"/>
      <w:szCs w:val="20"/>
    </w:rPr>
  </w:style>
  <w:style w:type="character" w:customStyle="1" w:styleId="z-TopofFormChar">
    <w:name w:val="z-Top of Form Char"/>
    <w:link w:val="z-TopofForm"/>
    <w:rsid w:val="00851652"/>
    <w:rPr>
      <w:rFonts w:ascii="Times New Roman" w:eastAsia="Times New Roman" w:hAnsi="Times New Roman" w:cs="Times New Roman"/>
      <w:noProof/>
      <w:sz w:val="20"/>
      <w:szCs w:val="20"/>
    </w:rPr>
  </w:style>
  <w:style w:type="character" w:customStyle="1" w:styleId="SubtleEmphasis1">
    <w:name w:val="Subtle Emphasis1"/>
    <w:qFormat/>
    <w:rsid w:val="002A4568"/>
    <w:rPr>
      <w:i/>
      <w:iCs/>
      <w:color w:val="808080"/>
    </w:rPr>
  </w:style>
  <w:style w:type="character" w:customStyle="1" w:styleId="MediumGrid2Char">
    <w:name w:val="Medium Grid 2 Char"/>
    <w:link w:val="MediumGrid21"/>
    <w:rsid w:val="006D2E08"/>
    <w:rPr>
      <w:rFonts w:ascii="Times New Roman" w:eastAsia="SimSun" w:hAnsi="Times New Roman"/>
      <w:kern w:val="1"/>
      <w:sz w:val="24"/>
      <w:lang w:val="es-PR" w:eastAsia="ar-SA" w:bidi="ar-SA"/>
    </w:rPr>
  </w:style>
  <w:style w:type="paragraph" w:customStyle="1" w:styleId="TOCHeading1">
    <w:name w:val="TOC Heading1"/>
    <w:basedOn w:val="Heading1"/>
    <w:next w:val="Normal"/>
    <w:unhideWhenUsed/>
    <w:qFormat/>
    <w:rsid w:val="00EB44B2"/>
    <w:pPr>
      <w:spacing w:before="480" w:beforeAutospacing="0" w:after="0" w:afterAutospacing="0" w:line="276" w:lineRule="auto"/>
      <w:outlineLvl w:val="9"/>
    </w:pPr>
    <w:rPr>
      <w:rFonts w:ascii="Cambria" w:hAnsi="Cambria"/>
      <w:color w:val="365F91"/>
    </w:rPr>
  </w:style>
  <w:style w:type="paragraph" w:styleId="TOC1">
    <w:name w:val="toc 1"/>
    <w:basedOn w:val="Normal"/>
    <w:next w:val="Normal"/>
    <w:autoRedefine/>
    <w:uiPriority w:val="39"/>
    <w:unhideWhenUsed/>
    <w:qFormat/>
    <w:rsid w:val="00CC0AEC"/>
    <w:pPr>
      <w:tabs>
        <w:tab w:val="right" w:leader="dot" w:pos="9350"/>
      </w:tabs>
      <w:spacing w:after="100"/>
      <w:ind w:firstLine="0"/>
    </w:pPr>
    <w:rPr>
      <w:b/>
      <w:sz w:val="36"/>
      <w:szCs w:val="28"/>
    </w:rPr>
  </w:style>
  <w:style w:type="paragraph" w:styleId="TOC2">
    <w:name w:val="toc 2"/>
    <w:basedOn w:val="Normal"/>
    <w:next w:val="Normal"/>
    <w:autoRedefine/>
    <w:uiPriority w:val="39"/>
    <w:unhideWhenUsed/>
    <w:qFormat/>
    <w:rsid w:val="00816F19"/>
    <w:pPr>
      <w:tabs>
        <w:tab w:val="left" w:pos="1170"/>
        <w:tab w:val="right" w:leader="dot" w:pos="9350"/>
      </w:tabs>
      <w:spacing w:after="100"/>
      <w:ind w:left="1170" w:hanging="630"/>
    </w:pPr>
  </w:style>
  <w:style w:type="paragraph" w:styleId="TOC3">
    <w:name w:val="toc 3"/>
    <w:basedOn w:val="Normal"/>
    <w:next w:val="Normal"/>
    <w:autoRedefine/>
    <w:uiPriority w:val="39"/>
    <w:unhideWhenUsed/>
    <w:qFormat/>
    <w:rsid w:val="007538AA"/>
    <w:pPr>
      <w:tabs>
        <w:tab w:val="left" w:pos="90"/>
        <w:tab w:val="left" w:pos="1867"/>
        <w:tab w:val="right" w:leader="dot" w:pos="9350"/>
      </w:tabs>
      <w:spacing w:after="100" w:line="240" w:lineRule="auto"/>
      <w:ind w:left="1890" w:hanging="450"/>
      <w:jc w:val="left"/>
    </w:pPr>
    <w:rPr>
      <w:noProof/>
      <w:szCs w:val="24"/>
    </w:rPr>
  </w:style>
  <w:style w:type="paragraph" w:styleId="TOC4">
    <w:name w:val="toc 4"/>
    <w:basedOn w:val="Normal"/>
    <w:next w:val="Normal"/>
    <w:autoRedefine/>
    <w:uiPriority w:val="39"/>
    <w:unhideWhenUsed/>
    <w:rsid w:val="0080668B"/>
    <w:pPr>
      <w:tabs>
        <w:tab w:val="left" w:pos="1170"/>
        <w:tab w:val="right" w:leader="dot" w:pos="9350"/>
      </w:tabs>
      <w:spacing w:after="100" w:line="259" w:lineRule="auto"/>
      <w:ind w:left="1170" w:hanging="450"/>
      <w:jc w:val="left"/>
    </w:pPr>
    <w:rPr>
      <w:rFonts w:ascii="Calibri" w:eastAsia="Times New Roman" w:hAnsi="Calibri"/>
      <w:sz w:val="22"/>
    </w:rPr>
  </w:style>
  <w:style w:type="paragraph" w:styleId="TOC5">
    <w:name w:val="toc 5"/>
    <w:basedOn w:val="Normal"/>
    <w:next w:val="Normal"/>
    <w:autoRedefine/>
    <w:uiPriority w:val="39"/>
    <w:unhideWhenUsed/>
    <w:rsid w:val="00D511EF"/>
    <w:pPr>
      <w:spacing w:after="100" w:line="259" w:lineRule="auto"/>
      <w:ind w:left="880" w:firstLine="0"/>
      <w:jc w:val="left"/>
    </w:pPr>
    <w:rPr>
      <w:rFonts w:ascii="Calibri" w:eastAsia="Times New Roman" w:hAnsi="Calibri"/>
      <w:sz w:val="22"/>
    </w:rPr>
  </w:style>
  <w:style w:type="paragraph" w:styleId="TOC6">
    <w:name w:val="toc 6"/>
    <w:basedOn w:val="Normal"/>
    <w:next w:val="Normal"/>
    <w:autoRedefine/>
    <w:uiPriority w:val="39"/>
    <w:unhideWhenUsed/>
    <w:rsid w:val="00D511EF"/>
    <w:pPr>
      <w:spacing w:after="100" w:line="259" w:lineRule="auto"/>
      <w:ind w:left="1100" w:firstLine="0"/>
      <w:jc w:val="left"/>
    </w:pPr>
    <w:rPr>
      <w:rFonts w:ascii="Calibri" w:eastAsia="Times New Roman" w:hAnsi="Calibri"/>
      <w:sz w:val="22"/>
    </w:rPr>
  </w:style>
  <w:style w:type="paragraph" w:styleId="TOC7">
    <w:name w:val="toc 7"/>
    <w:basedOn w:val="Normal"/>
    <w:next w:val="Normal"/>
    <w:autoRedefine/>
    <w:uiPriority w:val="39"/>
    <w:unhideWhenUsed/>
    <w:rsid w:val="00D511EF"/>
    <w:pPr>
      <w:spacing w:after="100" w:line="259" w:lineRule="auto"/>
      <w:ind w:left="1320" w:firstLine="0"/>
      <w:jc w:val="left"/>
    </w:pPr>
    <w:rPr>
      <w:rFonts w:ascii="Calibri" w:eastAsia="Times New Roman" w:hAnsi="Calibri"/>
      <w:sz w:val="22"/>
    </w:rPr>
  </w:style>
  <w:style w:type="paragraph" w:styleId="TOC8">
    <w:name w:val="toc 8"/>
    <w:basedOn w:val="Normal"/>
    <w:next w:val="Normal"/>
    <w:autoRedefine/>
    <w:uiPriority w:val="39"/>
    <w:unhideWhenUsed/>
    <w:rsid w:val="00D511EF"/>
    <w:pPr>
      <w:spacing w:after="100" w:line="259" w:lineRule="auto"/>
      <w:ind w:left="1540" w:firstLine="0"/>
      <w:jc w:val="left"/>
    </w:pPr>
    <w:rPr>
      <w:rFonts w:ascii="Calibri" w:eastAsia="Times New Roman" w:hAnsi="Calibri"/>
      <w:sz w:val="22"/>
    </w:rPr>
  </w:style>
  <w:style w:type="paragraph" w:styleId="TOC9">
    <w:name w:val="toc 9"/>
    <w:basedOn w:val="Normal"/>
    <w:next w:val="Normal"/>
    <w:autoRedefine/>
    <w:uiPriority w:val="39"/>
    <w:unhideWhenUsed/>
    <w:rsid w:val="00D511EF"/>
    <w:pPr>
      <w:spacing w:after="100" w:line="259" w:lineRule="auto"/>
      <w:ind w:left="1760" w:firstLine="0"/>
      <w:jc w:val="left"/>
    </w:pPr>
    <w:rPr>
      <w:rFonts w:ascii="Calibri" w:eastAsia="Times New Roman" w:hAnsi="Calibri"/>
      <w:sz w:val="22"/>
    </w:rPr>
  </w:style>
  <w:style w:type="character" w:customStyle="1" w:styleId="Heading5Char">
    <w:name w:val="Heading 5 Char"/>
    <w:link w:val="Heading5"/>
    <w:rsid w:val="00331E52"/>
    <w:rPr>
      <w:rFonts w:ascii="Cambria" w:eastAsia="Times New Roman" w:hAnsi="Cambria" w:cs="Times New Roman"/>
      <w:color w:val="243F60"/>
      <w:sz w:val="24"/>
    </w:rPr>
  </w:style>
  <w:style w:type="paragraph" w:styleId="ListParagraph">
    <w:name w:val="List Paragraph"/>
    <w:basedOn w:val="Normal"/>
    <w:qFormat/>
    <w:rsid w:val="00437C6A"/>
    <w:pPr>
      <w:spacing w:line="480" w:lineRule="auto"/>
      <w:ind w:left="720"/>
      <w:contextualSpacing/>
    </w:pPr>
  </w:style>
  <w:style w:type="paragraph" w:styleId="Quote">
    <w:name w:val="Quote"/>
    <w:basedOn w:val="Normal"/>
    <w:next w:val="Normal"/>
    <w:link w:val="QuoteChar"/>
    <w:qFormat/>
    <w:rsid w:val="00437C6A"/>
    <w:pPr>
      <w:suppressAutoHyphens/>
      <w:spacing w:line="480" w:lineRule="auto"/>
      <w:ind w:firstLine="706"/>
    </w:pPr>
    <w:rPr>
      <w:rFonts w:eastAsia="SimSun" w:cs="Calibri"/>
      <w:i/>
      <w:iCs/>
      <w:color w:val="000000"/>
      <w:kern w:val="1"/>
      <w:lang w:eastAsia="ar-SA"/>
    </w:rPr>
  </w:style>
  <w:style w:type="character" w:customStyle="1" w:styleId="QuoteChar">
    <w:name w:val="Quote Char"/>
    <w:basedOn w:val="DefaultParagraphFont"/>
    <w:link w:val="Quote"/>
    <w:rsid w:val="00437C6A"/>
    <w:rPr>
      <w:rFonts w:ascii="Times New Roman" w:eastAsia="SimSun" w:hAnsi="Times New Roman" w:cs="Calibri"/>
      <w:i/>
      <w:iCs/>
      <w:color w:val="000000"/>
      <w:kern w:val="1"/>
      <w:sz w:val="24"/>
      <w:szCs w:val="22"/>
      <w:lang w:val="es-PR" w:eastAsia="ar-SA"/>
    </w:rPr>
  </w:style>
  <w:style w:type="paragraph" w:styleId="NoSpacing">
    <w:name w:val="No Spacing"/>
    <w:link w:val="NoSpacingChar"/>
    <w:qFormat/>
    <w:rsid w:val="00437C6A"/>
    <w:pPr>
      <w:suppressAutoHyphens/>
      <w:ind w:firstLine="706"/>
      <w:jc w:val="both"/>
    </w:pPr>
    <w:rPr>
      <w:rFonts w:ascii="Times New Roman" w:eastAsia="SimSun" w:hAnsi="Times New Roman" w:cs="Calibri"/>
      <w:kern w:val="1"/>
      <w:sz w:val="24"/>
      <w:szCs w:val="22"/>
      <w:lang w:val="es-PR" w:eastAsia="ar-SA"/>
    </w:rPr>
  </w:style>
  <w:style w:type="character" w:customStyle="1" w:styleId="NoSpacingChar">
    <w:name w:val="No Spacing Char"/>
    <w:link w:val="NoSpacing"/>
    <w:locked/>
    <w:rsid w:val="00437C6A"/>
    <w:rPr>
      <w:rFonts w:ascii="Times New Roman" w:eastAsia="SimSun" w:hAnsi="Times New Roman" w:cs="Calibri"/>
      <w:kern w:val="1"/>
      <w:sz w:val="24"/>
      <w:szCs w:val="22"/>
      <w:lang w:val="es-PR" w:eastAsia="ar-SA"/>
    </w:rPr>
  </w:style>
  <w:style w:type="character" w:customStyle="1" w:styleId="fn">
    <w:name w:val="fn"/>
    <w:basedOn w:val="DefaultParagraphFont"/>
    <w:rsid w:val="00B015EE"/>
  </w:style>
  <w:style w:type="character" w:customStyle="1" w:styleId="Subtitle1">
    <w:name w:val="Subtitle1"/>
    <w:basedOn w:val="DefaultParagraphFont"/>
    <w:rsid w:val="00B015EE"/>
  </w:style>
  <w:style w:type="character" w:customStyle="1" w:styleId="num-ratings">
    <w:name w:val="num-ratings"/>
    <w:basedOn w:val="DefaultParagraphFont"/>
    <w:rsid w:val="00B015EE"/>
  </w:style>
  <w:style w:type="character" w:customStyle="1" w:styleId="count">
    <w:name w:val="count"/>
    <w:basedOn w:val="DefaultParagraphFont"/>
    <w:rsid w:val="00B015EE"/>
  </w:style>
  <w:style w:type="character" w:customStyle="1" w:styleId="st">
    <w:name w:val="st"/>
    <w:basedOn w:val="DefaultParagraphFont"/>
    <w:rsid w:val="00B015EE"/>
  </w:style>
  <w:style w:type="character" w:styleId="Emphasis">
    <w:name w:val="Emphasis"/>
    <w:basedOn w:val="DefaultParagraphFont"/>
    <w:uiPriority w:val="20"/>
    <w:qFormat/>
    <w:rsid w:val="00B015EE"/>
    <w:rPr>
      <w:i/>
      <w:iCs/>
    </w:rPr>
  </w:style>
  <w:style w:type="paragraph" w:styleId="HTMLPreformatted">
    <w:name w:val="HTML Preformatted"/>
    <w:basedOn w:val="Normal"/>
    <w:link w:val="HTMLPreformattedChar"/>
    <w:uiPriority w:val="99"/>
    <w:unhideWhenUsed/>
    <w:rsid w:val="00B01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015EE"/>
    <w:rPr>
      <w:rFonts w:ascii="Courier New" w:eastAsia="Times New Roman" w:hAnsi="Courier New" w:cs="Courier New"/>
    </w:rPr>
  </w:style>
  <w:style w:type="paragraph" w:styleId="Bibliography">
    <w:name w:val="Bibliography"/>
    <w:basedOn w:val="Normal"/>
    <w:next w:val="Normal"/>
    <w:rsid w:val="001F32F7"/>
  </w:style>
</w:styles>
</file>

<file path=word/webSettings.xml><?xml version="1.0" encoding="utf-8"?>
<w:webSettings xmlns:r="http://schemas.openxmlformats.org/officeDocument/2006/relationships" xmlns:w="http://schemas.openxmlformats.org/wordprocessingml/2006/main">
  <w:divs>
    <w:div w:id="154037231">
      <w:bodyDiv w:val="1"/>
      <w:marLeft w:val="0"/>
      <w:marRight w:val="0"/>
      <w:marTop w:val="0"/>
      <w:marBottom w:val="0"/>
      <w:divBdr>
        <w:top w:val="none" w:sz="0" w:space="0" w:color="auto"/>
        <w:left w:val="none" w:sz="0" w:space="0" w:color="auto"/>
        <w:bottom w:val="none" w:sz="0" w:space="0" w:color="auto"/>
        <w:right w:val="none" w:sz="0" w:space="0" w:color="auto"/>
      </w:divBdr>
      <w:divsChild>
        <w:div w:id="257638551">
          <w:marLeft w:val="432"/>
          <w:marRight w:val="0"/>
          <w:marTop w:val="115"/>
          <w:marBottom w:val="0"/>
          <w:divBdr>
            <w:top w:val="none" w:sz="0" w:space="0" w:color="auto"/>
            <w:left w:val="none" w:sz="0" w:space="0" w:color="auto"/>
            <w:bottom w:val="none" w:sz="0" w:space="0" w:color="auto"/>
            <w:right w:val="none" w:sz="0" w:space="0" w:color="auto"/>
          </w:divBdr>
        </w:div>
        <w:div w:id="715547273">
          <w:marLeft w:val="432"/>
          <w:marRight w:val="0"/>
          <w:marTop w:val="115"/>
          <w:marBottom w:val="0"/>
          <w:divBdr>
            <w:top w:val="none" w:sz="0" w:space="0" w:color="auto"/>
            <w:left w:val="none" w:sz="0" w:space="0" w:color="auto"/>
            <w:bottom w:val="none" w:sz="0" w:space="0" w:color="auto"/>
            <w:right w:val="none" w:sz="0" w:space="0" w:color="auto"/>
          </w:divBdr>
        </w:div>
        <w:div w:id="989015136">
          <w:marLeft w:val="432"/>
          <w:marRight w:val="0"/>
          <w:marTop w:val="115"/>
          <w:marBottom w:val="0"/>
          <w:divBdr>
            <w:top w:val="none" w:sz="0" w:space="0" w:color="auto"/>
            <w:left w:val="none" w:sz="0" w:space="0" w:color="auto"/>
            <w:bottom w:val="none" w:sz="0" w:space="0" w:color="auto"/>
            <w:right w:val="none" w:sz="0" w:space="0" w:color="auto"/>
          </w:divBdr>
        </w:div>
        <w:div w:id="1670793512">
          <w:marLeft w:val="432"/>
          <w:marRight w:val="0"/>
          <w:marTop w:val="115"/>
          <w:marBottom w:val="0"/>
          <w:divBdr>
            <w:top w:val="none" w:sz="0" w:space="0" w:color="auto"/>
            <w:left w:val="none" w:sz="0" w:space="0" w:color="auto"/>
            <w:bottom w:val="none" w:sz="0" w:space="0" w:color="auto"/>
            <w:right w:val="none" w:sz="0" w:space="0" w:color="auto"/>
          </w:divBdr>
        </w:div>
      </w:divsChild>
    </w:div>
    <w:div w:id="268120090">
      <w:bodyDiv w:val="1"/>
      <w:marLeft w:val="0"/>
      <w:marRight w:val="0"/>
      <w:marTop w:val="0"/>
      <w:marBottom w:val="0"/>
      <w:divBdr>
        <w:top w:val="none" w:sz="0" w:space="0" w:color="auto"/>
        <w:left w:val="none" w:sz="0" w:space="0" w:color="auto"/>
        <w:bottom w:val="none" w:sz="0" w:space="0" w:color="auto"/>
        <w:right w:val="none" w:sz="0" w:space="0" w:color="auto"/>
      </w:divBdr>
      <w:divsChild>
        <w:div w:id="546255765">
          <w:marLeft w:val="1008"/>
          <w:marRight w:val="0"/>
          <w:marTop w:val="96"/>
          <w:marBottom w:val="0"/>
          <w:divBdr>
            <w:top w:val="none" w:sz="0" w:space="0" w:color="auto"/>
            <w:left w:val="none" w:sz="0" w:space="0" w:color="auto"/>
            <w:bottom w:val="none" w:sz="0" w:space="0" w:color="auto"/>
            <w:right w:val="none" w:sz="0" w:space="0" w:color="auto"/>
          </w:divBdr>
        </w:div>
        <w:div w:id="925915400">
          <w:marLeft w:val="1008"/>
          <w:marRight w:val="0"/>
          <w:marTop w:val="96"/>
          <w:marBottom w:val="0"/>
          <w:divBdr>
            <w:top w:val="none" w:sz="0" w:space="0" w:color="auto"/>
            <w:left w:val="none" w:sz="0" w:space="0" w:color="auto"/>
            <w:bottom w:val="none" w:sz="0" w:space="0" w:color="auto"/>
            <w:right w:val="none" w:sz="0" w:space="0" w:color="auto"/>
          </w:divBdr>
        </w:div>
        <w:div w:id="1675647903">
          <w:marLeft w:val="1008"/>
          <w:marRight w:val="0"/>
          <w:marTop w:val="96"/>
          <w:marBottom w:val="0"/>
          <w:divBdr>
            <w:top w:val="none" w:sz="0" w:space="0" w:color="auto"/>
            <w:left w:val="none" w:sz="0" w:space="0" w:color="auto"/>
            <w:bottom w:val="none" w:sz="0" w:space="0" w:color="auto"/>
            <w:right w:val="none" w:sz="0" w:space="0" w:color="auto"/>
          </w:divBdr>
        </w:div>
      </w:divsChild>
    </w:div>
    <w:div w:id="322781269">
      <w:bodyDiv w:val="1"/>
      <w:marLeft w:val="0"/>
      <w:marRight w:val="0"/>
      <w:marTop w:val="0"/>
      <w:marBottom w:val="0"/>
      <w:divBdr>
        <w:top w:val="none" w:sz="0" w:space="0" w:color="auto"/>
        <w:left w:val="none" w:sz="0" w:space="0" w:color="auto"/>
        <w:bottom w:val="none" w:sz="0" w:space="0" w:color="auto"/>
        <w:right w:val="none" w:sz="0" w:space="0" w:color="auto"/>
      </w:divBdr>
      <w:divsChild>
        <w:div w:id="1456630995">
          <w:marLeft w:val="1008"/>
          <w:marRight w:val="0"/>
          <w:marTop w:val="106"/>
          <w:marBottom w:val="0"/>
          <w:divBdr>
            <w:top w:val="none" w:sz="0" w:space="0" w:color="auto"/>
            <w:left w:val="none" w:sz="0" w:space="0" w:color="auto"/>
            <w:bottom w:val="none" w:sz="0" w:space="0" w:color="auto"/>
            <w:right w:val="none" w:sz="0" w:space="0" w:color="auto"/>
          </w:divBdr>
        </w:div>
        <w:div w:id="1667516076">
          <w:marLeft w:val="1008"/>
          <w:marRight w:val="0"/>
          <w:marTop w:val="106"/>
          <w:marBottom w:val="0"/>
          <w:divBdr>
            <w:top w:val="none" w:sz="0" w:space="0" w:color="auto"/>
            <w:left w:val="none" w:sz="0" w:space="0" w:color="auto"/>
            <w:bottom w:val="none" w:sz="0" w:space="0" w:color="auto"/>
            <w:right w:val="none" w:sz="0" w:space="0" w:color="auto"/>
          </w:divBdr>
        </w:div>
      </w:divsChild>
    </w:div>
    <w:div w:id="336344622">
      <w:bodyDiv w:val="1"/>
      <w:marLeft w:val="0"/>
      <w:marRight w:val="0"/>
      <w:marTop w:val="0"/>
      <w:marBottom w:val="0"/>
      <w:divBdr>
        <w:top w:val="none" w:sz="0" w:space="0" w:color="auto"/>
        <w:left w:val="none" w:sz="0" w:space="0" w:color="auto"/>
        <w:bottom w:val="none" w:sz="0" w:space="0" w:color="auto"/>
        <w:right w:val="none" w:sz="0" w:space="0" w:color="auto"/>
      </w:divBdr>
      <w:divsChild>
        <w:div w:id="259147732">
          <w:marLeft w:val="1008"/>
          <w:marRight w:val="0"/>
          <w:marTop w:val="96"/>
          <w:marBottom w:val="0"/>
          <w:divBdr>
            <w:top w:val="none" w:sz="0" w:space="0" w:color="auto"/>
            <w:left w:val="none" w:sz="0" w:space="0" w:color="auto"/>
            <w:bottom w:val="none" w:sz="0" w:space="0" w:color="auto"/>
            <w:right w:val="none" w:sz="0" w:space="0" w:color="auto"/>
          </w:divBdr>
        </w:div>
        <w:div w:id="285358080">
          <w:marLeft w:val="432"/>
          <w:marRight w:val="0"/>
          <w:marTop w:val="106"/>
          <w:marBottom w:val="0"/>
          <w:divBdr>
            <w:top w:val="none" w:sz="0" w:space="0" w:color="auto"/>
            <w:left w:val="none" w:sz="0" w:space="0" w:color="auto"/>
            <w:bottom w:val="none" w:sz="0" w:space="0" w:color="auto"/>
            <w:right w:val="none" w:sz="0" w:space="0" w:color="auto"/>
          </w:divBdr>
        </w:div>
        <w:div w:id="365184866">
          <w:marLeft w:val="1008"/>
          <w:marRight w:val="0"/>
          <w:marTop w:val="96"/>
          <w:marBottom w:val="0"/>
          <w:divBdr>
            <w:top w:val="none" w:sz="0" w:space="0" w:color="auto"/>
            <w:left w:val="none" w:sz="0" w:space="0" w:color="auto"/>
            <w:bottom w:val="none" w:sz="0" w:space="0" w:color="auto"/>
            <w:right w:val="none" w:sz="0" w:space="0" w:color="auto"/>
          </w:divBdr>
        </w:div>
        <w:div w:id="937061451">
          <w:marLeft w:val="1008"/>
          <w:marRight w:val="0"/>
          <w:marTop w:val="96"/>
          <w:marBottom w:val="0"/>
          <w:divBdr>
            <w:top w:val="none" w:sz="0" w:space="0" w:color="auto"/>
            <w:left w:val="none" w:sz="0" w:space="0" w:color="auto"/>
            <w:bottom w:val="none" w:sz="0" w:space="0" w:color="auto"/>
            <w:right w:val="none" w:sz="0" w:space="0" w:color="auto"/>
          </w:divBdr>
        </w:div>
        <w:div w:id="1626735526">
          <w:marLeft w:val="1008"/>
          <w:marRight w:val="0"/>
          <w:marTop w:val="96"/>
          <w:marBottom w:val="0"/>
          <w:divBdr>
            <w:top w:val="none" w:sz="0" w:space="0" w:color="auto"/>
            <w:left w:val="none" w:sz="0" w:space="0" w:color="auto"/>
            <w:bottom w:val="none" w:sz="0" w:space="0" w:color="auto"/>
            <w:right w:val="none" w:sz="0" w:space="0" w:color="auto"/>
          </w:divBdr>
        </w:div>
        <w:div w:id="2054578890">
          <w:marLeft w:val="1008"/>
          <w:marRight w:val="0"/>
          <w:marTop w:val="96"/>
          <w:marBottom w:val="0"/>
          <w:divBdr>
            <w:top w:val="none" w:sz="0" w:space="0" w:color="auto"/>
            <w:left w:val="none" w:sz="0" w:space="0" w:color="auto"/>
            <w:bottom w:val="none" w:sz="0" w:space="0" w:color="auto"/>
            <w:right w:val="none" w:sz="0" w:space="0" w:color="auto"/>
          </w:divBdr>
        </w:div>
      </w:divsChild>
    </w:div>
    <w:div w:id="378211935">
      <w:bodyDiv w:val="1"/>
      <w:marLeft w:val="0"/>
      <w:marRight w:val="0"/>
      <w:marTop w:val="0"/>
      <w:marBottom w:val="0"/>
      <w:divBdr>
        <w:top w:val="none" w:sz="0" w:space="0" w:color="auto"/>
        <w:left w:val="none" w:sz="0" w:space="0" w:color="auto"/>
        <w:bottom w:val="none" w:sz="0" w:space="0" w:color="auto"/>
        <w:right w:val="none" w:sz="0" w:space="0" w:color="auto"/>
      </w:divBdr>
      <w:divsChild>
        <w:div w:id="2129637">
          <w:marLeft w:val="432"/>
          <w:marRight w:val="0"/>
          <w:marTop w:val="106"/>
          <w:marBottom w:val="0"/>
          <w:divBdr>
            <w:top w:val="none" w:sz="0" w:space="0" w:color="auto"/>
            <w:left w:val="none" w:sz="0" w:space="0" w:color="auto"/>
            <w:bottom w:val="none" w:sz="0" w:space="0" w:color="auto"/>
            <w:right w:val="none" w:sz="0" w:space="0" w:color="auto"/>
          </w:divBdr>
        </w:div>
        <w:div w:id="1068459169">
          <w:marLeft w:val="432"/>
          <w:marRight w:val="0"/>
          <w:marTop w:val="106"/>
          <w:marBottom w:val="0"/>
          <w:divBdr>
            <w:top w:val="none" w:sz="0" w:space="0" w:color="auto"/>
            <w:left w:val="none" w:sz="0" w:space="0" w:color="auto"/>
            <w:bottom w:val="none" w:sz="0" w:space="0" w:color="auto"/>
            <w:right w:val="none" w:sz="0" w:space="0" w:color="auto"/>
          </w:divBdr>
        </w:div>
        <w:div w:id="1339381158">
          <w:marLeft w:val="432"/>
          <w:marRight w:val="0"/>
          <w:marTop w:val="106"/>
          <w:marBottom w:val="0"/>
          <w:divBdr>
            <w:top w:val="none" w:sz="0" w:space="0" w:color="auto"/>
            <w:left w:val="none" w:sz="0" w:space="0" w:color="auto"/>
            <w:bottom w:val="none" w:sz="0" w:space="0" w:color="auto"/>
            <w:right w:val="none" w:sz="0" w:space="0" w:color="auto"/>
          </w:divBdr>
        </w:div>
        <w:div w:id="1379083665">
          <w:marLeft w:val="432"/>
          <w:marRight w:val="0"/>
          <w:marTop w:val="106"/>
          <w:marBottom w:val="0"/>
          <w:divBdr>
            <w:top w:val="none" w:sz="0" w:space="0" w:color="auto"/>
            <w:left w:val="none" w:sz="0" w:space="0" w:color="auto"/>
            <w:bottom w:val="none" w:sz="0" w:space="0" w:color="auto"/>
            <w:right w:val="none" w:sz="0" w:space="0" w:color="auto"/>
          </w:divBdr>
        </w:div>
        <w:div w:id="1536190941">
          <w:marLeft w:val="432"/>
          <w:marRight w:val="0"/>
          <w:marTop w:val="106"/>
          <w:marBottom w:val="0"/>
          <w:divBdr>
            <w:top w:val="none" w:sz="0" w:space="0" w:color="auto"/>
            <w:left w:val="none" w:sz="0" w:space="0" w:color="auto"/>
            <w:bottom w:val="none" w:sz="0" w:space="0" w:color="auto"/>
            <w:right w:val="none" w:sz="0" w:space="0" w:color="auto"/>
          </w:divBdr>
        </w:div>
        <w:div w:id="1703944878">
          <w:marLeft w:val="432"/>
          <w:marRight w:val="0"/>
          <w:marTop w:val="106"/>
          <w:marBottom w:val="0"/>
          <w:divBdr>
            <w:top w:val="none" w:sz="0" w:space="0" w:color="auto"/>
            <w:left w:val="none" w:sz="0" w:space="0" w:color="auto"/>
            <w:bottom w:val="none" w:sz="0" w:space="0" w:color="auto"/>
            <w:right w:val="none" w:sz="0" w:space="0" w:color="auto"/>
          </w:divBdr>
        </w:div>
      </w:divsChild>
    </w:div>
    <w:div w:id="446701906">
      <w:bodyDiv w:val="1"/>
      <w:marLeft w:val="0"/>
      <w:marRight w:val="0"/>
      <w:marTop w:val="0"/>
      <w:marBottom w:val="0"/>
      <w:divBdr>
        <w:top w:val="none" w:sz="0" w:space="0" w:color="auto"/>
        <w:left w:val="none" w:sz="0" w:space="0" w:color="auto"/>
        <w:bottom w:val="none" w:sz="0" w:space="0" w:color="auto"/>
        <w:right w:val="none" w:sz="0" w:space="0" w:color="auto"/>
      </w:divBdr>
      <w:divsChild>
        <w:div w:id="66196470">
          <w:marLeft w:val="1008"/>
          <w:marRight w:val="0"/>
          <w:marTop w:val="72"/>
          <w:marBottom w:val="0"/>
          <w:divBdr>
            <w:top w:val="none" w:sz="0" w:space="0" w:color="auto"/>
            <w:left w:val="none" w:sz="0" w:space="0" w:color="auto"/>
            <w:bottom w:val="none" w:sz="0" w:space="0" w:color="auto"/>
            <w:right w:val="none" w:sz="0" w:space="0" w:color="auto"/>
          </w:divBdr>
        </w:div>
        <w:div w:id="527183910">
          <w:marLeft w:val="1008"/>
          <w:marRight w:val="0"/>
          <w:marTop w:val="72"/>
          <w:marBottom w:val="0"/>
          <w:divBdr>
            <w:top w:val="none" w:sz="0" w:space="0" w:color="auto"/>
            <w:left w:val="none" w:sz="0" w:space="0" w:color="auto"/>
            <w:bottom w:val="none" w:sz="0" w:space="0" w:color="auto"/>
            <w:right w:val="none" w:sz="0" w:space="0" w:color="auto"/>
          </w:divBdr>
        </w:div>
        <w:div w:id="961182385">
          <w:marLeft w:val="1008"/>
          <w:marRight w:val="0"/>
          <w:marTop w:val="72"/>
          <w:marBottom w:val="0"/>
          <w:divBdr>
            <w:top w:val="none" w:sz="0" w:space="0" w:color="auto"/>
            <w:left w:val="none" w:sz="0" w:space="0" w:color="auto"/>
            <w:bottom w:val="none" w:sz="0" w:space="0" w:color="auto"/>
            <w:right w:val="none" w:sz="0" w:space="0" w:color="auto"/>
          </w:divBdr>
        </w:div>
        <w:div w:id="1198665682">
          <w:marLeft w:val="432"/>
          <w:marRight w:val="0"/>
          <w:marTop w:val="77"/>
          <w:marBottom w:val="0"/>
          <w:divBdr>
            <w:top w:val="none" w:sz="0" w:space="0" w:color="auto"/>
            <w:left w:val="none" w:sz="0" w:space="0" w:color="auto"/>
            <w:bottom w:val="none" w:sz="0" w:space="0" w:color="auto"/>
            <w:right w:val="none" w:sz="0" w:space="0" w:color="auto"/>
          </w:divBdr>
        </w:div>
        <w:div w:id="1511218433">
          <w:marLeft w:val="1008"/>
          <w:marRight w:val="0"/>
          <w:marTop w:val="72"/>
          <w:marBottom w:val="0"/>
          <w:divBdr>
            <w:top w:val="none" w:sz="0" w:space="0" w:color="auto"/>
            <w:left w:val="none" w:sz="0" w:space="0" w:color="auto"/>
            <w:bottom w:val="none" w:sz="0" w:space="0" w:color="auto"/>
            <w:right w:val="none" w:sz="0" w:space="0" w:color="auto"/>
          </w:divBdr>
        </w:div>
      </w:divsChild>
    </w:div>
    <w:div w:id="456333219">
      <w:bodyDiv w:val="1"/>
      <w:marLeft w:val="0"/>
      <w:marRight w:val="0"/>
      <w:marTop w:val="0"/>
      <w:marBottom w:val="0"/>
      <w:divBdr>
        <w:top w:val="none" w:sz="0" w:space="0" w:color="auto"/>
        <w:left w:val="none" w:sz="0" w:space="0" w:color="auto"/>
        <w:bottom w:val="none" w:sz="0" w:space="0" w:color="auto"/>
        <w:right w:val="none" w:sz="0" w:space="0" w:color="auto"/>
      </w:divBdr>
      <w:divsChild>
        <w:div w:id="796416614">
          <w:marLeft w:val="1008"/>
          <w:marRight w:val="0"/>
          <w:marTop w:val="106"/>
          <w:marBottom w:val="0"/>
          <w:divBdr>
            <w:top w:val="none" w:sz="0" w:space="0" w:color="auto"/>
            <w:left w:val="none" w:sz="0" w:space="0" w:color="auto"/>
            <w:bottom w:val="none" w:sz="0" w:space="0" w:color="auto"/>
            <w:right w:val="none" w:sz="0" w:space="0" w:color="auto"/>
          </w:divBdr>
        </w:div>
        <w:div w:id="1797749086">
          <w:marLeft w:val="1008"/>
          <w:marRight w:val="0"/>
          <w:marTop w:val="106"/>
          <w:marBottom w:val="0"/>
          <w:divBdr>
            <w:top w:val="none" w:sz="0" w:space="0" w:color="auto"/>
            <w:left w:val="none" w:sz="0" w:space="0" w:color="auto"/>
            <w:bottom w:val="none" w:sz="0" w:space="0" w:color="auto"/>
            <w:right w:val="none" w:sz="0" w:space="0" w:color="auto"/>
          </w:divBdr>
        </w:div>
      </w:divsChild>
    </w:div>
    <w:div w:id="599608451">
      <w:bodyDiv w:val="1"/>
      <w:marLeft w:val="0"/>
      <w:marRight w:val="0"/>
      <w:marTop w:val="0"/>
      <w:marBottom w:val="0"/>
      <w:divBdr>
        <w:top w:val="none" w:sz="0" w:space="0" w:color="auto"/>
        <w:left w:val="none" w:sz="0" w:space="0" w:color="auto"/>
        <w:bottom w:val="none" w:sz="0" w:space="0" w:color="auto"/>
        <w:right w:val="none" w:sz="0" w:space="0" w:color="auto"/>
      </w:divBdr>
      <w:divsChild>
        <w:div w:id="16396388">
          <w:marLeft w:val="1440"/>
          <w:marRight w:val="0"/>
          <w:marTop w:val="77"/>
          <w:marBottom w:val="0"/>
          <w:divBdr>
            <w:top w:val="none" w:sz="0" w:space="0" w:color="auto"/>
            <w:left w:val="none" w:sz="0" w:space="0" w:color="auto"/>
            <w:bottom w:val="none" w:sz="0" w:space="0" w:color="auto"/>
            <w:right w:val="none" w:sz="0" w:space="0" w:color="auto"/>
          </w:divBdr>
        </w:div>
        <w:div w:id="638998056">
          <w:marLeft w:val="432"/>
          <w:marRight w:val="0"/>
          <w:marTop w:val="96"/>
          <w:marBottom w:val="0"/>
          <w:divBdr>
            <w:top w:val="none" w:sz="0" w:space="0" w:color="auto"/>
            <w:left w:val="none" w:sz="0" w:space="0" w:color="auto"/>
            <w:bottom w:val="none" w:sz="0" w:space="0" w:color="auto"/>
            <w:right w:val="none" w:sz="0" w:space="0" w:color="auto"/>
          </w:divBdr>
        </w:div>
        <w:div w:id="840896324">
          <w:marLeft w:val="432"/>
          <w:marRight w:val="0"/>
          <w:marTop w:val="96"/>
          <w:marBottom w:val="0"/>
          <w:divBdr>
            <w:top w:val="none" w:sz="0" w:space="0" w:color="auto"/>
            <w:left w:val="none" w:sz="0" w:space="0" w:color="auto"/>
            <w:bottom w:val="none" w:sz="0" w:space="0" w:color="auto"/>
            <w:right w:val="none" w:sz="0" w:space="0" w:color="auto"/>
          </w:divBdr>
        </w:div>
        <w:div w:id="863712141">
          <w:marLeft w:val="432"/>
          <w:marRight w:val="0"/>
          <w:marTop w:val="96"/>
          <w:marBottom w:val="0"/>
          <w:divBdr>
            <w:top w:val="none" w:sz="0" w:space="0" w:color="auto"/>
            <w:left w:val="none" w:sz="0" w:space="0" w:color="auto"/>
            <w:bottom w:val="none" w:sz="0" w:space="0" w:color="auto"/>
            <w:right w:val="none" w:sz="0" w:space="0" w:color="auto"/>
          </w:divBdr>
        </w:div>
        <w:div w:id="1617563383">
          <w:marLeft w:val="432"/>
          <w:marRight w:val="0"/>
          <w:marTop w:val="96"/>
          <w:marBottom w:val="0"/>
          <w:divBdr>
            <w:top w:val="none" w:sz="0" w:space="0" w:color="auto"/>
            <w:left w:val="none" w:sz="0" w:space="0" w:color="auto"/>
            <w:bottom w:val="none" w:sz="0" w:space="0" w:color="auto"/>
            <w:right w:val="none" w:sz="0" w:space="0" w:color="auto"/>
          </w:divBdr>
        </w:div>
        <w:div w:id="1700662891">
          <w:marLeft w:val="432"/>
          <w:marRight w:val="0"/>
          <w:marTop w:val="96"/>
          <w:marBottom w:val="0"/>
          <w:divBdr>
            <w:top w:val="none" w:sz="0" w:space="0" w:color="auto"/>
            <w:left w:val="none" w:sz="0" w:space="0" w:color="auto"/>
            <w:bottom w:val="none" w:sz="0" w:space="0" w:color="auto"/>
            <w:right w:val="none" w:sz="0" w:space="0" w:color="auto"/>
          </w:divBdr>
        </w:div>
        <w:div w:id="1776510749">
          <w:marLeft w:val="1008"/>
          <w:marRight w:val="0"/>
          <w:marTop w:val="91"/>
          <w:marBottom w:val="0"/>
          <w:divBdr>
            <w:top w:val="none" w:sz="0" w:space="0" w:color="auto"/>
            <w:left w:val="none" w:sz="0" w:space="0" w:color="auto"/>
            <w:bottom w:val="none" w:sz="0" w:space="0" w:color="auto"/>
            <w:right w:val="none" w:sz="0" w:space="0" w:color="auto"/>
          </w:divBdr>
        </w:div>
        <w:div w:id="1935747849">
          <w:marLeft w:val="1440"/>
          <w:marRight w:val="0"/>
          <w:marTop w:val="77"/>
          <w:marBottom w:val="0"/>
          <w:divBdr>
            <w:top w:val="none" w:sz="0" w:space="0" w:color="auto"/>
            <w:left w:val="none" w:sz="0" w:space="0" w:color="auto"/>
            <w:bottom w:val="none" w:sz="0" w:space="0" w:color="auto"/>
            <w:right w:val="none" w:sz="0" w:space="0" w:color="auto"/>
          </w:divBdr>
        </w:div>
        <w:div w:id="1958297654">
          <w:marLeft w:val="1440"/>
          <w:marRight w:val="0"/>
          <w:marTop w:val="77"/>
          <w:marBottom w:val="0"/>
          <w:divBdr>
            <w:top w:val="none" w:sz="0" w:space="0" w:color="auto"/>
            <w:left w:val="none" w:sz="0" w:space="0" w:color="auto"/>
            <w:bottom w:val="none" w:sz="0" w:space="0" w:color="auto"/>
            <w:right w:val="none" w:sz="0" w:space="0" w:color="auto"/>
          </w:divBdr>
        </w:div>
      </w:divsChild>
    </w:div>
    <w:div w:id="749037202">
      <w:bodyDiv w:val="1"/>
      <w:marLeft w:val="0"/>
      <w:marRight w:val="0"/>
      <w:marTop w:val="0"/>
      <w:marBottom w:val="0"/>
      <w:divBdr>
        <w:top w:val="none" w:sz="0" w:space="0" w:color="auto"/>
        <w:left w:val="none" w:sz="0" w:space="0" w:color="auto"/>
        <w:bottom w:val="none" w:sz="0" w:space="0" w:color="auto"/>
        <w:right w:val="none" w:sz="0" w:space="0" w:color="auto"/>
      </w:divBdr>
    </w:div>
    <w:div w:id="798495713">
      <w:bodyDiv w:val="1"/>
      <w:marLeft w:val="0"/>
      <w:marRight w:val="0"/>
      <w:marTop w:val="0"/>
      <w:marBottom w:val="0"/>
      <w:divBdr>
        <w:top w:val="none" w:sz="0" w:space="0" w:color="auto"/>
        <w:left w:val="none" w:sz="0" w:space="0" w:color="auto"/>
        <w:bottom w:val="none" w:sz="0" w:space="0" w:color="auto"/>
        <w:right w:val="none" w:sz="0" w:space="0" w:color="auto"/>
      </w:divBdr>
      <w:divsChild>
        <w:div w:id="443304150">
          <w:marLeft w:val="432"/>
          <w:marRight w:val="0"/>
          <w:marTop w:val="86"/>
          <w:marBottom w:val="0"/>
          <w:divBdr>
            <w:top w:val="none" w:sz="0" w:space="0" w:color="auto"/>
            <w:left w:val="none" w:sz="0" w:space="0" w:color="auto"/>
            <w:bottom w:val="none" w:sz="0" w:space="0" w:color="auto"/>
            <w:right w:val="none" w:sz="0" w:space="0" w:color="auto"/>
          </w:divBdr>
        </w:div>
        <w:div w:id="998994790">
          <w:marLeft w:val="432"/>
          <w:marRight w:val="0"/>
          <w:marTop w:val="86"/>
          <w:marBottom w:val="0"/>
          <w:divBdr>
            <w:top w:val="none" w:sz="0" w:space="0" w:color="auto"/>
            <w:left w:val="none" w:sz="0" w:space="0" w:color="auto"/>
            <w:bottom w:val="none" w:sz="0" w:space="0" w:color="auto"/>
            <w:right w:val="none" w:sz="0" w:space="0" w:color="auto"/>
          </w:divBdr>
        </w:div>
        <w:div w:id="1537037536">
          <w:marLeft w:val="432"/>
          <w:marRight w:val="0"/>
          <w:marTop w:val="86"/>
          <w:marBottom w:val="0"/>
          <w:divBdr>
            <w:top w:val="none" w:sz="0" w:space="0" w:color="auto"/>
            <w:left w:val="none" w:sz="0" w:space="0" w:color="auto"/>
            <w:bottom w:val="none" w:sz="0" w:space="0" w:color="auto"/>
            <w:right w:val="none" w:sz="0" w:space="0" w:color="auto"/>
          </w:divBdr>
        </w:div>
      </w:divsChild>
    </w:div>
    <w:div w:id="845091436">
      <w:bodyDiv w:val="1"/>
      <w:marLeft w:val="0"/>
      <w:marRight w:val="0"/>
      <w:marTop w:val="0"/>
      <w:marBottom w:val="0"/>
      <w:divBdr>
        <w:top w:val="none" w:sz="0" w:space="0" w:color="auto"/>
        <w:left w:val="none" w:sz="0" w:space="0" w:color="auto"/>
        <w:bottom w:val="none" w:sz="0" w:space="0" w:color="auto"/>
        <w:right w:val="none" w:sz="0" w:space="0" w:color="auto"/>
      </w:divBdr>
      <w:divsChild>
        <w:div w:id="325793082">
          <w:marLeft w:val="1008"/>
          <w:marRight w:val="0"/>
          <w:marTop w:val="72"/>
          <w:marBottom w:val="0"/>
          <w:divBdr>
            <w:top w:val="none" w:sz="0" w:space="0" w:color="auto"/>
            <w:left w:val="none" w:sz="0" w:space="0" w:color="auto"/>
            <w:bottom w:val="none" w:sz="0" w:space="0" w:color="auto"/>
            <w:right w:val="none" w:sz="0" w:space="0" w:color="auto"/>
          </w:divBdr>
        </w:div>
        <w:div w:id="489100233">
          <w:marLeft w:val="432"/>
          <w:marRight w:val="0"/>
          <w:marTop w:val="77"/>
          <w:marBottom w:val="0"/>
          <w:divBdr>
            <w:top w:val="none" w:sz="0" w:space="0" w:color="auto"/>
            <w:left w:val="none" w:sz="0" w:space="0" w:color="auto"/>
            <w:bottom w:val="none" w:sz="0" w:space="0" w:color="auto"/>
            <w:right w:val="none" w:sz="0" w:space="0" w:color="auto"/>
          </w:divBdr>
        </w:div>
        <w:div w:id="644941262">
          <w:marLeft w:val="1008"/>
          <w:marRight w:val="0"/>
          <w:marTop w:val="72"/>
          <w:marBottom w:val="0"/>
          <w:divBdr>
            <w:top w:val="none" w:sz="0" w:space="0" w:color="auto"/>
            <w:left w:val="none" w:sz="0" w:space="0" w:color="auto"/>
            <w:bottom w:val="none" w:sz="0" w:space="0" w:color="auto"/>
            <w:right w:val="none" w:sz="0" w:space="0" w:color="auto"/>
          </w:divBdr>
        </w:div>
        <w:div w:id="910962926">
          <w:marLeft w:val="1008"/>
          <w:marRight w:val="0"/>
          <w:marTop w:val="72"/>
          <w:marBottom w:val="0"/>
          <w:divBdr>
            <w:top w:val="none" w:sz="0" w:space="0" w:color="auto"/>
            <w:left w:val="none" w:sz="0" w:space="0" w:color="auto"/>
            <w:bottom w:val="none" w:sz="0" w:space="0" w:color="auto"/>
            <w:right w:val="none" w:sz="0" w:space="0" w:color="auto"/>
          </w:divBdr>
        </w:div>
        <w:div w:id="1055658546">
          <w:marLeft w:val="1008"/>
          <w:marRight w:val="0"/>
          <w:marTop w:val="72"/>
          <w:marBottom w:val="0"/>
          <w:divBdr>
            <w:top w:val="none" w:sz="0" w:space="0" w:color="auto"/>
            <w:left w:val="none" w:sz="0" w:space="0" w:color="auto"/>
            <w:bottom w:val="none" w:sz="0" w:space="0" w:color="auto"/>
            <w:right w:val="none" w:sz="0" w:space="0" w:color="auto"/>
          </w:divBdr>
        </w:div>
        <w:div w:id="2051958636">
          <w:marLeft w:val="1008"/>
          <w:marRight w:val="0"/>
          <w:marTop w:val="72"/>
          <w:marBottom w:val="0"/>
          <w:divBdr>
            <w:top w:val="none" w:sz="0" w:space="0" w:color="auto"/>
            <w:left w:val="none" w:sz="0" w:space="0" w:color="auto"/>
            <w:bottom w:val="none" w:sz="0" w:space="0" w:color="auto"/>
            <w:right w:val="none" w:sz="0" w:space="0" w:color="auto"/>
          </w:divBdr>
        </w:div>
        <w:div w:id="2097512327">
          <w:marLeft w:val="432"/>
          <w:marRight w:val="0"/>
          <w:marTop w:val="77"/>
          <w:marBottom w:val="0"/>
          <w:divBdr>
            <w:top w:val="none" w:sz="0" w:space="0" w:color="auto"/>
            <w:left w:val="none" w:sz="0" w:space="0" w:color="auto"/>
            <w:bottom w:val="none" w:sz="0" w:space="0" w:color="auto"/>
            <w:right w:val="none" w:sz="0" w:space="0" w:color="auto"/>
          </w:divBdr>
        </w:div>
      </w:divsChild>
    </w:div>
    <w:div w:id="911237008">
      <w:bodyDiv w:val="1"/>
      <w:marLeft w:val="0"/>
      <w:marRight w:val="0"/>
      <w:marTop w:val="0"/>
      <w:marBottom w:val="0"/>
      <w:divBdr>
        <w:top w:val="none" w:sz="0" w:space="0" w:color="auto"/>
        <w:left w:val="none" w:sz="0" w:space="0" w:color="auto"/>
        <w:bottom w:val="none" w:sz="0" w:space="0" w:color="auto"/>
        <w:right w:val="none" w:sz="0" w:space="0" w:color="auto"/>
      </w:divBdr>
      <w:divsChild>
        <w:div w:id="138770533">
          <w:marLeft w:val="432"/>
          <w:marRight w:val="0"/>
          <w:marTop w:val="130"/>
          <w:marBottom w:val="0"/>
          <w:divBdr>
            <w:top w:val="none" w:sz="0" w:space="0" w:color="auto"/>
            <w:left w:val="none" w:sz="0" w:space="0" w:color="auto"/>
            <w:bottom w:val="none" w:sz="0" w:space="0" w:color="auto"/>
            <w:right w:val="none" w:sz="0" w:space="0" w:color="auto"/>
          </w:divBdr>
        </w:div>
        <w:div w:id="322665089">
          <w:marLeft w:val="1008"/>
          <w:marRight w:val="0"/>
          <w:marTop w:val="115"/>
          <w:marBottom w:val="0"/>
          <w:divBdr>
            <w:top w:val="none" w:sz="0" w:space="0" w:color="auto"/>
            <w:left w:val="none" w:sz="0" w:space="0" w:color="auto"/>
            <w:bottom w:val="none" w:sz="0" w:space="0" w:color="auto"/>
            <w:right w:val="none" w:sz="0" w:space="0" w:color="auto"/>
          </w:divBdr>
        </w:div>
        <w:div w:id="470289204">
          <w:marLeft w:val="1008"/>
          <w:marRight w:val="0"/>
          <w:marTop w:val="115"/>
          <w:marBottom w:val="0"/>
          <w:divBdr>
            <w:top w:val="none" w:sz="0" w:space="0" w:color="auto"/>
            <w:left w:val="none" w:sz="0" w:space="0" w:color="auto"/>
            <w:bottom w:val="none" w:sz="0" w:space="0" w:color="auto"/>
            <w:right w:val="none" w:sz="0" w:space="0" w:color="auto"/>
          </w:divBdr>
        </w:div>
        <w:div w:id="1239901075">
          <w:marLeft w:val="432"/>
          <w:marRight w:val="0"/>
          <w:marTop w:val="130"/>
          <w:marBottom w:val="0"/>
          <w:divBdr>
            <w:top w:val="none" w:sz="0" w:space="0" w:color="auto"/>
            <w:left w:val="none" w:sz="0" w:space="0" w:color="auto"/>
            <w:bottom w:val="none" w:sz="0" w:space="0" w:color="auto"/>
            <w:right w:val="none" w:sz="0" w:space="0" w:color="auto"/>
          </w:divBdr>
        </w:div>
        <w:div w:id="1512256814">
          <w:marLeft w:val="1008"/>
          <w:marRight w:val="0"/>
          <w:marTop w:val="115"/>
          <w:marBottom w:val="0"/>
          <w:divBdr>
            <w:top w:val="none" w:sz="0" w:space="0" w:color="auto"/>
            <w:left w:val="none" w:sz="0" w:space="0" w:color="auto"/>
            <w:bottom w:val="none" w:sz="0" w:space="0" w:color="auto"/>
            <w:right w:val="none" w:sz="0" w:space="0" w:color="auto"/>
          </w:divBdr>
        </w:div>
        <w:div w:id="1677148325">
          <w:marLeft w:val="1008"/>
          <w:marRight w:val="0"/>
          <w:marTop w:val="115"/>
          <w:marBottom w:val="0"/>
          <w:divBdr>
            <w:top w:val="none" w:sz="0" w:space="0" w:color="auto"/>
            <w:left w:val="none" w:sz="0" w:space="0" w:color="auto"/>
            <w:bottom w:val="none" w:sz="0" w:space="0" w:color="auto"/>
            <w:right w:val="none" w:sz="0" w:space="0" w:color="auto"/>
          </w:divBdr>
        </w:div>
        <w:div w:id="2022312876">
          <w:marLeft w:val="1008"/>
          <w:marRight w:val="0"/>
          <w:marTop w:val="115"/>
          <w:marBottom w:val="0"/>
          <w:divBdr>
            <w:top w:val="none" w:sz="0" w:space="0" w:color="auto"/>
            <w:left w:val="none" w:sz="0" w:space="0" w:color="auto"/>
            <w:bottom w:val="none" w:sz="0" w:space="0" w:color="auto"/>
            <w:right w:val="none" w:sz="0" w:space="0" w:color="auto"/>
          </w:divBdr>
        </w:div>
      </w:divsChild>
    </w:div>
    <w:div w:id="987975936">
      <w:bodyDiv w:val="1"/>
      <w:marLeft w:val="0"/>
      <w:marRight w:val="0"/>
      <w:marTop w:val="0"/>
      <w:marBottom w:val="0"/>
      <w:divBdr>
        <w:top w:val="none" w:sz="0" w:space="0" w:color="auto"/>
        <w:left w:val="none" w:sz="0" w:space="0" w:color="auto"/>
        <w:bottom w:val="none" w:sz="0" w:space="0" w:color="auto"/>
        <w:right w:val="none" w:sz="0" w:space="0" w:color="auto"/>
      </w:divBdr>
      <w:divsChild>
        <w:div w:id="1335958228">
          <w:marLeft w:val="1008"/>
          <w:marRight w:val="0"/>
          <w:marTop w:val="115"/>
          <w:marBottom w:val="0"/>
          <w:divBdr>
            <w:top w:val="none" w:sz="0" w:space="0" w:color="auto"/>
            <w:left w:val="none" w:sz="0" w:space="0" w:color="auto"/>
            <w:bottom w:val="none" w:sz="0" w:space="0" w:color="auto"/>
            <w:right w:val="none" w:sz="0" w:space="0" w:color="auto"/>
          </w:divBdr>
        </w:div>
        <w:div w:id="1487236886">
          <w:marLeft w:val="1008"/>
          <w:marRight w:val="0"/>
          <w:marTop w:val="115"/>
          <w:marBottom w:val="0"/>
          <w:divBdr>
            <w:top w:val="none" w:sz="0" w:space="0" w:color="auto"/>
            <w:left w:val="none" w:sz="0" w:space="0" w:color="auto"/>
            <w:bottom w:val="none" w:sz="0" w:space="0" w:color="auto"/>
            <w:right w:val="none" w:sz="0" w:space="0" w:color="auto"/>
          </w:divBdr>
        </w:div>
      </w:divsChild>
    </w:div>
    <w:div w:id="1250626653">
      <w:bodyDiv w:val="1"/>
      <w:marLeft w:val="0"/>
      <w:marRight w:val="0"/>
      <w:marTop w:val="0"/>
      <w:marBottom w:val="0"/>
      <w:divBdr>
        <w:top w:val="none" w:sz="0" w:space="0" w:color="auto"/>
        <w:left w:val="none" w:sz="0" w:space="0" w:color="auto"/>
        <w:bottom w:val="none" w:sz="0" w:space="0" w:color="auto"/>
        <w:right w:val="none" w:sz="0" w:space="0" w:color="auto"/>
      </w:divBdr>
      <w:divsChild>
        <w:div w:id="758529117">
          <w:marLeft w:val="1008"/>
          <w:marRight w:val="0"/>
          <w:marTop w:val="115"/>
          <w:marBottom w:val="0"/>
          <w:divBdr>
            <w:top w:val="none" w:sz="0" w:space="0" w:color="auto"/>
            <w:left w:val="none" w:sz="0" w:space="0" w:color="auto"/>
            <w:bottom w:val="none" w:sz="0" w:space="0" w:color="auto"/>
            <w:right w:val="none" w:sz="0" w:space="0" w:color="auto"/>
          </w:divBdr>
        </w:div>
      </w:divsChild>
    </w:div>
    <w:div w:id="1254821773">
      <w:bodyDiv w:val="1"/>
      <w:marLeft w:val="0"/>
      <w:marRight w:val="0"/>
      <w:marTop w:val="0"/>
      <w:marBottom w:val="0"/>
      <w:divBdr>
        <w:top w:val="none" w:sz="0" w:space="0" w:color="auto"/>
        <w:left w:val="none" w:sz="0" w:space="0" w:color="auto"/>
        <w:bottom w:val="none" w:sz="0" w:space="0" w:color="auto"/>
        <w:right w:val="none" w:sz="0" w:space="0" w:color="auto"/>
      </w:divBdr>
      <w:divsChild>
        <w:div w:id="620499080">
          <w:marLeft w:val="1440"/>
          <w:marRight w:val="0"/>
          <w:marTop w:val="86"/>
          <w:marBottom w:val="0"/>
          <w:divBdr>
            <w:top w:val="none" w:sz="0" w:space="0" w:color="auto"/>
            <w:left w:val="none" w:sz="0" w:space="0" w:color="auto"/>
            <w:bottom w:val="none" w:sz="0" w:space="0" w:color="auto"/>
            <w:right w:val="none" w:sz="0" w:space="0" w:color="auto"/>
          </w:divBdr>
        </w:div>
        <w:div w:id="789935494">
          <w:marLeft w:val="1440"/>
          <w:marRight w:val="0"/>
          <w:marTop w:val="86"/>
          <w:marBottom w:val="0"/>
          <w:divBdr>
            <w:top w:val="none" w:sz="0" w:space="0" w:color="auto"/>
            <w:left w:val="none" w:sz="0" w:space="0" w:color="auto"/>
            <w:bottom w:val="none" w:sz="0" w:space="0" w:color="auto"/>
            <w:right w:val="none" w:sz="0" w:space="0" w:color="auto"/>
          </w:divBdr>
        </w:div>
        <w:div w:id="925572631">
          <w:marLeft w:val="1008"/>
          <w:marRight w:val="0"/>
          <w:marTop w:val="96"/>
          <w:marBottom w:val="0"/>
          <w:divBdr>
            <w:top w:val="none" w:sz="0" w:space="0" w:color="auto"/>
            <w:left w:val="none" w:sz="0" w:space="0" w:color="auto"/>
            <w:bottom w:val="none" w:sz="0" w:space="0" w:color="auto"/>
            <w:right w:val="none" w:sz="0" w:space="0" w:color="auto"/>
          </w:divBdr>
        </w:div>
        <w:div w:id="1107116325">
          <w:marLeft w:val="1440"/>
          <w:marRight w:val="0"/>
          <w:marTop w:val="86"/>
          <w:marBottom w:val="0"/>
          <w:divBdr>
            <w:top w:val="none" w:sz="0" w:space="0" w:color="auto"/>
            <w:left w:val="none" w:sz="0" w:space="0" w:color="auto"/>
            <w:bottom w:val="none" w:sz="0" w:space="0" w:color="auto"/>
            <w:right w:val="none" w:sz="0" w:space="0" w:color="auto"/>
          </w:divBdr>
        </w:div>
        <w:div w:id="1382092247">
          <w:marLeft w:val="1440"/>
          <w:marRight w:val="0"/>
          <w:marTop w:val="86"/>
          <w:marBottom w:val="0"/>
          <w:divBdr>
            <w:top w:val="none" w:sz="0" w:space="0" w:color="auto"/>
            <w:left w:val="none" w:sz="0" w:space="0" w:color="auto"/>
            <w:bottom w:val="none" w:sz="0" w:space="0" w:color="auto"/>
            <w:right w:val="none" w:sz="0" w:space="0" w:color="auto"/>
          </w:divBdr>
        </w:div>
        <w:div w:id="1698313451">
          <w:marLeft w:val="1440"/>
          <w:marRight w:val="0"/>
          <w:marTop w:val="86"/>
          <w:marBottom w:val="0"/>
          <w:divBdr>
            <w:top w:val="none" w:sz="0" w:space="0" w:color="auto"/>
            <w:left w:val="none" w:sz="0" w:space="0" w:color="auto"/>
            <w:bottom w:val="none" w:sz="0" w:space="0" w:color="auto"/>
            <w:right w:val="none" w:sz="0" w:space="0" w:color="auto"/>
          </w:divBdr>
        </w:div>
        <w:div w:id="1905291141">
          <w:marLeft w:val="1440"/>
          <w:marRight w:val="0"/>
          <w:marTop w:val="86"/>
          <w:marBottom w:val="0"/>
          <w:divBdr>
            <w:top w:val="none" w:sz="0" w:space="0" w:color="auto"/>
            <w:left w:val="none" w:sz="0" w:space="0" w:color="auto"/>
            <w:bottom w:val="none" w:sz="0" w:space="0" w:color="auto"/>
            <w:right w:val="none" w:sz="0" w:space="0" w:color="auto"/>
          </w:divBdr>
        </w:div>
        <w:div w:id="1942688667">
          <w:marLeft w:val="432"/>
          <w:marRight w:val="0"/>
          <w:marTop w:val="125"/>
          <w:marBottom w:val="0"/>
          <w:divBdr>
            <w:top w:val="none" w:sz="0" w:space="0" w:color="auto"/>
            <w:left w:val="none" w:sz="0" w:space="0" w:color="auto"/>
            <w:bottom w:val="none" w:sz="0" w:space="0" w:color="auto"/>
            <w:right w:val="none" w:sz="0" w:space="0" w:color="auto"/>
          </w:divBdr>
        </w:div>
        <w:div w:id="2061904050">
          <w:marLeft w:val="1440"/>
          <w:marRight w:val="0"/>
          <w:marTop w:val="86"/>
          <w:marBottom w:val="0"/>
          <w:divBdr>
            <w:top w:val="none" w:sz="0" w:space="0" w:color="auto"/>
            <w:left w:val="none" w:sz="0" w:space="0" w:color="auto"/>
            <w:bottom w:val="none" w:sz="0" w:space="0" w:color="auto"/>
            <w:right w:val="none" w:sz="0" w:space="0" w:color="auto"/>
          </w:divBdr>
        </w:div>
      </w:divsChild>
    </w:div>
    <w:div w:id="1265577119">
      <w:bodyDiv w:val="1"/>
      <w:marLeft w:val="0"/>
      <w:marRight w:val="0"/>
      <w:marTop w:val="0"/>
      <w:marBottom w:val="0"/>
      <w:divBdr>
        <w:top w:val="none" w:sz="0" w:space="0" w:color="auto"/>
        <w:left w:val="none" w:sz="0" w:space="0" w:color="auto"/>
        <w:bottom w:val="none" w:sz="0" w:space="0" w:color="auto"/>
        <w:right w:val="none" w:sz="0" w:space="0" w:color="auto"/>
      </w:divBdr>
      <w:divsChild>
        <w:div w:id="15927115">
          <w:marLeft w:val="432"/>
          <w:marRight w:val="0"/>
          <w:marTop w:val="86"/>
          <w:marBottom w:val="0"/>
          <w:divBdr>
            <w:top w:val="none" w:sz="0" w:space="0" w:color="auto"/>
            <w:left w:val="none" w:sz="0" w:space="0" w:color="auto"/>
            <w:bottom w:val="none" w:sz="0" w:space="0" w:color="auto"/>
            <w:right w:val="none" w:sz="0" w:space="0" w:color="auto"/>
          </w:divBdr>
        </w:div>
        <w:div w:id="685252959">
          <w:marLeft w:val="432"/>
          <w:marRight w:val="0"/>
          <w:marTop w:val="86"/>
          <w:marBottom w:val="0"/>
          <w:divBdr>
            <w:top w:val="none" w:sz="0" w:space="0" w:color="auto"/>
            <w:left w:val="none" w:sz="0" w:space="0" w:color="auto"/>
            <w:bottom w:val="none" w:sz="0" w:space="0" w:color="auto"/>
            <w:right w:val="none" w:sz="0" w:space="0" w:color="auto"/>
          </w:divBdr>
        </w:div>
        <w:div w:id="871694449">
          <w:marLeft w:val="432"/>
          <w:marRight w:val="0"/>
          <w:marTop w:val="86"/>
          <w:marBottom w:val="0"/>
          <w:divBdr>
            <w:top w:val="none" w:sz="0" w:space="0" w:color="auto"/>
            <w:left w:val="none" w:sz="0" w:space="0" w:color="auto"/>
            <w:bottom w:val="none" w:sz="0" w:space="0" w:color="auto"/>
            <w:right w:val="none" w:sz="0" w:space="0" w:color="auto"/>
          </w:divBdr>
        </w:div>
        <w:div w:id="1309701906">
          <w:marLeft w:val="432"/>
          <w:marRight w:val="0"/>
          <w:marTop w:val="86"/>
          <w:marBottom w:val="0"/>
          <w:divBdr>
            <w:top w:val="none" w:sz="0" w:space="0" w:color="auto"/>
            <w:left w:val="none" w:sz="0" w:space="0" w:color="auto"/>
            <w:bottom w:val="none" w:sz="0" w:space="0" w:color="auto"/>
            <w:right w:val="none" w:sz="0" w:space="0" w:color="auto"/>
          </w:divBdr>
        </w:div>
        <w:div w:id="1515876031">
          <w:marLeft w:val="432"/>
          <w:marRight w:val="0"/>
          <w:marTop w:val="86"/>
          <w:marBottom w:val="0"/>
          <w:divBdr>
            <w:top w:val="none" w:sz="0" w:space="0" w:color="auto"/>
            <w:left w:val="none" w:sz="0" w:space="0" w:color="auto"/>
            <w:bottom w:val="none" w:sz="0" w:space="0" w:color="auto"/>
            <w:right w:val="none" w:sz="0" w:space="0" w:color="auto"/>
          </w:divBdr>
        </w:div>
        <w:div w:id="1799645848">
          <w:marLeft w:val="432"/>
          <w:marRight w:val="0"/>
          <w:marTop w:val="77"/>
          <w:marBottom w:val="0"/>
          <w:divBdr>
            <w:top w:val="none" w:sz="0" w:space="0" w:color="auto"/>
            <w:left w:val="none" w:sz="0" w:space="0" w:color="auto"/>
            <w:bottom w:val="none" w:sz="0" w:space="0" w:color="auto"/>
            <w:right w:val="none" w:sz="0" w:space="0" w:color="auto"/>
          </w:divBdr>
        </w:div>
        <w:div w:id="2145537594">
          <w:marLeft w:val="432"/>
          <w:marRight w:val="0"/>
          <w:marTop w:val="86"/>
          <w:marBottom w:val="0"/>
          <w:divBdr>
            <w:top w:val="none" w:sz="0" w:space="0" w:color="auto"/>
            <w:left w:val="none" w:sz="0" w:space="0" w:color="auto"/>
            <w:bottom w:val="none" w:sz="0" w:space="0" w:color="auto"/>
            <w:right w:val="none" w:sz="0" w:space="0" w:color="auto"/>
          </w:divBdr>
        </w:div>
      </w:divsChild>
    </w:div>
    <w:div w:id="1266499108">
      <w:bodyDiv w:val="1"/>
      <w:marLeft w:val="0"/>
      <w:marRight w:val="0"/>
      <w:marTop w:val="0"/>
      <w:marBottom w:val="0"/>
      <w:divBdr>
        <w:top w:val="none" w:sz="0" w:space="0" w:color="auto"/>
        <w:left w:val="none" w:sz="0" w:space="0" w:color="auto"/>
        <w:bottom w:val="none" w:sz="0" w:space="0" w:color="auto"/>
        <w:right w:val="none" w:sz="0" w:space="0" w:color="auto"/>
      </w:divBdr>
      <w:divsChild>
        <w:div w:id="451945552">
          <w:marLeft w:val="432"/>
          <w:marRight w:val="0"/>
          <w:marTop w:val="106"/>
          <w:marBottom w:val="0"/>
          <w:divBdr>
            <w:top w:val="none" w:sz="0" w:space="0" w:color="auto"/>
            <w:left w:val="none" w:sz="0" w:space="0" w:color="auto"/>
            <w:bottom w:val="none" w:sz="0" w:space="0" w:color="auto"/>
            <w:right w:val="none" w:sz="0" w:space="0" w:color="auto"/>
          </w:divBdr>
        </w:div>
        <w:div w:id="698311979">
          <w:marLeft w:val="1008"/>
          <w:marRight w:val="0"/>
          <w:marTop w:val="96"/>
          <w:marBottom w:val="0"/>
          <w:divBdr>
            <w:top w:val="none" w:sz="0" w:space="0" w:color="auto"/>
            <w:left w:val="none" w:sz="0" w:space="0" w:color="auto"/>
            <w:bottom w:val="none" w:sz="0" w:space="0" w:color="auto"/>
            <w:right w:val="none" w:sz="0" w:space="0" w:color="auto"/>
          </w:divBdr>
        </w:div>
        <w:div w:id="742797367">
          <w:marLeft w:val="1008"/>
          <w:marRight w:val="0"/>
          <w:marTop w:val="96"/>
          <w:marBottom w:val="0"/>
          <w:divBdr>
            <w:top w:val="none" w:sz="0" w:space="0" w:color="auto"/>
            <w:left w:val="none" w:sz="0" w:space="0" w:color="auto"/>
            <w:bottom w:val="none" w:sz="0" w:space="0" w:color="auto"/>
            <w:right w:val="none" w:sz="0" w:space="0" w:color="auto"/>
          </w:divBdr>
        </w:div>
        <w:div w:id="1045637287">
          <w:marLeft w:val="1008"/>
          <w:marRight w:val="0"/>
          <w:marTop w:val="96"/>
          <w:marBottom w:val="0"/>
          <w:divBdr>
            <w:top w:val="none" w:sz="0" w:space="0" w:color="auto"/>
            <w:left w:val="none" w:sz="0" w:space="0" w:color="auto"/>
            <w:bottom w:val="none" w:sz="0" w:space="0" w:color="auto"/>
            <w:right w:val="none" w:sz="0" w:space="0" w:color="auto"/>
          </w:divBdr>
        </w:div>
      </w:divsChild>
    </w:div>
    <w:div w:id="1279876555">
      <w:bodyDiv w:val="1"/>
      <w:marLeft w:val="0"/>
      <w:marRight w:val="0"/>
      <w:marTop w:val="0"/>
      <w:marBottom w:val="0"/>
      <w:divBdr>
        <w:top w:val="none" w:sz="0" w:space="0" w:color="auto"/>
        <w:left w:val="none" w:sz="0" w:space="0" w:color="auto"/>
        <w:bottom w:val="none" w:sz="0" w:space="0" w:color="auto"/>
        <w:right w:val="none" w:sz="0" w:space="0" w:color="auto"/>
      </w:divBdr>
      <w:divsChild>
        <w:div w:id="1131826757">
          <w:marLeft w:val="1008"/>
          <w:marRight w:val="0"/>
          <w:marTop w:val="82"/>
          <w:marBottom w:val="0"/>
          <w:divBdr>
            <w:top w:val="none" w:sz="0" w:space="0" w:color="auto"/>
            <w:left w:val="none" w:sz="0" w:space="0" w:color="auto"/>
            <w:bottom w:val="none" w:sz="0" w:space="0" w:color="auto"/>
            <w:right w:val="none" w:sz="0" w:space="0" w:color="auto"/>
          </w:divBdr>
        </w:div>
        <w:div w:id="1199658532">
          <w:marLeft w:val="1008"/>
          <w:marRight w:val="0"/>
          <w:marTop w:val="82"/>
          <w:marBottom w:val="0"/>
          <w:divBdr>
            <w:top w:val="none" w:sz="0" w:space="0" w:color="auto"/>
            <w:left w:val="none" w:sz="0" w:space="0" w:color="auto"/>
            <w:bottom w:val="none" w:sz="0" w:space="0" w:color="auto"/>
            <w:right w:val="none" w:sz="0" w:space="0" w:color="auto"/>
          </w:divBdr>
        </w:div>
        <w:div w:id="1895894442">
          <w:marLeft w:val="1008"/>
          <w:marRight w:val="0"/>
          <w:marTop w:val="82"/>
          <w:marBottom w:val="0"/>
          <w:divBdr>
            <w:top w:val="none" w:sz="0" w:space="0" w:color="auto"/>
            <w:left w:val="none" w:sz="0" w:space="0" w:color="auto"/>
            <w:bottom w:val="none" w:sz="0" w:space="0" w:color="auto"/>
            <w:right w:val="none" w:sz="0" w:space="0" w:color="auto"/>
          </w:divBdr>
        </w:div>
        <w:div w:id="2067988893">
          <w:marLeft w:val="1008"/>
          <w:marRight w:val="0"/>
          <w:marTop w:val="82"/>
          <w:marBottom w:val="0"/>
          <w:divBdr>
            <w:top w:val="none" w:sz="0" w:space="0" w:color="auto"/>
            <w:left w:val="none" w:sz="0" w:space="0" w:color="auto"/>
            <w:bottom w:val="none" w:sz="0" w:space="0" w:color="auto"/>
            <w:right w:val="none" w:sz="0" w:space="0" w:color="auto"/>
          </w:divBdr>
        </w:div>
      </w:divsChild>
    </w:div>
    <w:div w:id="1323587419">
      <w:bodyDiv w:val="1"/>
      <w:marLeft w:val="0"/>
      <w:marRight w:val="0"/>
      <w:marTop w:val="0"/>
      <w:marBottom w:val="0"/>
      <w:divBdr>
        <w:top w:val="none" w:sz="0" w:space="0" w:color="auto"/>
        <w:left w:val="none" w:sz="0" w:space="0" w:color="auto"/>
        <w:bottom w:val="none" w:sz="0" w:space="0" w:color="auto"/>
        <w:right w:val="none" w:sz="0" w:space="0" w:color="auto"/>
      </w:divBdr>
    </w:div>
    <w:div w:id="1375231698">
      <w:bodyDiv w:val="1"/>
      <w:marLeft w:val="0"/>
      <w:marRight w:val="0"/>
      <w:marTop w:val="0"/>
      <w:marBottom w:val="0"/>
      <w:divBdr>
        <w:top w:val="none" w:sz="0" w:space="0" w:color="auto"/>
        <w:left w:val="none" w:sz="0" w:space="0" w:color="auto"/>
        <w:bottom w:val="none" w:sz="0" w:space="0" w:color="auto"/>
        <w:right w:val="none" w:sz="0" w:space="0" w:color="auto"/>
      </w:divBdr>
      <w:divsChild>
        <w:div w:id="1068503177">
          <w:marLeft w:val="432"/>
          <w:marRight w:val="0"/>
          <w:marTop w:val="115"/>
          <w:marBottom w:val="0"/>
          <w:divBdr>
            <w:top w:val="none" w:sz="0" w:space="0" w:color="auto"/>
            <w:left w:val="none" w:sz="0" w:space="0" w:color="auto"/>
            <w:bottom w:val="none" w:sz="0" w:space="0" w:color="auto"/>
            <w:right w:val="none" w:sz="0" w:space="0" w:color="auto"/>
          </w:divBdr>
        </w:div>
        <w:div w:id="1594363710">
          <w:marLeft w:val="432"/>
          <w:marRight w:val="0"/>
          <w:marTop w:val="115"/>
          <w:marBottom w:val="0"/>
          <w:divBdr>
            <w:top w:val="none" w:sz="0" w:space="0" w:color="auto"/>
            <w:left w:val="none" w:sz="0" w:space="0" w:color="auto"/>
            <w:bottom w:val="none" w:sz="0" w:space="0" w:color="auto"/>
            <w:right w:val="none" w:sz="0" w:space="0" w:color="auto"/>
          </w:divBdr>
        </w:div>
      </w:divsChild>
    </w:div>
    <w:div w:id="1389038279">
      <w:bodyDiv w:val="1"/>
      <w:marLeft w:val="0"/>
      <w:marRight w:val="0"/>
      <w:marTop w:val="0"/>
      <w:marBottom w:val="0"/>
      <w:divBdr>
        <w:top w:val="none" w:sz="0" w:space="0" w:color="auto"/>
        <w:left w:val="none" w:sz="0" w:space="0" w:color="auto"/>
        <w:bottom w:val="none" w:sz="0" w:space="0" w:color="auto"/>
        <w:right w:val="none" w:sz="0" w:space="0" w:color="auto"/>
      </w:divBdr>
      <w:divsChild>
        <w:div w:id="469785747">
          <w:marLeft w:val="1008"/>
          <w:marRight w:val="0"/>
          <w:marTop w:val="91"/>
          <w:marBottom w:val="0"/>
          <w:divBdr>
            <w:top w:val="none" w:sz="0" w:space="0" w:color="auto"/>
            <w:left w:val="none" w:sz="0" w:space="0" w:color="auto"/>
            <w:bottom w:val="none" w:sz="0" w:space="0" w:color="auto"/>
            <w:right w:val="none" w:sz="0" w:space="0" w:color="auto"/>
          </w:divBdr>
        </w:div>
        <w:div w:id="690376868">
          <w:marLeft w:val="1008"/>
          <w:marRight w:val="0"/>
          <w:marTop w:val="91"/>
          <w:marBottom w:val="0"/>
          <w:divBdr>
            <w:top w:val="none" w:sz="0" w:space="0" w:color="auto"/>
            <w:left w:val="none" w:sz="0" w:space="0" w:color="auto"/>
            <w:bottom w:val="none" w:sz="0" w:space="0" w:color="auto"/>
            <w:right w:val="none" w:sz="0" w:space="0" w:color="auto"/>
          </w:divBdr>
        </w:div>
      </w:divsChild>
    </w:div>
    <w:div w:id="1400789456">
      <w:bodyDiv w:val="1"/>
      <w:marLeft w:val="0"/>
      <w:marRight w:val="0"/>
      <w:marTop w:val="0"/>
      <w:marBottom w:val="0"/>
      <w:divBdr>
        <w:top w:val="none" w:sz="0" w:space="0" w:color="auto"/>
        <w:left w:val="none" w:sz="0" w:space="0" w:color="auto"/>
        <w:bottom w:val="none" w:sz="0" w:space="0" w:color="auto"/>
        <w:right w:val="none" w:sz="0" w:space="0" w:color="auto"/>
      </w:divBdr>
    </w:div>
    <w:div w:id="1579823837">
      <w:bodyDiv w:val="1"/>
      <w:marLeft w:val="0"/>
      <w:marRight w:val="0"/>
      <w:marTop w:val="0"/>
      <w:marBottom w:val="0"/>
      <w:divBdr>
        <w:top w:val="none" w:sz="0" w:space="0" w:color="auto"/>
        <w:left w:val="none" w:sz="0" w:space="0" w:color="auto"/>
        <w:bottom w:val="none" w:sz="0" w:space="0" w:color="auto"/>
        <w:right w:val="none" w:sz="0" w:space="0" w:color="auto"/>
      </w:divBdr>
      <w:divsChild>
        <w:div w:id="1808014765">
          <w:marLeft w:val="432"/>
          <w:marRight w:val="0"/>
          <w:marTop w:val="125"/>
          <w:marBottom w:val="0"/>
          <w:divBdr>
            <w:top w:val="none" w:sz="0" w:space="0" w:color="auto"/>
            <w:left w:val="none" w:sz="0" w:space="0" w:color="auto"/>
            <w:bottom w:val="none" w:sz="0" w:space="0" w:color="auto"/>
            <w:right w:val="none" w:sz="0" w:space="0" w:color="auto"/>
          </w:divBdr>
        </w:div>
        <w:div w:id="2010985922">
          <w:marLeft w:val="432"/>
          <w:marRight w:val="0"/>
          <w:marTop w:val="125"/>
          <w:marBottom w:val="0"/>
          <w:divBdr>
            <w:top w:val="none" w:sz="0" w:space="0" w:color="auto"/>
            <w:left w:val="none" w:sz="0" w:space="0" w:color="auto"/>
            <w:bottom w:val="none" w:sz="0" w:space="0" w:color="auto"/>
            <w:right w:val="none" w:sz="0" w:space="0" w:color="auto"/>
          </w:divBdr>
        </w:div>
      </w:divsChild>
    </w:div>
    <w:div w:id="1589970818">
      <w:bodyDiv w:val="1"/>
      <w:marLeft w:val="0"/>
      <w:marRight w:val="0"/>
      <w:marTop w:val="0"/>
      <w:marBottom w:val="0"/>
      <w:divBdr>
        <w:top w:val="none" w:sz="0" w:space="0" w:color="auto"/>
        <w:left w:val="none" w:sz="0" w:space="0" w:color="auto"/>
        <w:bottom w:val="none" w:sz="0" w:space="0" w:color="auto"/>
        <w:right w:val="none" w:sz="0" w:space="0" w:color="auto"/>
      </w:divBdr>
      <w:divsChild>
        <w:div w:id="211773213">
          <w:marLeft w:val="432"/>
          <w:marRight w:val="0"/>
          <w:marTop w:val="125"/>
          <w:marBottom w:val="0"/>
          <w:divBdr>
            <w:top w:val="none" w:sz="0" w:space="0" w:color="auto"/>
            <w:left w:val="none" w:sz="0" w:space="0" w:color="auto"/>
            <w:bottom w:val="none" w:sz="0" w:space="0" w:color="auto"/>
            <w:right w:val="none" w:sz="0" w:space="0" w:color="auto"/>
          </w:divBdr>
        </w:div>
        <w:div w:id="1482188379">
          <w:marLeft w:val="1008"/>
          <w:marRight w:val="0"/>
          <w:marTop w:val="115"/>
          <w:marBottom w:val="0"/>
          <w:divBdr>
            <w:top w:val="none" w:sz="0" w:space="0" w:color="auto"/>
            <w:left w:val="none" w:sz="0" w:space="0" w:color="auto"/>
            <w:bottom w:val="none" w:sz="0" w:space="0" w:color="auto"/>
            <w:right w:val="none" w:sz="0" w:space="0" w:color="auto"/>
          </w:divBdr>
        </w:div>
        <w:div w:id="1610432796">
          <w:marLeft w:val="1008"/>
          <w:marRight w:val="0"/>
          <w:marTop w:val="115"/>
          <w:marBottom w:val="0"/>
          <w:divBdr>
            <w:top w:val="none" w:sz="0" w:space="0" w:color="auto"/>
            <w:left w:val="none" w:sz="0" w:space="0" w:color="auto"/>
            <w:bottom w:val="none" w:sz="0" w:space="0" w:color="auto"/>
            <w:right w:val="none" w:sz="0" w:space="0" w:color="auto"/>
          </w:divBdr>
        </w:div>
        <w:div w:id="1979065246">
          <w:marLeft w:val="1008"/>
          <w:marRight w:val="0"/>
          <w:marTop w:val="115"/>
          <w:marBottom w:val="0"/>
          <w:divBdr>
            <w:top w:val="none" w:sz="0" w:space="0" w:color="auto"/>
            <w:left w:val="none" w:sz="0" w:space="0" w:color="auto"/>
            <w:bottom w:val="none" w:sz="0" w:space="0" w:color="auto"/>
            <w:right w:val="none" w:sz="0" w:space="0" w:color="auto"/>
          </w:divBdr>
        </w:div>
        <w:div w:id="2047019171">
          <w:marLeft w:val="1008"/>
          <w:marRight w:val="0"/>
          <w:marTop w:val="115"/>
          <w:marBottom w:val="0"/>
          <w:divBdr>
            <w:top w:val="none" w:sz="0" w:space="0" w:color="auto"/>
            <w:left w:val="none" w:sz="0" w:space="0" w:color="auto"/>
            <w:bottom w:val="none" w:sz="0" w:space="0" w:color="auto"/>
            <w:right w:val="none" w:sz="0" w:space="0" w:color="auto"/>
          </w:divBdr>
        </w:div>
      </w:divsChild>
    </w:div>
    <w:div w:id="1610889571">
      <w:bodyDiv w:val="1"/>
      <w:marLeft w:val="0"/>
      <w:marRight w:val="0"/>
      <w:marTop w:val="0"/>
      <w:marBottom w:val="0"/>
      <w:divBdr>
        <w:top w:val="none" w:sz="0" w:space="0" w:color="auto"/>
        <w:left w:val="none" w:sz="0" w:space="0" w:color="auto"/>
        <w:bottom w:val="none" w:sz="0" w:space="0" w:color="auto"/>
        <w:right w:val="none" w:sz="0" w:space="0" w:color="auto"/>
      </w:divBdr>
      <w:divsChild>
        <w:div w:id="19359573">
          <w:marLeft w:val="1440"/>
          <w:marRight w:val="0"/>
          <w:marTop w:val="101"/>
          <w:marBottom w:val="0"/>
          <w:divBdr>
            <w:top w:val="none" w:sz="0" w:space="0" w:color="auto"/>
            <w:left w:val="none" w:sz="0" w:space="0" w:color="auto"/>
            <w:bottom w:val="none" w:sz="0" w:space="0" w:color="auto"/>
            <w:right w:val="none" w:sz="0" w:space="0" w:color="auto"/>
          </w:divBdr>
        </w:div>
        <w:div w:id="1036464978">
          <w:marLeft w:val="1440"/>
          <w:marRight w:val="0"/>
          <w:marTop w:val="101"/>
          <w:marBottom w:val="0"/>
          <w:divBdr>
            <w:top w:val="none" w:sz="0" w:space="0" w:color="auto"/>
            <w:left w:val="none" w:sz="0" w:space="0" w:color="auto"/>
            <w:bottom w:val="none" w:sz="0" w:space="0" w:color="auto"/>
            <w:right w:val="none" w:sz="0" w:space="0" w:color="auto"/>
          </w:divBdr>
        </w:div>
        <w:div w:id="1992903952">
          <w:marLeft w:val="1008"/>
          <w:marRight w:val="0"/>
          <w:marTop w:val="115"/>
          <w:marBottom w:val="0"/>
          <w:divBdr>
            <w:top w:val="none" w:sz="0" w:space="0" w:color="auto"/>
            <w:left w:val="none" w:sz="0" w:space="0" w:color="auto"/>
            <w:bottom w:val="none" w:sz="0" w:space="0" w:color="auto"/>
            <w:right w:val="none" w:sz="0" w:space="0" w:color="auto"/>
          </w:divBdr>
        </w:div>
      </w:divsChild>
    </w:div>
    <w:div w:id="1635522211">
      <w:bodyDiv w:val="1"/>
      <w:marLeft w:val="0"/>
      <w:marRight w:val="0"/>
      <w:marTop w:val="0"/>
      <w:marBottom w:val="0"/>
      <w:divBdr>
        <w:top w:val="none" w:sz="0" w:space="0" w:color="auto"/>
        <w:left w:val="none" w:sz="0" w:space="0" w:color="auto"/>
        <w:bottom w:val="none" w:sz="0" w:space="0" w:color="auto"/>
        <w:right w:val="none" w:sz="0" w:space="0" w:color="auto"/>
      </w:divBdr>
      <w:divsChild>
        <w:div w:id="739595659">
          <w:marLeft w:val="1008"/>
          <w:marRight w:val="0"/>
          <w:marTop w:val="96"/>
          <w:marBottom w:val="0"/>
          <w:divBdr>
            <w:top w:val="none" w:sz="0" w:space="0" w:color="auto"/>
            <w:left w:val="none" w:sz="0" w:space="0" w:color="auto"/>
            <w:bottom w:val="none" w:sz="0" w:space="0" w:color="auto"/>
            <w:right w:val="none" w:sz="0" w:space="0" w:color="auto"/>
          </w:divBdr>
        </w:div>
        <w:div w:id="843669984">
          <w:marLeft w:val="1440"/>
          <w:marRight w:val="0"/>
          <w:marTop w:val="86"/>
          <w:marBottom w:val="0"/>
          <w:divBdr>
            <w:top w:val="none" w:sz="0" w:space="0" w:color="auto"/>
            <w:left w:val="none" w:sz="0" w:space="0" w:color="auto"/>
            <w:bottom w:val="none" w:sz="0" w:space="0" w:color="auto"/>
            <w:right w:val="none" w:sz="0" w:space="0" w:color="auto"/>
          </w:divBdr>
        </w:div>
        <w:div w:id="1318192771">
          <w:marLeft w:val="1440"/>
          <w:marRight w:val="0"/>
          <w:marTop w:val="86"/>
          <w:marBottom w:val="0"/>
          <w:divBdr>
            <w:top w:val="none" w:sz="0" w:space="0" w:color="auto"/>
            <w:left w:val="none" w:sz="0" w:space="0" w:color="auto"/>
            <w:bottom w:val="none" w:sz="0" w:space="0" w:color="auto"/>
            <w:right w:val="none" w:sz="0" w:space="0" w:color="auto"/>
          </w:divBdr>
        </w:div>
        <w:div w:id="1375930281">
          <w:marLeft w:val="1440"/>
          <w:marRight w:val="0"/>
          <w:marTop w:val="86"/>
          <w:marBottom w:val="0"/>
          <w:divBdr>
            <w:top w:val="none" w:sz="0" w:space="0" w:color="auto"/>
            <w:left w:val="none" w:sz="0" w:space="0" w:color="auto"/>
            <w:bottom w:val="none" w:sz="0" w:space="0" w:color="auto"/>
            <w:right w:val="none" w:sz="0" w:space="0" w:color="auto"/>
          </w:divBdr>
        </w:div>
        <w:div w:id="1746099181">
          <w:marLeft w:val="1008"/>
          <w:marRight w:val="0"/>
          <w:marTop w:val="96"/>
          <w:marBottom w:val="0"/>
          <w:divBdr>
            <w:top w:val="none" w:sz="0" w:space="0" w:color="auto"/>
            <w:left w:val="none" w:sz="0" w:space="0" w:color="auto"/>
            <w:bottom w:val="none" w:sz="0" w:space="0" w:color="auto"/>
            <w:right w:val="none" w:sz="0" w:space="0" w:color="auto"/>
          </w:divBdr>
        </w:div>
        <w:div w:id="2036076403">
          <w:marLeft w:val="1440"/>
          <w:marRight w:val="0"/>
          <w:marTop w:val="86"/>
          <w:marBottom w:val="0"/>
          <w:divBdr>
            <w:top w:val="none" w:sz="0" w:space="0" w:color="auto"/>
            <w:left w:val="none" w:sz="0" w:space="0" w:color="auto"/>
            <w:bottom w:val="none" w:sz="0" w:space="0" w:color="auto"/>
            <w:right w:val="none" w:sz="0" w:space="0" w:color="auto"/>
          </w:divBdr>
        </w:div>
      </w:divsChild>
    </w:div>
    <w:div w:id="1661931703">
      <w:bodyDiv w:val="1"/>
      <w:marLeft w:val="0"/>
      <w:marRight w:val="0"/>
      <w:marTop w:val="0"/>
      <w:marBottom w:val="0"/>
      <w:divBdr>
        <w:top w:val="none" w:sz="0" w:space="0" w:color="auto"/>
        <w:left w:val="none" w:sz="0" w:space="0" w:color="auto"/>
        <w:bottom w:val="none" w:sz="0" w:space="0" w:color="auto"/>
        <w:right w:val="none" w:sz="0" w:space="0" w:color="auto"/>
      </w:divBdr>
      <w:divsChild>
        <w:div w:id="511184903">
          <w:marLeft w:val="432"/>
          <w:marRight w:val="0"/>
          <w:marTop w:val="125"/>
          <w:marBottom w:val="0"/>
          <w:divBdr>
            <w:top w:val="none" w:sz="0" w:space="0" w:color="auto"/>
            <w:left w:val="none" w:sz="0" w:space="0" w:color="auto"/>
            <w:bottom w:val="none" w:sz="0" w:space="0" w:color="auto"/>
            <w:right w:val="none" w:sz="0" w:space="0" w:color="auto"/>
          </w:divBdr>
        </w:div>
      </w:divsChild>
    </w:div>
    <w:div w:id="1760520886">
      <w:bodyDiv w:val="1"/>
      <w:marLeft w:val="0"/>
      <w:marRight w:val="0"/>
      <w:marTop w:val="0"/>
      <w:marBottom w:val="0"/>
      <w:divBdr>
        <w:top w:val="none" w:sz="0" w:space="0" w:color="auto"/>
        <w:left w:val="none" w:sz="0" w:space="0" w:color="auto"/>
        <w:bottom w:val="none" w:sz="0" w:space="0" w:color="auto"/>
        <w:right w:val="none" w:sz="0" w:space="0" w:color="auto"/>
      </w:divBdr>
      <w:divsChild>
        <w:div w:id="100759616">
          <w:marLeft w:val="432"/>
          <w:marRight w:val="0"/>
          <w:marTop w:val="125"/>
          <w:marBottom w:val="0"/>
          <w:divBdr>
            <w:top w:val="none" w:sz="0" w:space="0" w:color="auto"/>
            <w:left w:val="none" w:sz="0" w:space="0" w:color="auto"/>
            <w:bottom w:val="none" w:sz="0" w:space="0" w:color="auto"/>
            <w:right w:val="none" w:sz="0" w:space="0" w:color="auto"/>
          </w:divBdr>
        </w:div>
        <w:div w:id="689836433">
          <w:marLeft w:val="1008"/>
          <w:marRight w:val="0"/>
          <w:marTop w:val="115"/>
          <w:marBottom w:val="0"/>
          <w:divBdr>
            <w:top w:val="none" w:sz="0" w:space="0" w:color="auto"/>
            <w:left w:val="none" w:sz="0" w:space="0" w:color="auto"/>
            <w:bottom w:val="none" w:sz="0" w:space="0" w:color="auto"/>
            <w:right w:val="none" w:sz="0" w:space="0" w:color="auto"/>
          </w:divBdr>
        </w:div>
        <w:div w:id="1683631735">
          <w:marLeft w:val="1008"/>
          <w:marRight w:val="0"/>
          <w:marTop w:val="115"/>
          <w:marBottom w:val="0"/>
          <w:divBdr>
            <w:top w:val="none" w:sz="0" w:space="0" w:color="auto"/>
            <w:left w:val="none" w:sz="0" w:space="0" w:color="auto"/>
            <w:bottom w:val="none" w:sz="0" w:space="0" w:color="auto"/>
            <w:right w:val="none" w:sz="0" w:space="0" w:color="auto"/>
          </w:divBdr>
        </w:div>
      </w:divsChild>
    </w:div>
    <w:div w:id="1835955386">
      <w:bodyDiv w:val="1"/>
      <w:marLeft w:val="0"/>
      <w:marRight w:val="0"/>
      <w:marTop w:val="0"/>
      <w:marBottom w:val="0"/>
      <w:divBdr>
        <w:top w:val="none" w:sz="0" w:space="0" w:color="auto"/>
        <w:left w:val="none" w:sz="0" w:space="0" w:color="auto"/>
        <w:bottom w:val="none" w:sz="0" w:space="0" w:color="auto"/>
        <w:right w:val="none" w:sz="0" w:space="0" w:color="auto"/>
      </w:divBdr>
      <w:divsChild>
        <w:div w:id="392003405">
          <w:marLeft w:val="1008"/>
          <w:marRight w:val="0"/>
          <w:marTop w:val="91"/>
          <w:marBottom w:val="0"/>
          <w:divBdr>
            <w:top w:val="none" w:sz="0" w:space="0" w:color="auto"/>
            <w:left w:val="none" w:sz="0" w:space="0" w:color="auto"/>
            <w:bottom w:val="none" w:sz="0" w:space="0" w:color="auto"/>
            <w:right w:val="none" w:sz="0" w:space="0" w:color="auto"/>
          </w:divBdr>
        </w:div>
        <w:div w:id="466750370">
          <w:marLeft w:val="432"/>
          <w:marRight w:val="0"/>
          <w:marTop w:val="106"/>
          <w:marBottom w:val="0"/>
          <w:divBdr>
            <w:top w:val="none" w:sz="0" w:space="0" w:color="auto"/>
            <w:left w:val="none" w:sz="0" w:space="0" w:color="auto"/>
            <w:bottom w:val="none" w:sz="0" w:space="0" w:color="auto"/>
            <w:right w:val="none" w:sz="0" w:space="0" w:color="auto"/>
          </w:divBdr>
        </w:div>
        <w:div w:id="1205558165">
          <w:marLeft w:val="1008"/>
          <w:marRight w:val="0"/>
          <w:marTop w:val="91"/>
          <w:marBottom w:val="0"/>
          <w:divBdr>
            <w:top w:val="none" w:sz="0" w:space="0" w:color="auto"/>
            <w:left w:val="none" w:sz="0" w:space="0" w:color="auto"/>
            <w:bottom w:val="none" w:sz="0" w:space="0" w:color="auto"/>
            <w:right w:val="none" w:sz="0" w:space="0" w:color="auto"/>
          </w:divBdr>
        </w:div>
        <w:div w:id="1292325106">
          <w:marLeft w:val="1008"/>
          <w:marRight w:val="0"/>
          <w:marTop w:val="91"/>
          <w:marBottom w:val="0"/>
          <w:divBdr>
            <w:top w:val="none" w:sz="0" w:space="0" w:color="auto"/>
            <w:left w:val="none" w:sz="0" w:space="0" w:color="auto"/>
            <w:bottom w:val="none" w:sz="0" w:space="0" w:color="auto"/>
            <w:right w:val="none" w:sz="0" w:space="0" w:color="auto"/>
          </w:divBdr>
        </w:div>
        <w:div w:id="1975325362">
          <w:marLeft w:val="1008"/>
          <w:marRight w:val="0"/>
          <w:marTop w:val="91"/>
          <w:marBottom w:val="0"/>
          <w:divBdr>
            <w:top w:val="none" w:sz="0" w:space="0" w:color="auto"/>
            <w:left w:val="none" w:sz="0" w:space="0" w:color="auto"/>
            <w:bottom w:val="none" w:sz="0" w:space="0" w:color="auto"/>
            <w:right w:val="none" w:sz="0" w:space="0" w:color="auto"/>
          </w:divBdr>
        </w:div>
      </w:divsChild>
    </w:div>
    <w:div w:id="1839688680">
      <w:bodyDiv w:val="1"/>
      <w:marLeft w:val="0"/>
      <w:marRight w:val="0"/>
      <w:marTop w:val="0"/>
      <w:marBottom w:val="0"/>
      <w:divBdr>
        <w:top w:val="none" w:sz="0" w:space="0" w:color="auto"/>
        <w:left w:val="none" w:sz="0" w:space="0" w:color="auto"/>
        <w:bottom w:val="none" w:sz="0" w:space="0" w:color="auto"/>
        <w:right w:val="none" w:sz="0" w:space="0" w:color="auto"/>
      </w:divBdr>
      <w:divsChild>
        <w:div w:id="392390828">
          <w:marLeft w:val="1008"/>
          <w:marRight w:val="0"/>
          <w:marTop w:val="106"/>
          <w:marBottom w:val="0"/>
          <w:divBdr>
            <w:top w:val="none" w:sz="0" w:space="0" w:color="auto"/>
            <w:left w:val="none" w:sz="0" w:space="0" w:color="auto"/>
            <w:bottom w:val="none" w:sz="0" w:space="0" w:color="auto"/>
            <w:right w:val="none" w:sz="0" w:space="0" w:color="auto"/>
          </w:divBdr>
        </w:div>
        <w:div w:id="704604453">
          <w:marLeft w:val="1008"/>
          <w:marRight w:val="0"/>
          <w:marTop w:val="106"/>
          <w:marBottom w:val="0"/>
          <w:divBdr>
            <w:top w:val="none" w:sz="0" w:space="0" w:color="auto"/>
            <w:left w:val="none" w:sz="0" w:space="0" w:color="auto"/>
            <w:bottom w:val="none" w:sz="0" w:space="0" w:color="auto"/>
            <w:right w:val="none" w:sz="0" w:space="0" w:color="auto"/>
          </w:divBdr>
        </w:div>
        <w:div w:id="1284575340">
          <w:marLeft w:val="1008"/>
          <w:marRight w:val="0"/>
          <w:marTop w:val="106"/>
          <w:marBottom w:val="0"/>
          <w:divBdr>
            <w:top w:val="none" w:sz="0" w:space="0" w:color="auto"/>
            <w:left w:val="none" w:sz="0" w:space="0" w:color="auto"/>
            <w:bottom w:val="none" w:sz="0" w:space="0" w:color="auto"/>
            <w:right w:val="none" w:sz="0" w:space="0" w:color="auto"/>
          </w:divBdr>
        </w:div>
        <w:div w:id="1540169433">
          <w:marLeft w:val="1008"/>
          <w:marRight w:val="0"/>
          <w:marTop w:val="106"/>
          <w:marBottom w:val="0"/>
          <w:divBdr>
            <w:top w:val="none" w:sz="0" w:space="0" w:color="auto"/>
            <w:left w:val="none" w:sz="0" w:space="0" w:color="auto"/>
            <w:bottom w:val="none" w:sz="0" w:space="0" w:color="auto"/>
            <w:right w:val="none" w:sz="0" w:space="0" w:color="auto"/>
          </w:divBdr>
        </w:div>
        <w:div w:id="1611665965">
          <w:marLeft w:val="432"/>
          <w:marRight w:val="0"/>
          <w:marTop w:val="115"/>
          <w:marBottom w:val="0"/>
          <w:divBdr>
            <w:top w:val="none" w:sz="0" w:space="0" w:color="auto"/>
            <w:left w:val="none" w:sz="0" w:space="0" w:color="auto"/>
            <w:bottom w:val="none" w:sz="0" w:space="0" w:color="auto"/>
            <w:right w:val="none" w:sz="0" w:space="0" w:color="auto"/>
          </w:divBdr>
        </w:div>
      </w:divsChild>
    </w:div>
    <w:div w:id="1853838939">
      <w:bodyDiv w:val="1"/>
      <w:marLeft w:val="0"/>
      <w:marRight w:val="0"/>
      <w:marTop w:val="0"/>
      <w:marBottom w:val="0"/>
      <w:divBdr>
        <w:top w:val="none" w:sz="0" w:space="0" w:color="auto"/>
        <w:left w:val="none" w:sz="0" w:space="0" w:color="auto"/>
        <w:bottom w:val="none" w:sz="0" w:space="0" w:color="auto"/>
        <w:right w:val="none" w:sz="0" w:space="0" w:color="auto"/>
      </w:divBdr>
      <w:divsChild>
        <w:div w:id="1744641970">
          <w:marLeft w:val="432"/>
          <w:marRight w:val="0"/>
          <w:marTop w:val="125"/>
          <w:marBottom w:val="0"/>
          <w:divBdr>
            <w:top w:val="none" w:sz="0" w:space="0" w:color="auto"/>
            <w:left w:val="none" w:sz="0" w:space="0" w:color="auto"/>
            <w:bottom w:val="none" w:sz="0" w:space="0" w:color="auto"/>
            <w:right w:val="none" w:sz="0" w:space="0" w:color="auto"/>
          </w:divBdr>
        </w:div>
      </w:divsChild>
    </w:div>
    <w:div w:id="1925795222">
      <w:bodyDiv w:val="1"/>
      <w:marLeft w:val="0"/>
      <w:marRight w:val="0"/>
      <w:marTop w:val="0"/>
      <w:marBottom w:val="0"/>
      <w:divBdr>
        <w:top w:val="none" w:sz="0" w:space="0" w:color="auto"/>
        <w:left w:val="none" w:sz="0" w:space="0" w:color="auto"/>
        <w:bottom w:val="none" w:sz="0" w:space="0" w:color="auto"/>
        <w:right w:val="none" w:sz="0" w:space="0" w:color="auto"/>
      </w:divBdr>
      <w:divsChild>
        <w:div w:id="186649877">
          <w:marLeft w:val="1008"/>
          <w:marRight w:val="0"/>
          <w:marTop w:val="115"/>
          <w:marBottom w:val="0"/>
          <w:divBdr>
            <w:top w:val="none" w:sz="0" w:space="0" w:color="auto"/>
            <w:left w:val="none" w:sz="0" w:space="0" w:color="auto"/>
            <w:bottom w:val="none" w:sz="0" w:space="0" w:color="auto"/>
            <w:right w:val="none" w:sz="0" w:space="0" w:color="auto"/>
          </w:divBdr>
        </w:div>
        <w:div w:id="195120647">
          <w:marLeft w:val="1008"/>
          <w:marRight w:val="0"/>
          <w:marTop w:val="115"/>
          <w:marBottom w:val="0"/>
          <w:divBdr>
            <w:top w:val="none" w:sz="0" w:space="0" w:color="auto"/>
            <w:left w:val="none" w:sz="0" w:space="0" w:color="auto"/>
            <w:bottom w:val="none" w:sz="0" w:space="0" w:color="auto"/>
            <w:right w:val="none" w:sz="0" w:space="0" w:color="auto"/>
          </w:divBdr>
        </w:div>
        <w:div w:id="312947309">
          <w:marLeft w:val="1008"/>
          <w:marRight w:val="0"/>
          <w:marTop w:val="115"/>
          <w:marBottom w:val="0"/>
          <w:divBdr>
            <w:top w:val="none" w:sz="0" w:space="0" w:color="auto"/>
            <w:left w:val="none" w:sz="0" w:space="0" w:color="auto"/>
            <w:bottom w:val="none" w:sz="0" w:space="0" w:color="auto"/>
            <w:right w:val="none" w:sz="0" w:space="0" w:color="auto"/>
          </w:divBdr>
        </w:div>
      </w:divsChild>
    </w:div>
    <w:div w:id="2057272026">
      <w:bodyDiv w:val="1"/>
      <w:marLeft w:val="0"/>
      <w:marRight w:val="0"/>
      <w:marTop w:val="0"/>
      <w:marBottom w:val="0"/>
      <w:divBdr>
        <w:top w:val="none" w:sz="0" w:space="0" w:color="auto"/>
        <w:left w:val="none" w:sz="0" w:space="0" w:color="auto"/>
        <w:bottom w:val="none" w:sz="0" w:space="0" w:color="auto"/>
        <w:right w:val="none" w:sz="0" w:space="0" w:color="auto"/>
      </w:divBdr>
      <w:divsChild>
        <w:div w:id="32191558">
          <w:marLeft w:val="1008"/>
          <w:marRight w:val="0"/>
          <w:marTop w:val="96"/>
          <w:marBottom w:val="0"/>
          <w:divBdr>
            <w:top w:val="none" w:sz="0" w:space="0" w:color="auto"/>
            <w:left w:val="none" w:sz="0" w:space="0" w:color="auto"/>
            <w:bottom w:val="none" w:sz="0" w:space="0" w:color="auto"/>
            <w:right w:val="none" w:sz="0" w:space="0" w:color="auto"/>
          </w:divBdr>
        </w:div>
        <w:div w:id="528497095">
          <w:marLeft w:val="432"/>
          <w:marRight w:val="0"/>
          <w:marTop w:val="125"/>
          <w:marBottom w:val="0"/>
          <w:divBdr>
            <w:top w:val="none" w:sz="0" w:space="0" w:color="auto"/>
            <w:left w:val="none" w:sz="0" w:space="0" w:color="auto"/>
            <w:bottom w:val="none" w:sz="0" w:space="0" w:color="auto"/>
            <w:right w:val="none" w:sz="0" w:space="0" w:color="auto"/>
          </w:divBdr>
        </w:div>
        <w:div w:id="575481421">
          <w:marLeft w:val="432"/>
          <w:marRight w:val="0"/>
          <w:marTop w:val="106"/>
          <w:marBottom w:val="0"/>
          <w:divBdr>
            <w:top w:val="none" w:sz="0" w:space="0" w:color="auto"/>
            <w:left w:val="none" w:sz="0" w:space="0" w:color="auto"/>
            <w:bottom w:val="none" w:sz="0" w:space="0" w:color="auto"/>
            <w:right w:val="none" w:sz="0" w:space="0" w:color="auto"/>
          </w:divBdr>
        </w:div>
        <w:div w:id="864682170">
          <w:marLeft w:val="1008"/>
          <w:marRight w:val="0"/>
          <w:marTop w:val="96"/>
          <w:marBottom w:val="0"/>
          <w:divBdr>
            <w:top w:val="none" w:sz="0" w:space="0" w:color="auto"/>
            <w:left w:val="none" w:sz="0" w:space="0" w:color="auto"/>
            <w:bottom w:val="none" w:sz="0" w:space="0" w:color="auto"/>
            <w:right w:val="none" w:sz="0" w:space="0" w:color="auto"/>
          </w:divBdr>
        </w:div>
        <w:div w:id="1556887129">
          <w:marLeft w:val="1008"/>
          <w:marRight w:val="0"/>
          <w:marTop w:val="96"/>
          <w:marBottom w:val="0"/>
          <w:divBdr>
            <w:top w:val="none" w:sz="0" w:space="0" w:color="auto"/>
            <w:left w:val="none" w:sz="0" w:space="0" w:color="auto"/>
            <w:bottom w:val="none" w:sz="0" w:space="0" w:color="auto"/>
            <w:right w:val="none" w:sz="0" w:space="0" w:color="auto"/>
          </w:divBdr>
        </w:div>
        <w:div w:id="2024284723">
          <w:marLeft w:val="1008"/>
          <w:marRight w:val="0"/>
          <w:marTop w:val="96"/>
          <w:marBottom w:val="0"/>
          <w:divBdr>
            <w:top w:val="none" w:sz="0" w:space="0" w:color="auto"/>
            <w:left w:val="none" w:sz="0" w:space="0" w:color="auto"/>
            <w:bottom w:val="none" w:sz="0" w:space="0" w:color="auto"/>
            <w:right w:val="none" w:sz="0" w:space="0" w:color="auto"/>
          </w:divBdr>
        </w:div>
      </w:divsChild>
    </w:div>
    <w:div w:id="2058503227">
      <w:bodyDiv w:val="1"/>
      <w:marLeft w:val="0"/>
      <w:marRight w:val="0"/>
      <w:marTop w:val="0"/>
      <w:marBottom w:val="0"/>
      <w:divBdr>
        <w:top w:val="none" w:sz="0" w:space="0" w:color="auto"/>
        <w:left w:val="none" w:sz="0" w:space="0" w:color="auto"/>
        <w:bottom w:val="none" w:sz="0" w:space="0" w:color="auto"/>
        <w:right w:val="none" w:sz="0" w:space="0" w:color="auto"/>
      </w:divBdr>
      <w:divsChild>
        <w:div w:id="454833942">
          <w:marLeft w:val="432"/>
          <w:marRight w:val="0"/>
          <w:marTop w:val="91"/>
          <w:marBottom w:val="0"/>
          <w:divBdr>
            <w:top w:val="none" w:sz="0" w:space="0" w:color="auto"/>
            <w:left w:val="none" w:sz="0" w:space="0" w:color="auto"/>
            <w:bottom w:val="none" w:sz="0" w:space="0" w:color="auto"/>
            <w:right w:val="none" w:sz="0" w:space="0" w:color="auto"/>
          </w:divBdr>
        </w:div>
        <w:div w:id="830221977">
          <w:marLeft w:val="432"/>
          <w:marRight w:val="0"/>
          <w:marTop w:val="91"/>
          <w:marBottom w:val="0"/>
          <w:divBdr>
            <w:top w:val="none" w:sz="0" w:space="0" w:color="auto"/>
            <w:left w:val="none" w:sz="0" w:space="0" w:color="auto"/>
            <w:bottom w:val="none" w:sz="0" w:space="0" w:color="auto"/>
            <w:right w:val="none" w:sz="0" w:space="0" w:color="auto"/>
          </w:divBdr>
        </w:div>
        <w:div w:id="890656127">
          <w:marLeft w:val="432"/>
          <w:marRight w:val="0"/>
          <w:marTop w:val="91"/>
          <w:marBottom w:val="0"/>
          <w:divBdr>
            <w:top w:val="none" w:sz="0" w:space="0" w:color="auto"/>
            <w:left w:val="none" w:sz="0" w:space="0" w:color="auto"/>
            <w:bottom w:val="none" w:sz="0" w:space="0" w:color="auto"/>
            <w:right w:val="none" w:sz="0" w:space="0" w:color="auto"/>
          </w:divBdr>
        </w:div>
        <w:div w:id="1098602621">
          <w:marLeft w:val="432"/>
          <w:marRight w:val="0"/>
          <w:marTop w:val="91"/>
          <w:marBottom w:val="0"/>
          <w:divBdr>
            <w:top w:val="none" w:sz="0" w:space="0" w:color="auto"/>
            <w:left w:val="none" w:sz="0" w:space="0" w:color="auto"/>
            <w:bottom w:val="none" w:sz="0" w:space="0" w:color="auto"/>
            <w:right w:val="none" w:sz="0" w:space="0" w:color="auto"/>
          </w:divBdr>
        </w:div>
        <w:div w:id="1235123100">
          <w:marLeft w:val="432"/>
          <w:marRight w:val="0"/>
          <w:marTop w:val="91"/>
          <w:marBottom w:val="0"/>
          <w:divBdr>
            <w:top w:val="none" w:sz="0" w:space="0" w:color="auto"/>
            <w:left w:val="none" w:sz="0" w:space="0" w:color="auto"/>
            <w:bottom w:val="none" w:sz="0" w:space="0" w:color="auto"/>
            <w:right w:val="none" w:sz="0" w:space="0" w:color="auto"/>
          </w:divBdr>
        </w:div>
        <w:div w:id="1281106710">
          <w:marLeft w:val="432"/>
          <w:marRight w:val="0"/>
          <w:marTop w:val="91"/>
          <w:marBottom w:val="0"/>
          <w:divBdr>
            <w:top w:val="none" w:sz="0" w:space="0" w:color="auto"/>
            <w:left w:val="none" w:sz="0" w:space="0" w:color="auto"/>
            <w:bottom w:val="none" w:sz="0" w:space="0" w:color="auto"/>
            <w:right w:val="none" w:sz="0" w:space="0" w:color="auto"/>
          </w:divBdr>
        </w:div>
        <w:div w:id="1643802807">
          <w:marLeft w:val="432"/>
          <w:marRight w:val="0"/>
          <w:marTop w:val="91"/>
          <w:marBottom w:val="0"/>
          <w:divBdr>
            <w:top w:val="none" w:sz="0" w:space="0" w:color="auto"/>
            <w:left w:val="none" w:sz="0" w:space="0" w:color="auto"/>
            <w:bottom w:val="none" w:sz="0" w:space="0" w:color="auto"/>
            <w:right w:val="none" w:sz="0" w:space="0" w:color="auto"/>
          </w:divBdr>
        </w:div>
        <w:div w:id="1806849792">
          <w:marLeft w:val="432"/>
          <w:marRight w:val="0"/>
          <w:marTop w:val="91"/>
          <w:marBottom w:val="0"/>
          <w:divBdr>
            <w:top w:val="none" w:sz="0" w:space="0" w:color="auto"/>
            <w:left w:val="none" w:sz="0" w:space="0" w:color="auto"/>
            <w:bottom w:val="none" w:sz="0" w:space="0" w:color="auto"/>
            <w:right w:val="none" w:sz="0" w:space="0" w:color="auto"/>
          </w:divBdr>
        </w:div>
      </w:divsChild>
    </w:div>
    <w:div w:id="208976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chart" Target="charts/chart17.xml"/><Relationship Id="rId143" Type="http://schemas.openxmlformats.org/officeDocument/2006/relationships/header" Target="header8.xml"/><Relationship Id="rId144" Type="http://schemas.openxmlformats.org/officeDocument/2006/relationships/header" Target="header9.xml"/><Relationship Id="rId145" Type="http://schemas.openxmlformats.org/officeDocument/2006/relationships/chart" Target="charts/chart18.xml"/><Relationship Id="rId146" Type="http://schemas.openxmlformats.org/officeDocument/2006/relationships/footer" Target="footer4.xml"/><Relationship Id="rId147" Type="http://schemas.openxmlformats.org/officeDocument/2006/relationships/footer" Target="footer5.xml"/><Relationship Id="rId148" Type="http://schemas.openxmlformats.org/officeDocument/2006/relationships/hyperlink" Target="http://www3.weforum.org/docs/WEF_GlobalCompetitivenessReport_2013-14.pdf" TargetMode="External"/><Relationship Id="rId149" Type="http://schemas.openxmlformats.org/officeDocument/2006/relationships/hyperlink" Target="http://espanol.doingbusiness.org/" TargetMode="External"/><Relationship Id="rId180" Type="http://schemas.openxmlformats.org/officeDocument/2006/relationships/chart" Target="charts/chart22.xml"/><Relationship Id="rId181" Type="http://schemas.openxmlformats.org/officeDocument/2006/relationships/image" Target="media/image5.wmf"/><Relationship Id="rId182" Type="http://schemas.openxmlformats.org/officeDocument/2006/relationships/image" Target="media/image6.wmf"/><Relationship Id="rId40" Type="http://schemas.openxmlformats.org/officeDocument/2006/relationships/hyperlink" Target="http://www.fas.org/sgp/crs/row/RL32933.pdf" TargetMode="External"/><Relationship Id="rId41" Type="http://schemas.openxmlformats.org/officeDocument/2006/relationships/hyperlink" Target="http://www.usatoday.com/story/news/world/2013/11/06/puerto-rico-economic-crisis/3314639/" TargetMode="External"/><Relationship Id="rId42" Type="http://schemas.openxmlformats.org/officeDocument/2006/relationships/hyperlink" Target="https://www.govtrack.us/congress/bills/113/hr2000" TargetMode="External"/><Relationship Id="rId43" Type="http://schemas.openxmlformats.org/officeDocument/2006/relationships/hyperlink" Target="http://www.standardandpoors.com/ratingdirect" TargetMode="External"/><Relationship Id="rId44" Type="http://schemas.openxmlformats.org/officeDocument/2006/relationships/hyperlink" Target="http://thehill.com/opinion/columnists/david-hill/8308-puerto-rico-deserves-more-attention" TargetMode="External"/><Relationship Id="rId45" Type="http://schemas.openxmlformats.org/officeDocument/2006/relationships/hyperlink" Target="http://beta.congress.gov/113/bills/hr2000/BILLS-113hr2000ih.pdf" TargetMode="External"/><Relationship Id="rId46" Type="http://schemas.openxmlformats.org/officeDocument/2006/relationships/hyperlink" Target="http://www.foreignpolicy.com/articles/2004/03/01/the_hispanic_challenge" TargetMode="External"/><Relationship Id="rId47" Type="http://schemas.openxmlformats.org/officeDocument/2006/relationships/hyperlink" Target="http://www.washingtonpost.com/blogs/worldviews/wp/2012/11/07/why-does-puerto-rico-want-statehood-anyway/" TargetMode="External"/><Relationship Id="rId48" Type="http://schemas.openxmlformats.org/officeDocument/2006/relationships/hyperlink" Target="http://www.bu.edu/law/central/jd/organizations/journals/bulr/volume89n2/documents/LAWSO.pdf" TargetMode="External"/><Relationship Id="rId49" Type="http://schemas.openxmlformats.org/officeDocument/2006/relationships/hyperlink" Target="http://www.law.umn.edu/constcom/v17n2.ht" TargetMode="External"/><Relationship Id="rId183" Type="http://schemas.openxmlformats.org/officeDocument/2006/relationships/chart" Target="charts/chart23.xml"/><Relationship Id="rId184" Type="http://schemas.openxmlformats.org/officeDocument/2006/relationships/chart" Target="charts/chart24.xml"/><Relationship Id="rId185" Type="http://schemas.openxmlformats.org/officeDocument/2006/relationships/chart" Target="charts/chart25.xml"/><Relationship Id="rId186" Type="http://schemas.openxmlformats.org/officeDocument/2006/relationships/image" Target="media/image7.wmf"/><Relationship Id="rId187" Type="http://schemas.openxmlformats.org/officeDocument/2006/relationships/image" Target="media/image8.wmf"/><Relationship Id="rId188" Type="http://schemas.openxmlformats.org/officeDocument/2006/relationships/chart" Target="charts/chart26.xml"/><Relationship Id="rId189" Type="http://schemas.openxmlformats.org/officeDocument/2006/relationships/image" Target="media/image9.png"/><Relationship Id="rId80" Type="http://schemas.openxmlformats.org/officeDocument/2006/relationships/hyperlink" Target="http://www.businessweek.com/articles/2013-10-14/tea-partys-house-seats-might-not-be-all-that-safe" TargetMode="External"/><Relationship Id="rId81" Type="http://schemas.openxmlformats.org/officeDocument/2006/relationships/hyperlink" Target="http://online.wsj.com/news/articles/SB10001424052702303442704579363160047845626?mg=reno64-wsj&amp;url=http%3A%2F%2Fonline.wsj.com%2Farticle%2FSB10001424052702303442704579363160047845626.html" TargetMode="External"/><Relationship Id="rId82" Type="http://schemas.openxmlformats.org/officeDocument/2006/relationships/hyperlink" Target="http://www.forbes.com/sites/jakezamansky/2013/12/02/is-puerto-rico-too-big-to-fail/" TargetMode="External"/><Relationship Id="rId83" Type="http://schemas.openxmlformats.org/officeDocument/2006/relationships/hyperlink" Target="http://www.senate.gov/reference/resources/pdf/RS20725.pdf" TargetMode="External"/><Relationship Id="rId84" Type="http://schemas.openxmlformats.org/officeDocument/2006/relationships/header" Target="header2.xml"/><Relationship Id="rId85" Type="http://schemas.openxmlformats.org/officeDocument/2006/relationships/header" Target="header3.xml"/><Relationship Id="rId86" Type="http://schemas.openxmlformats.org/officeDocument/2006/relationships/chart" Target="charts/chart1.xml"/><Relationship Id="rId87" Type="http://schemas.openxmlformats.org/officeDocument/2006/relationships/chart" Target="charts/chart2.xml"/><Relationship Id="rId88" Type="http://schemas.openxmlformats.org/officeDocument/2006/relationships/chart" Target="charts/chart3.xml"/><Relationship Id="rId89" Type="http://schemas.openxmlformats.org/officeDocument/2006/relationships/chart" Target="charts/chart4.xml"/><Relationship Id="rId110" Type="http://schemas.openxmlformats.org/officeDocument/2006/relationships/hyperlink" Target="https://www.cia.gov/library/publications/the-world-factbook/geos/us.html" TargetMode="External"/><Relationship Id="rId111" Type="http://schemas.openxmlformats.org/officeDocument/2006/relationships/hyperlink" Target="https://www.cia.gov/library/publications/the-world-factbook/geos/cs.html" TargetMode="External"/><Relationship Id="rId112" Type="http://schemas.openxmlformats.org/officeDocument/2006/relationships/hyperlink" Target="https://www.cia.gov/library/publications/the-world-factbook/geos/ar.html" TargetMode="External"/><Relationship Id="rId113" Type="http://schemas.openxmlformats.org/officeDocument/2006/relationships/hyperlink" Target="https://www.cia.gov/library/publications/the-world-factbook/geos/dr.html" TargetMode="External"/><Relationship Id="rId114" Type="http://schemas.openxmlformats.org/officeDocument/2006/relationships/hyperlink" Target="https://www.cia.gov/library/publications/the-world-factbook/geos/mx.html" TargetMode="External"/><Relationship Id="rId115" Type="http://schemas.openxmlformats.org/officeDocument/2006/relationships/hyperlink" Target="https://www.cia.gov/library/publications/the-world-factbook/geos/ve.html" TargetMode="External"/><Relationship Id="rId116" Type="http://schemas.openxmlformats.org/officeDocument/2006/relationships/hyperlink" Target="https://www.cia.gov/library/publications/the-world-factbook/geos/ci.html" TargetMode="External"/><Relationship Id="rId117" Type="http://schemas.openxmlformats.org/officeDocument/2006/relationships/chart" Target="charts/chart10.xml"/><Relationship Id="rId118" Type="http://schemas.openxmlformats.org/officeDocument/2006/relationships/chart" Target="charts/chart11.xml"/><Relationship Id="rId119" Type="http://schemas.openxmlformats.org/officeDocument/2006/relationships/chart" Target="charts/chart12.xml"/><Relationship Id="rId150" Type="http://schemas.openxmlformats.org/officeDocument/2006/relationships/hyperlink" Target="http://espanol.doingbusiness.org/methodology" TargetMode="External"/><Relationship Id="rId151" Type="http://schemas.openxmlformats.org/officeDocument/2006/relationships/hyperlink" Target="http://espanol.doingbusiness.org/data/exploreeconomies/puerto-rico" TargetMode="External"/><Relationship Id="rId152" Type="http://schemas.openxmlformats.org/officeDocument/2006/relationships/hyperlink" Target="http://www.imd.org/" TargetMode="External"/><Relationship Id="rId10" Type="http://schemas.openxmlformats.org/officeDocument/2006/relationships/header" Target="header1.xml"/><Relationship Id="rId11" Type="http://schemas.openxmlformats.org/officeDocument/2006/relationships/hyperlink" Target="http://www.huffingtonpost.com/nan-aron/congressional-gridlock_b_2443098.html" TargetMode="External"/><Relationship Id="rId12" Type="http://schemas.openxmlformats.org/officeDocument/2006/relationships/hyperlink" Target="http://prfaa.pr.gov/espanol/noticias/wp-content/uploads/2013/05/Resolucion-Concurrente-24.pdf" TargetMode="External"/><Relationship Id="rId13" Type="http://schemas.openxmlformats.org/officeDocument/2006/relationships/hyperlink" Target="http://www.newsmax.com/US/Puerto-Rico-statehood-crisis/2013/12/02/id/539531" TargetMode="External"/><Relationship Id="rId14" Type="http://schemas.openxmlformats.org/officeDocument/2006/relationships/hyperlink" Target="http://online.barrons.com/article/SB50001424052748704719204579022892632785548.html" TargetMode="External"/><Relationship Id="rId15" Type="http://schemas.openxmlformats.org/officeDocument/2006/relationships/hyperlink" Target="http://www.fas.org/sgp/crs/row/RL32933.pdf" TargetMode="External"/><Relationship Id="rId16" Type="http://schemas.openxmlformats.org/officeDocument/2006/relationships/hyperlink" Target="http://www.huffingtonpost.com/sarah-binder/113th-congress_b_2426574.html" TargetMode="External"/><Relationship Id="rId17" Type="http://schemas.openxmlformats.org/officeDocument/2006/relationships/hyperlink" Target="http://www.policymic.com/articles/59033/out-of-5-000-bills-in-every-congress-guess-how-many-become-law" TargetMode="External"/><Relationship Id="rId18" Type="http://schemas.openxmlformats.org/officeDocument/2006/relationships/hyperlink" Target="http://www.presidentialelection.com/state_of_the_union/1989_state_of_the_union_address.htm" TargetMode="External"/><Relationship Id="rId19" Type="http://schemas.openxmlformats.org/officeDocument/2006/relationships/hyperlink" Target="http://www.voxxi.com/puerto-rican-statehood-pressure-congress/" TargetMode="External"/><Relationship Id="rId153" Type="http://schemas.openxmlformats.org/officeDocument/2006/relationships/hyperlink" Target="http://www.imd.org/wcc/research-methodology/" TargetMode="External"/><Relationship Id="rId154" Type="http://schemas.openxmlformats.org/officeDocument/2006/relationships/hyperlink" Target="http://www.imd.org/uupload/imd.website/wcc/methodology.pdf" TargetMode="External"/><Relationship Id="rId155" Type="http://schemas.openxmlformats.org/officeDocument/2006/relationships/hyperlink" Target="http://www.imd.org/uupload/IMD.WebSite/wcc/WCYResults/1/scoreboard.pdf" TargetMode="External"/><Relationship Id="rId156" Type="http://schemas.openxmlformats.org/officeDocument/2006/relationships/hyperlink" Target="http://imco.org.mx/indices" TargetMode="External"/><Relationship Id="rId157" Type="http://schemas.openxmlformats.org/officeDocument/2006/relationships/hyperlink" Target="http://imco.org.mx/wp-content/uploads/internacional/ICI2013-completo.pdf" TargetMode="External"/><Relationship Id="rId158" Type="http://schemas.openxmlformats.org/officeDocument/2006/relationships/chart" Target="charts/chart19.xml"/><Relationship Id="rId159" Type="http://schemas.openxmlformats.org/officeDocument/2006/relationships/image" Target="media/image2.emf"/><Relationship Id="rId190" Type="http://schemas.openxmlformats.org/officeDocument/2006/relationships/image" Target="media/image10.png"/><Relationship Id="rId191" Type="http://schemas.openxmlformats.org/officeDocument/2006/relationships/image" Target="media/image11.png"/><Relationship Id="rId192" Type="http://schemas.openxmlformats.org/officeDocument/2006/relationships/image" Target="media/image12.wmf"/><Relationship Id="rId50" Type="http://schemas.openxmlformats.org/officeDocument/2006/relationships/hyperlink" Target="http://www.bu.edu/law/central/jd/organizations/journals/bulr/volume89n2/documents/MAYHEW.pdf" TargetMode="External"/><Relationship Id="rId51" Type="http://schemas.openxmlformats.org/officeDocument/2006/relationships/hyperlink" Target="http://www.forbes.com/sites/larrymcdonald/2014/01/03/puerto-rico-default-to-re-price-the-3-7-trillion-municipal-bond-market-in-2014/6/" TargetMode="External"/><Relationship Id="rId52" Type="http://schemas.openxmlformats.org/officeDocument/2006/relationships/hyperlink" Target="http://www.houstonpress.com/2013-03-21/news/puerto-rico-blowback/" TargetMode="External"/><Relationship Id="rId53" Type="http://schemas.openxmlformats.org/officeDocument/2006/relationships/hyperlink" Target="http://www.redalyc.org/src/inicio/ArtPdfRed.jsp?iCve=243316417001" TargetMode="External"/><Relationship Id="rId54" Type="http://schemas.openxmlformats.org/officeDocument/2006/relationships/hyperlink" Target="http://www.cbsnews.com/news/tea-party-supporters-who-they-are-and-what-they-believe/" TargetMode="External"/><Relationship Id="rId55" Type="http://schemas.openxmlformats.org/officeDocument/2006/relationships/hyperlink" Target="http://www.fundculturadepaz.org/spa/DOCUMENTOS/Conferencias/2009/Discurso_Obama_ElCairo_040609.pdf" TargetMode="External"/><Relationship Id="rId56" Type="http://schemas.openxmlformats.org/officeDocument/2006/relationships/hyperlink" Target="http://www.un.org/es/decolonization/declaration.shtml" TargetMode="External"/><Relationship Id="rId57" Type="http://schemas.openxmlformats.org/officeDocument/2006/relationships/hyperlink" Target="http://daccess-ods.un.org/TMP/4771684.40818787.html" TargetMode="External"/><Relationship Id="rId58" Type="http://schemas.openxmlformats.org/officeDocument/2006/relationships/hyperlink" Target="http://redalyc.uaemex.mx/pdf/377/37719209.pdf" TargetMode="External"/><Relationship Id="rId59" Type="http://schemas.openxmlformats.org/officeDocument/2006/relationships/hyperlink" Target="http://www.oslpr.org" TargetMode="External"/><Relationship Id="rId193" Type="http://schemas.openxmlformats.org/officeDocument/2006/relationships/hyperlink" Target="http://economia.uprrp.edu/ensayo%20103.pdf" TargetMode="External"/><Relationship Id="rId194" Type="http://schemas.openxmlformats.org/officeDocument/2006/relationships/hyperlink" Target="http://ceterisparibus.uprm.edu/articulos/vol6/Pdf/Alameda.pdf" TargetMode="External"/><Relationship Id="rId195" Type="http://schemas.openxmlformats.org/officeDocument/2006/relationships/hyperlink" Target="http://easywebpr.com/josealameda/informes_gobernador/ciclos_economicos_informe_economico_gob_2006.pdf" TargetMode="External"/><Relationship Id="rId196" Type="http://schemas.openxmlformats.org/officeDocument/2006/relationships/hyperlink" Target="http://databank.worldbank.org/data/views/reports/tableview.aspx" TargetMode="External"/><Relationship Id="rId197" Type="http://schemas.openxmlformats.org/officeDocument/2006/relationships/hyperlink" Target="http://www.newyorkfed.org/research/current_issues/ci14-2/ci14-2.html" TargetMode="External"/><Relationship Id="rId198" Type="http://schemas.openxmlformats.org/officeDocument/2006/relationships/hyperlink" Target="http://www.fbbva.es/TLFU/dat/dt10_2006.pdf" TargetMode="External"/><Relationship Id="rId199" Type="http://schemas.openxmlformats.org/officeDocument/2006/relationships/hyperlink" Target="http://www.jp.gobierno.pr/" TargetMode="External"/><Relationship Id="rId90" Type="http://schemas.openxmlformats.org/officeDocument/2006/relationships/chart" Target="charts/chart5.xml"/><Relationship Id="rId91" Type="http://schemas.openxmlformats.org/officeDocument/2006/relationships/chart" Target="charts/chart6.xml"/><Relationship Id="rId92" Type="http://schemas.openxmlformats.org/officeDocument/2006/relationships/chart" Target="charts/chart7.xml"/><Relationship Id="rId93" Type="http://schemas.openxmlformats.org/officeDocument/2006/relationships/chart" Target="charts/chart8.xml"/><Relationship Id="rId94" Type="http://schemas.openxmlformats.org/officeDocument/2006/relationships/chart" Target="charts/chart9.xml"/><Relationship Id="rId95" Type="http://schemas.openxmlformats.org/officeDocument/2006/relationships/header" Target="header4.xml"/><Relationship Id="rId96" Type="http://schemas.openxmlformats.org/officeDocument/2006/relationships/hyperlink" Target="https://www.cia.gov/library/publications/the-world-factbook/geos/zi.html" TargetMode="External"/><Relationship Id="rId97" Type="http://schemas.openxmlformats.org/officeDocument/2006/relationships/hyperlink" Target="https://www.cia.gov/library/publications/the-world-factbook/geos/ja.html" TargetMode="External"/><Relationship Id="rId98" Type="http://schemas.openxmlformats.org/officeDocument/2006/relationships/hyperlink" Target="https://www.cia.gov/library/publications/the-world-factbook/geos/gr.html" TargetMode="External"/><Relationship Id="rId99" Type="http://schemas.openxmlformats.org/officeDocument/2006/relationships/hyperlink" Target="https://www.cia.gov/library/publications/the-world-factbook/geos/sc.html" TargetMode="External"/><Relationship Id="rId120" Type="http://schemas.openxmlformats.org/officeDocument/2006/relationships/chart" Target="charts/chart13.xml"/><Relationship Id="rId121" Type="http://schemas.openxmlformats.org/officeDocument/2006/relationships/chart" Target="charts/chart14.xml"/><Relationship Id="rId122" Type="http://schemas.openxmlformats.org/officeDocument/2006/relationships/chart" Target="charts/chart15.xml"/><Relationship Id="rId123" Type="http://schemas.openxmlformats.org/officeDocument/2006/relationships/hyperlink" Target="http://www.jp.gobierno.pr/Portal_JP/Default.aspx?tabid=184" TargetMode="External"/><Relationship Id="rId124" Type="http://schemas.openxmlformats.org/officeDocument/2006/relationships/hyperlink" Target="https://www.cia.gov/library/publications/the-world-factbook/" TargetMode="External"/><Relationship Id="rId125" Type="http://schemas.openxmlformats.org/officeDocument/2006/relationships/hyperlink" Target="http://www.hacienda.gobierno.pr/estadisticas/datos_seleccionados.html" TargetMode="External"/><Relationship Id="rId126" Type="http://schemas.openxmlformats.org/officeDocument/2006/relationships/hyperlink" Target="http://www.hacienda.gobierno.pr/downloads/xls/estadisticas/Ingreso_Neto_Sujeto_Contribucion_2000-2011.pdf" TargetMode="External"/><Relationship Id="rId127" Type="http://schemas.openxmlformats.org/officeDocument/2006/relationships/hyperlink" Target="http://www2.census.gov/govs/local/summary_report.pdf" TargetMode="External"/><Relationship Id="rId128" Type="http://schemas.openxmlformats.org/officeDocument/2006/relationships/hyperlink" Target="http://www.gao.gov/assets/650/648792.pdf" TargetMode="External"/><Relationship Id="rId129" Type="http://schemas.openxmlformats.org/officeDocument/2006/relationships/hyperlink" Target="http://www.irs.gov/pub/irs-soi/12databk.pdf" TargetMode="External"/><Relationship Id="rId160" Type="http://schemas.openxmlformats.org/officeDocument/2006/relationships/hyperlink" Target="http://siteresources.worldbank.org/INTEASTASIAPACIFIC/Resources/226262-1158536715202/EA_Renaissance_execsumm.pdf" TargetMode="External"/><Relationship Id="rId161" Type="http://schemas.openxmlformats.org/officeDocument/2006/relationships/hyperlink" Target="http://siteresources.worldbank.org/INTEASTASIAPACIFIC/Resources/226262-1158536715202/EA_Renaissance_execsumm.pdf" TargetMode="External"/><Relationship Id="rId162" Type="http://schemas.openxmlformats.org/officeDocument/2006/relationships/hyperlink" Target="http://www.consultorapsg.com.mx/competitividad%20mexico.pdf" TargetMode="External"/><Relationship Id="rId20" Type="http://schemas.openxmlformats.org/officeDocument/2006/relationships/hyperlink" Target="http://online.wsj.com/news/articles/SB10001424052702304173704579262390542968318" TargetMode="External"/><Relationship Id="rId21" Type="http://schemas.openxmlformats.org/officeDocument/2006/relationships/hyperlink" Target="http://caribbeanbusinesspr.com/news/carrion-takes-aim-at-economist-report-91700.html" TargetMode="External"/><Relationship Id="rId22" Type="http://schemas.openxmlformats.org/officeDocument/2006/relationships/hyperlink" Target="http://www.caribbeanbusinesspr.com/news/pr-status-plebiscite-in-obama-budget-83109.html" TargetMode="External"/><Relationship Id="rId23" Type="http://schemas.openxmlformats.org/officeDocument/2006/relationships/hyperlink" Target="http://www.nytimes.com/1997/11/02/books/island-paradox.html" TargetMode="External"/><Relationship Id="rId24" Type="http://schemas.openxmlformats.org/officeDocument/2006/relationships/hyperlink" Target="http://globalvoicesonline.org/2013/08/12/intense-debate-over-changes-in-puerto-ricos-political-status/" TargetMode="External"/><Relationship Id="rId25" Type="http://schemas.openxmlformats.org/officeDocument/2006/relationships/hyperlink" Target="http://edition.cnn.com/2012/11/07/politics/election-puerto-rico" TargetMode="External"/><Relationship Id="rId26" Type="http://schemas.openxmlformats.org/officeDocument/2006/relationships/hyperlink" Target="http://cis.uprrp.edu/documents/6franciscocatala.pdf" TargetMode="External"/><Relationship Id="rId27" Type="http://schemas.openxmlformats.org/officeDocument/2006/relationships/hyperlink" Target="http://www.fas.org/sgp/crs/row/R42765.pdf" TargetMode="External"/><Relationship Id="rId28" Type="http://schemas.openxmlformats.org/officeDocument/2006/relationships/hyperlink" Target="http://www.elnuevodia.com/creenqueasambleaconstitucionalpuederompereltranquedelstatus-1576869.html" TargetMode="External"/><Relationship Id="rId29" Type="http://schemas.openxmlformats.org/officeDocument/2006/relationships/hyperlink" Target="http://www.huellasdeeua.com.ar" TargetMode="External"/><Relationship Id="rId163" Type="http://schemas.openxmlformats.org/officeDocument/2006/relationships/hyperlink" Target="http://www.economia.gob.mx/comunidad-negocios/competitividad-normatividad/indices" TargetMode="External"/><Relationship Id="rId164" Type="http://schemas.openxmlformats.org/officeDocument/2006/relationships/hyperlink" Target="http://www.eclac.org/publicaciones/xml/4/41914/RVE102Benzaquenetal.pdf" TargetMode="External"/><Relationship Id="rId165" Type="http://schemas.openxmlformats.org/officeDocument/2006/relationships/hyperlink" Target="http://www3.weforum.org/docs/WEF_GlobalCompetitivenessReport_2013-14.pdf" TargetMode="External"/><Relationship Id="rId166" Type="http://schemas.openxmlformats.org/officeDocument/2006/relationships/hyperlink" Target="http://espanol.doingbusiness.org/" TargetMode="External"/><Relationship Id="rId167" Type="http://schemas.openxmlformats.org/officeDocument/2006/relationships/hyperlink" Target="http://espanol.doingbusiness.org/methodology" TargetMode="External"/><Relationship Id="rId168" Type="http://schemas.openxmlformats.org/officeDocument/2006/relationships/hyperlink" Target="http://espanol.doingbusiness.org/data/exploreeconomies/puerto-rico" TargetMode="External"/><Relationship Id="rId169" Type="http://schemas.openxmlformats.org/officeDocument/2006/relationships/hyperlink" Target="http://www.imd.org/" TargetMode="External"/><Relationship Id="rId200" Type="http://schemas.openxmlformats.org/officeDocument/2006/relationships/hyperlink" Target="http://jp.pr.gov/Portal_JP/Portals/0/Publicaciones/PublicacionesHistoricasOnline/Impacto936.pdf" TargetMode="External"/><Relationship Id="rId201" Type="http://schemas.openxmlformats.org/officeDocument/2006/relationships/hyperlink" Target="http://www.enciclopediapr.org/esp/article.cfm?ref=13071108&amp;page=2" TargetMode="External"/><Relationship Id="rId202" Type="http://schemas.openxmlformats.org/officeDocument/2006/relationships/hyperlink" Target="http://www.nber.org/cycles/cyclesmain.html" TargetMode="External"/><Relationship Id="rId203" Type="http://schemas.openxmlformats.org/officeDocument/2006/relationships/hyperlink" Target="http://economia.uprrp.edu/vol%2010%20num%202.pdf" TargetMode="External"/><Relationship Id="rId60" Type="http://schemas.openxmlformats.org/officeDocument/2006/relationships/hyperlink" Target="http://www2.ohchr.org/spanish/law/ccpr.htm" TargetMode="External"/><Relationship Id="rId61" Type="http://schemas.openxmlformats.org/officeDocument/2006/relationships/hyperlink" Target="http://www.pewtrusts.org/our_work_report_detail.aspx?id=85899504616&amp;category=296" TargetMode="External"/><Relationship Id="rId62" Type="http://schemas.openxmlformats.org/officeDocument/2006/relationships/hyperlink" Target="http://copronu.blogspot.com/2009/06/ponencia-ante-el-comite-especial-de.html" TargetMode="External"/><Relationship Id="rId63" Type="http://schemas.openxmlformats.org/officeDocument/2006/relationships/hyperlink" Target="http://www.justice.gov/opa/documents/2007-report-by-the-president-task-force-on-puerto-rico-status.pdf" TargetMode="External"/><Relationship Id="rId64" Type="http://schemas.openxmlformats.org/officeDocument/2006/relationships/hyperlink" Target="http://thomas.loc.gov/cgi-bin/query/z?c109:S.2304.IS" TargetMode="External"/><Relationship Id="rId65" Type="http://schemas.openxmlformats.org/officeDocument/2006/relationships/hyperlink" Target="http://www.huffingtonpost.com/2013/10/09/congress-approval-rating_n_4069899.html" TargetMode="External"/><Relationship Id="rId66" Type="http://schemas.openxmlformats.org/officeDocument/2006/relationships/hyperlink" Target="http://www.primerahora.com/juezfederalgustavogelpiofrececonferenciasobrelosterritoriosdeestadosunidos-484265.html" TargetMode="External"/><Relationship Id="rId67" Type="http://schemas.openxmlformats.org/officeDocument/2006/relationships/hyperlink" Target="http://www.eclac.org/mujer/publicaciones/sinsigla/xml/3/6823/romany.pdf" TargetMode="External"/><Relationship Id="rId68" Type="http://schemas.openxmlformats.org/officeDocument/2006/relationships/hyperlink" Target="http://www.primerahora.com/XStatic/primerahora/docs/.../onuabogados.doc" TargetMode="External"/><Relationship Id="rId69" Type="http://schemas.openxmlformats.org/officeDocument/2006/relationships/hyperlink" Target="mailto:column@caribbeanbusinesspr.com" TargetMode="External"/><Relationship Id="rId204" Type="http://schemas.openxmlformats.org/officeDocument/2006/relationships/hyperlink" Target="http://economia.uprrp.edu/ensayo%20127.pdf" TargetMode="External"/><Relationship Id="rId205" Type="http://schemas.openxmlformats.org/officeDocument/2006/relationships/header" Target="header11.xml"/><Relationship Id="rId206" Type="http://schemas.openxmlformats.org/officeDocument/2006/relationships/header" Target="header12.xml"/><Relationship Id="rId207" Type="http://schemas.openxmlformats.org/officeDocument/2006/relationships/fontTable" Target="fontTable.xml"/><Relationship Id="rId208" Type="http://schemas.openxmlformats.org/officeDocument/2006/relationships/glossaryDocument" Target="glossary/document.xml"/><Relationship Id="rId209" Type="http://schemas.openxmlformats.org/officeDocument/2006/relationships/theme" Target="theme/theme1.xml"/><Relationship Id="rId130" Type="http://schemas.openxmlformats.org/officeDocument/2006/relationships/hyperlink" Target="http://www.npc.umich.edu" TargetMode="External"/><Relationship Id="rId131" Type="http://schemas.openxmlformats.org/officeDocument/2006/relationships/hyperlink" Target="http://www.irs.gov/uac/SOI-Tax-Stats-Table-5-Returns-of-Active-Corporations" TargetMode="External"/><Relationship Id="rId132" Type="http://schemas.openxmlformats.org/officeDocument/2006/relationships/hyperlink" Target="http://www.irs.gov/uac/SOI-Tax-Stats---Individual-Statistical-Tables-by-Size-of-Adjusted-Gross-Income" TargetMode="External"/><Relationship Id="rId133" Type="http://schemas.openxmlformats.org/officeDocument/2006/relationships/hyperlink" Target="https://www.census.gov/govs/state/" TargetMode="External"/><Relationship Id="rId134" Type="http://schemas.openxmlformats.org/officeDocument/2006/relationships/hyperlink" Target="http://www.taxanalysts.com/www/features.nsf/Articles/1F974381895173AC85257C6D005F0128?OpenDocument" TargetMode="External"/><Relationship Id="rId135" Type="http://schemas.openxmlformats.org/officeDocument/2006/relationships/header" Target="header5.xml"/><Relationship Id="rId136" Type="http://schemas.openxmlformats.org/officeDocument/2006/relationships/header" Target="header6.xml"/><Relationship Id="rId137" Type="http://schemas.openxmlformats.org/officeDocument/2006/relationships/footer" Target="footer3.xml"/><Relationship Id="rId138" Type="http://schemas.openxmlformats.org/officeDocument/2006/relationships/header" Target="header7.xml"/><Relationship Id="rId139" Type="http://schemas.openxmlformats.org/officeDocument/2006/relationships/image" Target="media/image1.emf"/><Relationship Id="rId170" Type="http://schemas.openxmlformats.org/officeDocument/2006/relationships/hyperlink" Target="http://www.imd.org/wcc/research-methodology/" TargetMode="External"/><Relationship Id="rId171" Type="http://schemas.openxmlformats.org/officeDocument/2006/relationships/hyperlink" Target="http://www.imd.org/uupload/imd.website/wcc/methodology.pdf" TargetMode="External"/><Relationship Id="rId172" Type="http://schemas.openxmlformats.org/officeDocument/2006/relationships/hyperlink" Target="http://www.imd.org/uupload/IMD.WebSite/wcc/WCYResults/1/scoreboard.pdf" TargetMode="External"/><Relationship Id="rId30" Type="http://schemas.openxmlformats.org/officeDocument/2006/relationships/hyperlink" Target="http://www.elnuevodia.com/conmasboricuasafueraqueadentro-1606985.html" TargetMode="External"/><Relationship Id="rId31" Type="http://schemas.openxmlformats.org/officeDocument/2006/relationships/hyperlink" Target="http://www.elnuevodia.com/blog-atrasadoelinformesobrelaestadidad-1639328.html" TargetMode="External"/><Relationship Id="rId32" Type="http://schemas.openxmlformats.org/officeDocument/2006/relationships/hyperlink" Target="http://yalelawjournal.org/the-yale-law-journal-pocket-part/constitutional-law/two-puerto-rican-senators-stay-home" TargetMode="External"/><Relationship Id="rId33" Type="http://schemas.openxmlformats.org/officeDocument/2006/relationships/hyperlink" Target="http://usatoday30.usatoday.com/news/nation/story/2012-03-11/puerto-rico-economy-brain-drain-exodus/53490820/1" TargetMode="External"/><Relationship Id="rId34" Type="http://schemas.openxmlformats.org/officeDocument/2006/relationships/hyperlink" Target="http://www.elnuevodia.com/Xstatic/endi/template/imprimir.aspx?id=1386509&amp;t=3" TargetMode="External"/><Relationship Id="rId35" Type="http://schemas.openxmlformats.org/officeDocument/2006/relationships/hyperlink" Target="http://www.bloomberg.com/news/2013-10-22/how-wall-street-fed-puerto-rico-s-70-billion-borrowing-binge.html" TargetMode="External"/><Relationship Id="rId36" Type="http://schemas.openxmlformats.org/officeDocument/2006/relationships/hyperlink" Target="http://www.washingtonpost.com/politics/in-race-for-campaign-funds-from-billionaires-romney-outpaces-obama/2011/12/01/gIQAxQLsXO_story.html" TargetMode="External"/><Relationship Id="rId37" Type="http://schemas.openxmlformats.org/officeDocument/2006/relationships/hyperlink" Target="http://www.presidency.ucsb.edu/ws/?pid=5538" TargetMode="External"/><Relationship Id="rId38" Type="http://schemas.openxmlformats.org/officeDocument/2006/relationships/hyperlink" Target="http://www.house.gov/fortuno/pdf/Legislation/OpeningRmks-03-22-07.html" TargetMode="External"/><Relationship Id="rId39" Type="http://schemas.openxmlformats.org/officeDocument/2006/relationships/hyperlink" Target="http://www.nationaljournal.com/congress/the-113th-congress-likely-to-be-partisan-divided-and-much-the-same-20121107" TargetMode="External"/><Relationship Id="rId173" Type="http://schemas.openxmlformats.org/officeDocument/2006/relationships/hyperlink" Target="http://imco.org.mx/indices" TargetMode="External"/><Relationship Id="rId174" Type="http://schemas.openxmlformats.org/officeDocument/2006/relationships/hyperlink" Target="http://imco.org.mx/wp-content/uploads/internacional/ICI2013-completo.pdf" TargetMode="External"/><Relationship Id="rId175" Type="http://schemas.openxmlformats.org/officeDocument/2006/relationships/header" Target="header10.xml"/><Relationship Id="rId176" Type="http://schemas.openxmlformats.org/officeDocument/2006/relationships/chart" Target="charts/chart20.xml"/><Relationship Id="rId177" Type="http://schemas.openxmlformats.org/officeDocument/2006/relationships/image" Target="media/image3.wmf"/><Relationship Id="rId178" Type="http://schemas.openxmlformats.org/officeDocument/2006/relationships/image" Target="media/image4.wmf"/><Relationship Id="rId179" Type="http://schemas.openxmlformats.org/officeDocument/2006/relationships/chart" Target="charts/chart21.xml"/><Relationship Id="rId210" Type="http://schemas.microsoft.com/office/2007/relationships/stylesWithEffects" Target="stylesWithEffects.xml"/><Relationship Id="rId70" Type="http://schemas.openxmlformats.org/officeDocument/2006/relationships/hyperlink" Target="http://www.thedailyshow.com/watch/wed-march-6-2013/the-51st-state" TargetMode="External"/><Relationship Id="rId71" Type="http://schemas.openxmlformats.org/officeDocument/2006/relationships/hyperlink" Target="http://www.economist.com/blogs/economist-explains/2013/10/economist-explains-15" TargetMode="External"/><Relationship Id="rId72" Type="http://schemas.openxmlformats.org/officeDocument/2006/relationships/hyperlink" Target="http://www.elnuevoherald.com/2013/12/04/v-print/1629975/de-mal-en-peor-la-economia-de.html" TargetMode="External"/><Relationship Id="rId73" Type="http://schemas.openxmlformats.org/officeDocument/2006/relationships/hyperlink" Target="http://www.energy.senate.gov/public/index.cfm/hearings-and-business-meetings?ID=c65e3706-46e4-40e0-b50e-51e52ac1f2d" TargetMode="External"/><Relationship Id="rId74" Type="http://schemas.openxmlformats.org/officeDocument/2006/relationships/hyperlink" Target="http://www.justice.gov/jmd/2014justification/pdf/ojp-justification.pdf" TargetMode="External"/><Relationship Id="rId75" Type="http://schemas.openxmlformats.org/officeDocument/2006/relationships/hyperlink" Target="http://velazquez.house.gov/newsroom/floor-statements/2006-floor-statements/statement-03-28-06-fbi-pr.html" TargetMode="External"/><Relationship Id="rId76" Type="http://schemas.openxmlformats.org/officeDocument/2006/relationships/hyperlink" Target="http://globalvoicesonline.org/2013/08/12/intense-debate-over-changes-in-puerto-ricos-political-status/" TargetMode="External"/><Relationship Id="rId77" Type="http://schemas.openxmlformats.org/officeDocument/2006/relationships/hyperlink" Target="http://www.policymic.com/articles/25257/immigration-reform-2013-poll-shows-surprising-consenus" TargetMode="External"/><Relationship Id="rId78" Type="http://schemas.openxmlformats.org/officeDocument/2006/relationships/hyperlink" Target="http://prospect.org/article/why-make-them-learn-english-key-immigration-reform" TargetMode="External"/><Relationship Id="rId79" Type="http://schemas.openxmlformats.org/officeDocument/2006/relationships/hyperlink" Target="http://www.washingtonpost.com/opinions/puerto-ricos-sinking-economy-needs-help/201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s://www.cia.gov/library/publications/the-world-factbook/geos/jm.html" TargetMode="External"/><Relationship Id="rId101" Type="http://schemas.openxmlformats.org/officeDocument/2006/relationships/hyperlink" Target="https://www.cia.gov/library/publications/the-world-factbook/geos/sn.html" TargetMode="External"/><Relationship Id="rId102" Type="http://schemas.openxmlformats.org/officeDocument/2006/relationships/hyperlink" Target="https://www.cia.gov/library/publications/the-world-factbook/geos/gj.html" TargetMode="External"/><Relationship Id="rId103" Type="http://schemas.openxmlformats.org/officeDocument/2006/relationships/hyperlink" Target="https://www.cia.gov/library/publications/the-world-factbook/geos/su.html" TargetMode="External"/><Relationship Id="rId104" Type="http://schemas.openxmlformats.org/officeDocument/2006/relationships/hyperlink" Target="https://www.cia.gov/library/publications/the-world-factbook/geos/be.html" TargetMode="External"/><Relationship Id="rId105" Type="http://schemas.openxmlformats.org/officeDocument/2006/relationships/hyperlink" Target="https://www.cia.gov/library/publications/the-world-factbook/geos/rq.html" TargetMode="External"/><Relationship Id="rId106" Type="http://schemas.openxmlformats.org/officeDocument/2006/relationships/hyperlink" Target="https://www.cia.gov/library/publications/the-world-factbook/geos/fr.html" TargetMode="External"/><Relationship Id="rId107" Type="http://schemas.openxmlformats.org/officeDocument/2006/relationships/hyperlink" Target="https://www.cia.gov/library/publications/the-world-factbook/geos/ac.html" TargetMode="External"/><Relationship Id="rId108" Type="http://schemas.openxmlformats.org/officeDocument/2006/relationships/hyperlink" Target="https://www.cia.gov/library/publications/the-world-factbook/geos/uk.html" TargetMode="External"/><Relationship Id="rId109" Type="http://schemas.openxmlformats.org/officeDocument/2006/relationships/hyperlink" Target="https://www.cia.gov/library/publications/the-world-factbook/geos/ca.html"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40" Type="http://schemas.openxmlformats.org/officeDocument/2006/relationships/package" Target="embeddings/Microsoft_Excel_Sheet1.xlsx"/><Relationship Id="rId141" Type="http://schemas.openxmlformats.org/officeDocument/2006/relationships/chart" Target="charts/chart16.xml"/></Relationships>
</file>

<file path=word/_rels/footnotes.xml.rels><?xml version="1.0" encoding="UTF-8" standalone="yes"?>
<Relationships xmlns="http://schemas.openxmlformats.org/package/2006/relationships"><Relationship Id="rId11" Type="http://schemas.openxmlformats.org/officeDocument/2006/relationships/hyperlink" Target="http://www.caricom.org/jsp/community/saintlucia.jsp?menu=community" TargetMode="External"/><Relationship Id="rId12" Type="http://schemas.openxmlformats.org/officeDocument/2006/relationships/hyperlink" Target="http://www.caricom.org/jsp/community/st_kitts_nevis.jsp?menu=community" TargetMode="External"/><Relationship Id="rId13" Type="http://schemas.openxmlformats.org/officeDocument/2006/relationships/hyperlink" Target="http://www.caricom.org/jsp/community/st_vincent_grenadines.jsp?menu=community" TargetMode="External"/><Relationship Id="rId14" Type="http://schemas.openxmlformats.org/officeDocument/2006/relationships/hyperlink" Target="http://www.caricom.org/jsp/community/suriname.jsp?menu=community" TargetMode="External"/><Relationship Id="rId15" Type="http://schemas.openxmlformats.org/officeDocument/2006/relationships/hyperlink" Target="http://www.caricom.org/jsp/community/trinidad_tobago.jsp?menu=community" TargetMode="External"/><Relationship Id="rId1" Type="http://schemas.openxmlformats.org/officeDocument/2006/relationships/hyperlink" Target="http://www.caricom.org/jsp/community/antigua_barbuda.jsp?menu=community" TargetMode="External"/><Relationship Id="rId2" Type="http://schemas.openxmlformats.org/officeDocument/2006/relationships/hyperlink" Target="http://www.caricom.org/jsp/community/bahamas.jsp?menu=community" TargetMode="External"/><Relationship Id="rId3" Type="http://schemas.openxmlformats.org/officeDocument/2006/relationships/hyperlink" Target="http://www.caricom.org/jsp/community/barbados.jsp?menu=community" TargetMode="External"/><Relationship Id="rId4" Type="http://schemas.openxmlformats.org/officeDocument/2006/relationships/hyperlink" Target="http://www.caricom.org/jsp/community/belize.jsp?menu=community" TargetMode="External"/><Relationship Id="rId5" Type="http://schemas.openxmlformats.org/officeDocument/2006/relationships/hyperlink" Target="http://www.caricom.org/jsp/community/dominica.jsp?menu=community" TargetMode="External"/><Relationship Id="rId6" Type="http://schemas.openxmlformats.org/officeDocument/2006/relationships/hyperlink" Target="http://www.caricom.org/jsp/community/grenada.jsp?menu=community" TargetMode="External"/><Relationship Id="rId7" Type="http://schemas.openxmlformats.org/officeDocument/2006/relationships/hyperlink" Target="http://www.caricom.org/jsp/community/guyana.jsp?menu=community" TargetMode="External"/><Relationship Id="rId8" Type="http://schemas.openxmlformats.org/officeDocument/2006/relationships/hyperlink" Target="http://www.caricom.org/jsp/community/haiti.jsp?menu=community" TargetMode="External"/><Relationship Id="rId9" Type="http://schemas.openxmlformats.org/officeDocument/2006/relationships/hyperlink" Target="http://www.caricom.org/jsp/community/jamaica.jsp?menu=community" TargetMode="External"/><Relationship Id="rId10" Type="http://schemas.openxmlformats.org/officeDocument/2006/relationships/hyperlink" Target="http://www.caricom.org/jsp/community/montserrat.jsp?menu=community"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Eileen\Dropbox\Proyecto%20COMEX\informe%20efecto%20fiscal.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C:\Users\Eileen\Dropbox\Proyecto%20COMEX\informe%20efecto%20fiscal.xlsx"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C:\Users\Eileen\Dropbox\Proyecto%20COMEX\informe%20efecto%20fiscal.xlsx"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C:\Users\Eileen\Dropbox\Proyecto%20COMEX\informe%20efecto%20fiscal.xlsx"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C:\Users\Eileen\Dropbox\Proyecto%20COMEX\informe%20efecto%20fiscal.xlsx"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C:\Users\Eileen\Dropbox\Proyecto%20COMEX\informe%20efecto%20fiscal.xlsx"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C:\Users\Alicia\Documents\PROYECTO%20COMERCIO%20Y%20EXPORTACION-UPR\TABLAS%20Y%20GRAFICAS%20INFORME%20FISCAL%20CON%20CAMBIO_140307.xlsx"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oleObject" Target="file:///C:\Users\Alicia\AppData\Local\Temp\informe%20impacto%20empresarial-1.xlsx" TargetMode="Externa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C:\Users\Alicia\Documents\PROYECTO%20COMERCIO%20Y%20EXPORTACION\informe%20impacto%20empresarial-3.xlsx" TargetMode="External"/></Relationships>
</file>

<file path=word/charts/_rels/chart18.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C:\Users\Eileen\Dropbox\Proyecto%20de%20Investigacion\Exportaciones%20PR%20y%20EEUU\Export%20Selected%20Market%20(Puerto%20Rico).xlsx" TargetMode="External"/></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Users\Alicia\Documents\PROYECTO%20COMERCIO%20Y%20EXPORTACION-UPR\1393889107202-informe%20efecto%20fiscal(2mar2014)%20con%20correcci&#243;n%20ingreso%20general).xlsx" TargetMode="External"/></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oleObject" Target="file:///C:\Users\Alexandra%20Febles\Desktop\INV%20CONVERGENCIA%20Y%20COMPETITIVIDAD\CICLOS%20ECON\gdp%20and%20gni%20growth%20rates.xls" TargetMode="External"/></Relationships>
</file>

<file path=word/charts/_rels/chart21.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oleObject" Target="file:///C:\Users\test\Documents\proyecto%20estadidad\datos\datos%20convergencia.xlsx" TargetMode="External"/><Relationship Id="rId3" Type="http://schemas.openxmlformats.org/officeDocument/2006/relationships/chartUserShapes" Target="../drawings/drawing1.xml"/></Relationships>
</file>

<file path=word/charts/_rels/chart22.xml.rels><?xml version="1.0" encoding="UTF-8" standalone="yes"?>
<Relationships xmlns="http://schemas.openxmlformats.org/package/2006/relationships"><Relationship Id="rId1" Type="http://schemas.openxmlformats.org/officeDocument/2006/relationships/themeOverride" Target="../theme/themeOverride21.xml"/><Relationship Id="rId2" Type="http://schemas.openxmlformats.org/officeDocument/2006/relationships/oleObject" Target="file:///C:\Users\test\Documents\proyecto%20estadidad\datos\datos%20convergencia.xlsx" TargetMode="External"/><Relationship Id="rId3" Type="http://schemas.openxmlformats.org/officeDocument/2006/relationships/chartUserShapes" Target="../drawings/drawing2.xml"/></Relationships>
</file>

<file path=word/charts/_rels/chart23.xml.rels><?xml version="1.0" encoding="UTF-8" standalone="yes"?>
<Relationships xmlns="http://schemas.openxmlformats.org/package/2006/relationships"><Relationship Id="rId1" Type="http://schemas.openxmlformats.org/officeDocument/2006/relationships/themeOverride" Target="../theme/themeOverride22.xml"/><Relationship Id="rId2" Type="http://schemas.openxmlformats.org/officeDocument/2006/relationships/oleObject" Target="file:///C:\Users\test\Documents\proyecto%20estadidad\datos\datos%20convergencia.xlsx" TargetMode="External"/><Relationship Id="rId3" Type="http://schemas.openxmlformats.org/officeDocument/2006/relationships/chartUserShapes" Target="../drawings/drawing3.xml"/></Relationships>
</file>

<file path=word/charts/_rels/chart24.xml.rels><?xml version="1.0" encoding="UTF-8" standalone="yes"?>
<Relationships xmlns="http://schemas.openxmlformats.org/package/2006/relationships"><Relationship Id="rId1" Type="http://schemas.openxmlformats.org/officeDocument/2006/relationships/themeOverride" Target="../theme/themeOverride23.xml"/><Relationship Id="rId2" Type="http://schemas.openxmlformats.org/officeDocument/2006/relationships/oleObject" Target="file:///C:\Users\test\Documents\proyecto%20estadidad\datos\datos%20convergencia.xlsx" TargetMode="External"/><Relationship Id="rId3" Type="http://schemas.openxmlformats.org/officeDocument/2006/relationships/chartUserShapes" Target="../drawings/drawing4.xml"/></Relationships>
</file>

<file path=word/charts/_rels/chart25.xml.rels><?xml version="1.0" encoding="UTF-8" standalone="yes"?>
<Relationships xmlns="http://schemas.openxmlformats.org/package/2006/relationships"><Relationship Id="rId1" Type="http://schemas.openxmlformats.org/officeDocument/2006/relationships/themeOverride" Target="../theme/themeOverride24.xml"/><Relationship Id="rId2" Type="http://schemas.openxmlformats.org/officeDocument/2006/relationships/oleObject" Target="file:///C:\Users\test\Documents\proyecto%20estadidad\datos\datos%20convergencia.xlsx" TargetMode="External"/><Relationship Id="rId3" Type="http://schemas.openxmlformats.org/officeDocument/2006/relationships/chartUserShapes" Target="../drawings/drawing5.xml"/></Relationships>
</file>

<file path=word/charts/_rels/chart26.xml.rels><?xml version="1.0" encoding="UTF-8" standalone="yes"?>
<Relationships xmlns="http://schemas.openxmlformats.org/package/2006/relationships"><Relationship Id="rId1" Type="http://schemas.openxmlformats.org/officeDocument/2006/relationships/themeOverride" Target="../theme/themeOverride25.xml"/><Relationship Id="rId2" Type="http://schemas.openxmlformats.org/officeDocument/2006/relationships/oleObject" Target="file:///C:\Users\test\Documents\proyecto%20estadidad\datos\datos%20convergencia.xlsx" TargetMode="External"/><Relationship Id="rId3" Type="http://schemas.openxmlformats.org/officeDocument/2006/relationships/chartUserShapes" Target="../drawings/drawing6.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Eileen\Dropbox\Proyecto%20COMEX\informe%20efecto%20fiscal(2mar2014)%20con%20correcci&#243;n%20ingreso%20general).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Eileen\Dropbox\Proyecto%20COMEX\informe%20efecto%20fiscal(2mar2014)%20con%20correcci&#243;n%20ingreso%20gener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ileen\Dropbox\Proyecto%20COMEX\TABLAS%20Y%20GRAFICAS%20INFORME%20FISCAL%20CON%20CAMBIO_140305.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Eileen\Dropbox\Proyecto%20COMEX\informe%20efecto%20fiscal.xlsx"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Eileen\Dropbox\Proyecto%20COMEX\informe%20efecto%20fiscal.xlsx"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Eileen\Dropbox\Proyecto%20COMEX\informe%20efecto%20fiscal.xlsx"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C:\Users\Alicia\Documents\PROYECTO%20COMERCIO%20Y%20EXPORTACION-UPR\1393889107202-informe%20efecto%20fiscal(2mar2014)%20con%20correcci&#243;n%20ingreso%20gener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200">
                <a:latin typeface="Arial Narrow" panose="020B0606020202030204" pitchFamily="34" charset="0"/>
                <a:cs typeface="Arial" pitchFamily="34" charset="0"/>
              </a:rPr>
              <a:t>Gráfic</a:t>
            </a:r>
            <a:r>
              <a:rPr lang="en-US" sz="1200" baseline="0">
                <a:latin typeface="Arial Narrow" panose="020B0606020202030204" pitchFamily="34" charset="0"/>
                <a:cs typeface="Arial" pitchFamily="34" charset="0"/>
              </a:rPr>
              <a:t>a 1 </a:t>
            </a:r>
          </a:p>
          <a:p>
            <a:pPr>
              <a:defRPr/>
            </a:pPr>
            <a:r>
              <a:rPr lang="en-US" sz="1200" baseline="0">
                <a:latin typeface="Arial Narrow" panose="020B0606020202030204" pitchFamily="34" charset="0"/>
                <a:cs typeface="Arial" pitchFamily="34" charset="0"/>
              </a:rPr>
              <a:t>Distribución Fuentes de Ingreso</a:t>
            </a:r>
          </a:p>
          <a:p>
            <a:pPr>
              <a:defRPr/>
            </a:pPr>
            <a:r>
              <a:rPr lang="en-US" sz="1000" baseline="0">
                <a:latin typeface="Arial Narrow" pitchFamily="34" charset="0"/>
                <a:cs typeface="Arial" pitchFamily="34" charset="0"/>
              </a:rPr>
              <a:t>Puerto Rico, 2011</a:t>
            </a:r>
            <a:endParaRPr lang="en-US" sz="1000">
              <a:latin typeface="Arial Narrow" pitchFamily="34" charset="0"/>
              <a:cs typeface="Arial" pitchFamily="34" charset="0"/>
            </a:endParaRPr>
          </a:p>
        </c:rich>
      </c:tx>
      <c:layout>
        <c:manualLayout>
          <c:xMode val="edge"/>
          <c:yMode val="edge"/>
          <c:x val="0.0245207786526684"/>
          <c:y val="0.0370370370370372"/>
        </c:manualLayout>
      </c:layout>
    </c:title>
    <c:plotArea>
      <c:layout>
        <c:manualLayout>
          <c:layoutTarget val="inner"/>
          <c:xMode val="edge"/>
          <c:yMode val="edge"/>
          <c:x val="0.132812992125984"/>
          <c:y val="0.308506853310005"/>
          <c:w val="0.369458442694665"/>
          <c:h val="0.615764071157773"/>
        </c:manualLayout>
      </c:layout>
      <c:pieChart>
        <c:varyColors val="1"/>
        <c:ser>
          <c:idx val="0"/>
          <c:order val="0"/>
          <c:tx>
            <c:v>Puerto Rico</c:v>
          </c:tx>
          <c:dLbls>
            <c:spPr>
              <a:noFill/>
              <a:ln>
                <a:noFill/>
              </a:ln>
              <a:effectLst/>
            </c:spPr>
            <c:showPercent val="1"/>
            <c:showLeaderLines val="1"/>
            <c:extLst>
              <c:ext xmlns:c15="http://schemas.microsoft.com/office/drawing/2012/chart" uri="{CE6537A1-D6FC-4f65-9D91-7224C49458BB}"/>
            </c:extLst>
          </c:dLbls>
          <c:cat>
            <c:strRef>
              <c:f>'grafica 1 y 2 '!$A$6:$A$12</c:f>
              <c:strCache>
                <c:ptCount val="7"/>
                <c:pt idx="0">
                  <c:v>Contribución sobre ingreso de individuos</c:v>
                </c:pt>
                <c:pt idx="1">
                  <c:v>Contribución sobre ingreso de corporaciones</c:v>
                </c:pt>
                <c:pt idx="2">
                  <c:v>Impuestos sobre el Consumo</c:v>
                </c:pt>
                <c:pt idx="3">
                  <c:v>Fondos Federales</c:v>
                </c:pt>
                <c:pt idx="4">
                  <c:v>Licencias</c:v>
                </c:pt>
                <c:pt idx="5">
                  <c:v>Otras Contribuciones</c:v>
                </c:pt>
                <c:pt idx="6">
                  <c:v>Otros Ingresos.</c:v>
                </c:pt>
              </c:strCache>
            </c:strRef>
          </c:cat>
          <c:val>
            <c:numRef>
              <c:f>'grafica 1 y 2 '!$B$6:$B$12</c:f>
              <c:numCache>
                <c:formatCode>General</c:formatCode>
                <c:ptCount val="7"/>
                <c:pt idx="0">
                  <c:v>2186.2</c:v>
                </c:pt>
                <c:pt idx="1">
                  <c:v>1677.3</c:v>
                </c:pt>
                <c:pt idx="2">
                  <c:v>2134.6</c:v>
                </c:pt>
                <c:pt idx="3">
                  <c:v>4481.900000000001</c:v>
                </c:pt>
                <c:pt idx="4">
                  <c:v>81.4</c:v>
                </c:pt>
                <c:pt idx="5">
                  <c:v>1296.5</c:v>
                </c:pt>
                <c:pt idx="6">
                  <c:v>773.3999999999994</c:v>
                </c:pt>
              </c:numCache>
            </c:numRef>
          </c:val>
        </c:ser>
        <c:dLbls>
          <c:showPercent val="1"/>
        </c:dLbls>
        <c:firstSliceAng val="0"/>
      </c:pieChart>
    </c:plotArea>
    <c:legend>
      <c:legendPos val="r"/>
      <c:layout>
        <c:manualLayout>
          <c:xMode val="edge"/>
          <c:yMode val="edge"/>
          <c:x val="0.669373578302712"/>
          <c:y val="0.0717497812773404"/>
          <c:w val="0.30562642169729"/>
          <c:h val="0.838375255176437"/>
        </c:manualLayout>
      </c:layout>
      <c:txPr>
        <a:bodyPr/>
        <a:lstStyle/>
        <a:p>
          <a:pPr rtl="0">
            <a:defRPr sz="1000">
              <a:latin typeface="Arial Narrow" pitchFamily="34" charset="0"/>
            </a:defRPr>
          </a:pPr>
          <a:endParaRPr lang="en-US"/>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US"/>
  <c:style val="34"/>
  <c:clrMapOvr bg1="lt1" tx1="dk1" bg2="lt2" tx2="dk2" accent1="accent1" accent2="accent2" accent3="accent3" accent4="accent4" accent5="accent5" accent6="accent6" hlink="hlink" folHlink="folHlink"/>
  <c:chart>
    <c:title>
      <c:tx>
        <c:rich>
          <a:bodyPr/>
          <a:lstStyle/>
          <a:p>
            <a:pPr>
              <a:defRPr/>
            </a:pPr>
            <a:r>
              <a:rPr lang="en-US" sz="1100">
                <a:latin typeface="Arial Narrow" panose="020B0606020202030204" pitchFamily="34" charset="0"/>
                <a:cs typeface="Arial" pitchFamily="34" charset="0"/>
              </a:rPr>
              <a:t>Gráfica</a:t>
            </a:r>
            <a:r>
              <a:rPr lang="en-US" sz="1100" baseline="0">
                <a:latin typeface="Arial Narrow" panose="020B0606020202030204" pitchFamily="34" charset="0"/>
                <a:cs typeface="Arial" pitchFamily="34" charset="0"/>
              </a:rPr>
              <a:t> 10</a:t>
            </a:r>
            <a:endParaRPr lang="en-US" sz="1100">
              <a:latin typeface="Arial Narrow" panose="020B0606020202030204" pitchFamily="34" charset="0"/>
              <a:cs typeface="Arial" pitchFamily="34" charset="0"/>
            </a:endParaRPr>
          </a:p>
          <a:p>
            <a:pPr>
              <a:defRPr/>
            </a:pPr>
            <a:r>
              <a:rPr lang="en-US" sz="1100">
                <a:latin typeface="Arial Narrow" panose="020B0606020202030204" pitchFamily="34" charset="0"/>
                <a:cs typeface="Arial" pitchFamily="34" charset="0"/>
              </a:rPr>
              <a:t>Distribución Porcentual de Gastos Públicos Estatales </a:t>
            </a:r>
          </a:p>
          <a:p>
            <a:pPr>
              <a:defRPr/>
            </a:pPr>
            <a:r>
              <a:rPr lang="en-US" sz="1100">
                <a:latin typeface="Arial Narrow" panose="020B0606020202030204" pitchFamily="34" charset="0"/>
                <a:cs typeface="Arial" pitchFamily="34" charset="0"/>
              </a:rPr>
              <a:t>de EEUU y PR </a:t>
            </a:r>
          </a:p>
          <a:p>
            <a:pPr>
              <a:defRPr/>
            </a:pPr>
            <a:r>
              <a:rPr lang="en-US" sz="1100">
                <a:latin typeface="Arial Narrow" panose="020B0606020202030204" pitchFamily="34" charset="0"/>
                <a:cs typeface="Arial" pitchFamily="34" charset="0"/>
              </a:rPr>
              <a:t>por Funciones de Gastos , 2011</a:t>
            </a:r>
            <a:endParaRPr lang="es-ES" sz="1100">
              <a:latin typeface="Arial Narrow" panose="020B0606020202030204" pitchFamily="34" charset="0"/>
              <a:cs typeface="Arial" pitchFamily="34" charset="0"/>
            </a:endParaRPr>
          </a:p>
        </c:rich>
      </c:tx>
      <c:layout>
        <c:manualLayout>
          <c:xMode val="edge"/>
          <c:yMode val="edge"/>
          <c:x val="0.0895109397583774"/>
          <c:y val="0.0"/>
        </c:manualLayout>
      </c:layout>
    </c:title>
    <c:plotArea>
      <c:layout/>
      <c:barChart>
        <c:barDir val="bar"/>
        <c:grouping val="clustered"/>
        <c:ser>
          <c:idx val="0"/>
          <c:order val="0"/>
          <c:tx>
            <c:strRef>
              <c:f>'\Users\Eileen\Downloads\[gastos_por_función_sumados_EEUU_ALICIA_REV_140228.xlsx]PR Y EEUU'!$C$5:$C$6</c:f>
              <c:strCache>
                <c:ptCount val="1"/>
                <c:pt idx="0">
                  <c:v>EEUU</c:v>
                </c:pt>
              </c:strCache>
            </c:strRef>
          </c:tx>
          <c:spPr>
            <a:solidFill>
              <a:srgbClr val="C00000"/>
            </a:solidFill>
          </c:spPr>
          <c:dLbls>
            <c:spPr>
              <a:noFill/>
              <a:ln>
                <a:noFill/>
              </a:ln>
              <a:effectLst/>
            </c:spPr>
            <c:txPr>
              <a:bodyPr/>
              <a:lstStyle/>
              <a:p>
                <a:pPr>
                  <a:defRPr sz="80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'\Users\Eileen\Downloads\[gastos_por_función_sumados_EEUU_ALICIA_REV_140228.xlsx]PR Y EEUU'!$B$7:$B$19</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'\Users\Eileen\Downloads\[gastos_por_función_sumados_EEUU_ALICIA_REV_140228.xlsx]PR Y EEUU'!$C$7:$C$19</c:f>
              <c:numCache>
                <c:formatCode>0.0%</c:formatCode>
                <c:ptCount val="13"/>
                <c:pt idx="0">
                  <c:v>0.173980373180111</c:v>
                </c:pt>
                <c:pt idx="1">
                  <c:v>0.3882409407852</c:v>
                </c:pt>
                <c:pt idx="2">
                  <c:v>0.0679494539553223</c:v>
                </c:pt>
                <c:pt idx="3">
                  <c:v>0.0632035678201534</c:v>
                </c:pt>
                <c:pt idx="4">
                  <c:v>0.0454601827359497</c:v>
                </c:pt>
                <c:pt idx="5">
                  <c:v>0.0185277703888957</c:v>
                </c:pt>
                <c:pt idx="6">
                  <c:v>0.0075289812316184</c:v>
                </c:pt>
                <c:pt idx="7">
                  <c:v>0.0341571036999786</c:v>
                </c:pt>
                <c:pt idx="8">
                  <c:v>0.0310659258637111</c:v>
                </c:pt>
                <c:pt idx="9">
                  <c:v>0.0344288902579406</c:v>
                </c:pt>
                <c:pt idx="10">
                  <c:v>0.0156204852917519</c:v>
                </c:pt>
                <c:pt idx="11">
                  <c:v>0.119836324789368</c:v>
                </c:pt>
                <c:pt idx="12">
                  <c:v>0.0</c:v>
                </c:pt>
              </c:numCache>
            </c:numRef>
          </c:val>
        </c:ser>
        <c:ser>
          <c:idx val="1"/>
          <c:order val="1"/>
          <c:tx>
            <c:strRef>
              <c:f>'\Users\Eileen\Downloads\[gastos_por_función_sumados_EEUU_ALICIA_REV_140228.xlsx]PR Y EEUU'!$D$5:$D$6</c:f>
              <c:strCache>
                <c:ptCount val="1"/>
                <c:pt idx="0">
                  <c:v>PR </c:v>
                </c:pt>
              </c:strCache>
            </c:strRef>
          </c:tx>
          <c:spPr>
            <a:solidFill>
              <a:schemeClr val="accent3"/>
            </a:solidFill>
          </c:spPr>
          <c:dLbls>
            <c:spPr>
              <a:noFill/>
              <a:ln>
                <a:noFill/>
              </a:ln>
              <a:effectLst/>
            </c:spPr>
            <c:txPr>
              <a:bodyPr/>
              <a:lstStyle/>
              <a:p>
                <a:pPr>
                  <a:defRPr sz="80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'\Users\Eileen\Downloads\[gastos_por_función_sumados_EEUU_ALICIA_REV_140228.xlsx]PR Y EEUU'!$B$7:$B$19</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'\Users\Eileen\Downloads\[gastos_por_función_sumados_EEUU_ALICIA_REV_140228.xlsx]PR Y EEUU'!$D$7:$D$19</c:f>
              <c:numCache>
                <c:formatCode>0.0%</c:formatCode>
                <c:ptCount val="13"/>
                <c:pt idx="0">
                  <c:v>0.316710985154919</c:v>
                </c:pt>
                <c:pt idx="1">
                  <c:v>0.175053964017221</c:v>
                </c:pt>
                <c:pt idx="2">
                  <c:v>0.0551369297279858</c:v>
                </c:pt>
                <c:pt idx="3">
                  <c:v>0.0131569465961205</c:v>
                </c:pt>
                <c:pt idx="4">
                  <c:v>0.138722808739782</c:v>
                </c:pt>
                <c:pt idx="5">
                  <c:v>0.0126593774459816</c:v>
                </c:pt>
                <c:pt idx="6">
                  <c:v>0.00210846168811343</c:v>
                </c:pt>
                <c:pt idx="7">
                  <c:v>0.171409868642407</c:v>
                </c:pt>
                <c:pt idx="8">
                  <c:v>0.00675850968494243</c:v>
                </c:pt>
                <c:pt idx="9">
                  <c:v>0.0603315560694443</c:v>
                </c:pt>
                <c:pt idx="10">
                  <c:v>0.0</c:v>
                </c:pt>
                <c:pt idx="11">
                  <c:v>0.0369179977570215</c:v>
                </c:pt>
                <c:pt idx="12">
                  <c:v>0.0110325944760665</c:v>
                </c:pt>
              </c:numCache>
            </c:numRef>
          </c:val>
        </c:ser>
        <c:dLbls>
          <c:showVal val="1"/>
        </c:dLbls>
        <c:overlap val="-25"/>
        <c:axId val="575290360"/>
        <c:axId val="873065368"/>
      </c:barChart>
      <c:catAx>
        <c:axId val="575290360"/>
        <c:scaling>
          <c:orientation val="minMax"/>
        </c:scaling>
        <c:axPos val="l"/>
        <c:numFmt formatCode="General" sourceLinked="0"/>
        <c:majorTickMark val="none"/>
        <c:tickLblPos val="nextTo"/>
        <c:txPr>
          <a:bodyPr/>
          <a:lstStyle/>
          <a:p>
            <a:pPr>
              <a:defRPr sz="900">
                <a:latin typeface="Arial Narrow" pitchFamily="34" charset="0"/>
              </a:defRPr>
            </a:pPr>
            <a:endParaRPr lang="en-US"/>
          </a:p>
        </c:txPr>
        <c:crossAx val="873065368"/>
        <c:crosses val="autoZero"/>
        <c:auto val="1"/>
        <c:lblAlgn val="ctr"/>
        <c:lblOffset val="100"/>
      </c:catAx>
      <c:valAx>
        <c:axId val="873065368"/>
        <c:scaling>
          <c:orientation val="minMax"/>
        </c:scaling>
        <c:delete val="1"/>
        <c:axPos val="b"/>
        <c:numFmt formatCode="0.0%" sourceLinked="1"/>
        <c:majorTickMark val="none"/>
        <c:tickLblPos val="none"/>
        <c:crossAx val="575290360"/>
        <c:crosses val="autoZero"/>
        <c:crossBetween val="between"/>
      </c:valAx>
      <c:spPr>
        <a:noFill/>
      </c:spPr>
    </c:plotArea>
    <c:legend>
      <c:legendPos val="t"/>
      <c:layout>
        <c:manualLayout>
          <c:xMode val="edge"/>
          <c:yMode val="edge"/>
          <c:x val="0.748621605545386"/>
          <c:y val="0.194588370754174"/>
          <c:w val="0.136015131616402"/>
          <c:h val="0.0430897238881409"/>
        </c:manualLayout>
      </c:layout>
      <c:txPr>
        <a:bodyPr/>
        <a:lstStyle/>
        <a:p>
          <a:pPr>
            <a:defRPr sz="800">
              <a:latin typeface="Arial Narrow" pitchFamily="34" charset="0"/>
            </a:defRPr>
          </a:pPr>
          <a:endParaRPr lang="en-US"/>
        </a:p>
      </c:txP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100" b="1" i="0" baseline="0">
                <a:effectLst/>
                <a:latin typeface="Arial Narrow" panose="020B0606020202030204" pitchFamily="34" charset="0"/>
                <a:cs typeface="Arial" pitchFamily="34" charset="0"/>
              </a:rPr>
              <a:t>Gráfica 11</a:t>
            </a:r>
          </a:p>
          <a:p>
            <a:pPr>
              <a:defRPr/>
            </a:pPr>
            <a:r>
              <a:rPr lang="en-US" sz="1100" b="1" i="0" baseline="0">
                <a:effectLst/>
                <a:latin typeface="Arial Narrow" panose="020B0606020202030204" pitchFamily="34" charset="0"/>
                <a:cs typeface="Arial" pitchFamily="34" charset="0"/>
              </a:rPr>
              <a:t>Distribución Porcentual de Gastos Públicos Estatales </a:t>
            </a:r>
            <a:endParaRPr lang="es-ES" sz="1100">
              <a:effectLst/>
              <a:latin typeface="Arial Narrow" panose="020B0606020202030204" pitchFamily="34" charset="0"/>
              <a:cs typeface="Arial" pitchFamily="34" charset="0"/>
            </a:endParaRPr>
          </a:p>
          <a:p>
            <a:pPr>
              <a:defRPr/>
            </a:pPr>
            <a:r>
              <a:rPr lang="en-US" sz="1100" b="1" i="0" baseline="0">
                <a:effectLst/>
                <a:latin typeface="Arial Narrow" panose="020B0606020202030204" pitchFamily="34" charset="0"/>
                <a:cs typeface="Arial" pitchFamily="34" charset="0"/>
              </a:rPr>
              <a:t>de Alabama y PR </a:t>
            </a:r>
            <a:endParaRPr lang="es-ES" sz="1100">
              <a:effectLst/>
              <a:latin typeface="Arial Narrow" panose="020B0606020202030204" pitchFamily="34" charset="0"/>
              <a:cs typeface="Arial" pitchFamily="34" charset="0"/>
            </a:endParaRPr>
          </a:p>
          <a:p>
            <a:pPr>
              <a:defRPr/>
            </a:pPr>
            <a:r>
              <a:rPr lang="en-US" sz="1100" b="1" i="0" baseline="0">
                <a:effectLst/>
                <a:latin typeface="Arial Narrow" panose="020B0606020202030204" pitchFamily="34" charset="0"/>
                <a:cs typeface="Arial" pitchFamily="34" charset="0"/>
              </a:rPr>
              <a:t>por Funciones de Gastos , 2011</a:t>
            </a:r>
            <a:endParaRPr lang="es-ES" sz="1100">
              <a:effectLst/>
              <a:latin typeface="Arial Narrow" panose="020B0606020202030204" pitchFamily="34" charset="0"/>
              <a:cs typeface="Arial" pitchFamily="34" charset="0"/>
            </a:endParaRPr>
          </a:p>
        </c:rich>
      </c:tx>
      <c:layout>
        <c:manualLayout>
          <c:xMode val="edge"/>
          <c:yMode val="edge"/>
          <c:x val="0.181834625450573"/>
          <c:y val="0.033933823901024"/>
        </c:manualLayout>
      </c:layout>
    </c:title>
    <c:plotArea>
      <c:layout>
        <c:manualLayout>
          <c:layoutTarget val="inner"/>
          <c:xMode val="edge"/>
          <c:yMode val="edge"/>
          <c:x val="0.37929505284691"/>
          <c:y val="0.350700560632019"/>
          <c:w val="0.592220950028209"/>
          <c:h val="0.606027344254852"/>
        </c:manualLayout>
      </c:layout>
      <c:barChart>
        <c:barDir val="bar"/>
        <c:grouping val="clustered"/>
        <c:ser>
          <c:idx val="0"/>
          <c:order val="0"/>
          <c:tx>
            <c:strRef>
              <c:f>'\Users\Eileen\Downloads\[gastos_por_función_sumados_EEUU_ALICIA_REV_140228.xlsx]Alabama'!$B$2</c:f>
              <c:strCache>
                <c:ptCount val="1"/>
                <c:pt idx="0">
                  <c:v>Alabama</c:v>
                </c:pt>
              </c:strCache>
            </c:strRef>
          </c:tx>
          <c:dLbls>
            <c:spPr>
              <a:noFill/>
              <a:ln>
                <a:noFill/>
              </a:ln>
              <a:effectLst/>
            </c:spPr>
            <c:showVal val="1"/>
            <c:extLst>
              <c:ext xmlns:c15="http://schemas.microsoft.com/office/drawing/2012/chart" uri="{CE6537A1-D6FC-4f65-9D91-7224C49458BB}">
                <c15:showLeaderLines val="0"/>
              </c:ext>
            </c:extLst>
          </c:dLbls>
          <c:cat>
            <c:strRef>
              <c:f>'\Users\Eileen\Downloads\[gastos_por_función_sumados_EEUU_ALICIA_REV_140228.xlsx]Alabama'!$A$3:$A$15</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'\Users\Eileen\Downloads\[gastos_por_función_sumados_EEUU_ALICIA_REV_140228.xlsx]Alabama'!$B$3:$B$15</c:f>
            </c:numRef>
          </c:val>
        </c:ser>
        <c:ser>
          <c:idx val="1"/>
          <c:order val="1"/>
          <c:tx>
            <c:strRef>
              <c:f>'\Users\Eileen\Downloads\[gastos_por_función_sumados_EEUU_ALICIA_REV_140228.xlsx]Alabama'!$C$2</c:f>
              <c:strCache>
                <c:ptCount val="1"/>
                <c:pt idx="0">
                  <c:v>Alabama</c:v>
                </c:pt>
              </c:strCache>
            </c:strRef>
          </c:tx>
          <c:dLbls>
            <c:spPr>
              <a:noFill/>
              <a:ln>
                <a:noFill/>
              </a:ln>
              <a:effectLst/>
            </c:spPr>
            <c:txPr>
              <a:bodyPr/>
              <a:lstStyle/>
              <a:p>
                <a:pPr>
                  <a:defRPr sz="80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'\Users\Eileen\Downloads\[gastos_por_función_sumados_EEUU_ALICIA_REV_140228.xlsx]Alabama'!$A$3:$A$15</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'\Users\Eileen\Downloads\[gastos_por_función_sumados_EEUU_ALICIA_REV_140228.xlsx]Alabama'!$C$3:$C$15</c:f>
              <c:numCache>
                <c:formatCode>0.0%</c:formatCode>
                <c:ptCount val="13"/>
                <c:pt idx="0">
                  <c:v>0.271467301962095</c:v>
                </c:pt>
                <c:pt idx="1">
                  <c:v>0.325620436067911</c:v>
                </c:pt>
                <c:pt idx="2">
                  <c:v>0.092935474084509</c:v>
                </c:pt>
                <c:pt idx="3">
                  <c:v>0.0711358414332716</c:v>
                </c:pt>
                <c:pt idx="4">
                  <c:v>0.0367810182757187</c:v>
                </c:pt>
                <c:pt idx="5">
                  <c:v>0.0132685808625876</c:v>
                </c:pt>
                <c:pt idx="6">
                  <c:v>0.000735685274770763</c:v>
                </c:pt>
                <c:pt idx="7">
                  <c:v>0.0270689943063294</c:v>
                </c:pt>
                <c:pt idx="8">
                  <c:v>0.0164828119818725</c:v>
                </c:pt>
                <c:pt idx="9">
                  <c:v>0.0234381680538276</c:v>
                </c:pt>
                <c:pt idx="10">
                  <c:v>0.0</c:v>
                </c:pt>
                <c:pt idx="11">
                  <c:v>0.121065687697109</c:v>
                </c:pt>
              </c:numCache>
            </c:numRef>
          </c:val>
        </c:ser>
        <c:ser>
          <c:idx val="2"/>
          <c:order val="2"/>
          <c:tx>
            <c:strRef>
              <c:f>'\Users\Eileen\Downloads\[gastos_por_función_sumados_EEUU_ALICIA_REV_140228.xlsx]Alabama'!$D$2</c:f>
              <c:strCache>
                <c:ptCount val="1"/>
                <c:pt idx="0">
                  <c:v>PR </c:v>
                </c:pt>
              </c:strCache>
            </c:strRef>
          </c:tx>
          <c:dLbls>
            <c:spPr>
              <a:noFill/>
              <a:ln>
                <a:noFill/>
              </a:ln>
              <a:effectLst/>
            </c:spPr>
            <c:txPr>
              <a:bodyPr/>
              <a:lstStyle/>
              <a:p>
                <a:pPr>
                  <a:defRPr sz="800" baseline="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'\Users\Eileen\Downloads\[gastos_por_función_sumados_EEUU_ALICIA_REV_140228.xlsx]Alabama'!$A$3:$A$15</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'\Users\Eileen\Downloads\[gastos_por_función_sumados_EEUU_ALICIA_REV_140228.xlsx]Alabama'!$D$3:$D$15</c:f>
              <c:numCache>
                <c:formatCode>0.0%</c:formatCode>
                <c:ptCount val="13"/>
                <c:pt idx="0">
                  <c:v>0.316710985154919</c:v>
                </c:pt>
                <c:pt idx="1">
                  <c:v>0.175053964017221</c:v>
                </c:pt>
                <c:pt idx="2">
                  <c:v>0.0551369297279858</c:v>
                </c:pt>
                <c:pt idx="3">
                  <c:v>0.0131569465961205</c:v>
                </c:pt>
                <c:pt idx="4">
                  <c:v>0.138722808739782</c:v>
                </c:pt>
                <c:pt idx="5">
                  <c:v>0.0126593774459816</c:v>
                </c:pt>
                <c:pt idx="6">
                  <c:v>0.00210846168811343</c:v>
                </c:pt>
                <c:pt idx="7">
                  <c:v>0.171409868642407</c:v>
                </c:pt>
                <c:pt idx="8">
                  <c:v>0.00675850968494243</c:v>
                </c:pt>
                <c:pt idx="9">
                  <c:v>0.0603315560694443</c:v>
                </c:pt>
                <c:pt idx="10">
                  <c:v>0.0</c:v>
                </c:pt>
                <c:pt idx="11">
                  <c:v>0.0369179977570215</c:v>
                </c:pt>
                <c:pt idx="12">
                  <c:v>0.0110325944760665</c:v>
                </c:pt>
              </c:numCache>
            </c:numRef>
          </c:val>
        </c:ser>
        <c:dLbls>
          <c:showVal val="1"/>
        </c:dLbls>
        <c:overlap val="-25"/>
        <c:axId val="883576232"/>
        <c:axId val="76445848"/>
      </c:barChart>
      <c:catAx>
        <c:axId val="883576232"/>
        <c:scaling>
          <c:orientation val="minMax"/>
        </c:scaling>
        <c:axPos val="l"/>
        <c:numFmt formatCode="General" sourceLinked="0"/>
        <c:majorTickMark val="none"/>
        <c:tickLblPos val="nextTo"/>
        <c:txPr>
          <a:bodyPr/>
          <a:lstStyle/>
          <a:p>
            <a:pPr>
              <a:defRPr sz="900">
                <a:latin typeface="Arial Narrow" pitchFamily="34" charset="0"/>
              </a:defRPr>
            </a:pPr>
            <a:endParaRPr lang="en-US"/>
          </a:p>
        </c:txPr>
        <c:crossAx val="76445848"/>
        <c:crosses val="autoZero"/>
        <c:auto val="1"/>
        <c:lblAlgn val="ctr"/>
        <c:lblOffset val="100"/>
      </c:catAx>
      <c:valAx>
        <c:axId val="76445848"/>
        <c:scaling>
          <c:orientation val="minMax"/>
        </c:scaling>
        <c:delete val="1"/>
        <c:axPos val="b"/>
        <c:numFmt formatCode="0.0%" sourceLinked="1"/>
        <c:tickLblPos val="none"/>
        <c:crossAx val="883576232"/>
        <c:crosses val="autoZero"/>
        <c:crossBetween val="between"/>
      </c:valAx>
    </c:plotArea>
    <c:legend>
      <c:legendPos val="t"/>
      <c:layout>
        <c:manualLayout>
          <c:xMode val="edge"/>
          <c:yMode val="edge"/>
          <c:x val="0.730419804305444"/>
          <c:y val="0.228107344632768"/>
          <c:w val="0.219856676138398"/>
          <c:h val="0.0638520952889366"/>
        </c:manualLayout>
      </c:layout>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100" b="1" i="0" baseline="0">
                <a:effectLst/>
                <a:latin typeface="Arial Narrow" pitchFamily="34" charset="0"/>
              </a:rPr>
              <a:t>Gráfica 12</a:t>
            </a:r>
          </a:p>
          <a:p>
            <a:pPr>
              <a:defRPr/>
            </a:pPr>
            <a:r>
              <a:rPr lang="en-US" sz="1100" b="1" i="0" baseline="0">
                <a:effectLst/>
                <a:latin typeface="Arial Narrow" pitchFamily="34" charset="0"/>
              </a:rPr>
              <a:t>Distribución Porcentual de Gastos Públicos Estatales </a:t>
            </a:r>
            <a:endParaRPr lang="es-ES" sz="1100">
              <a:effectLst/>
              <a:latin typeface="Arial Narrow" pitchFamily="34" charset="0"/>
            </a:endParaRPr>
          </a:p>
          <a:p>
            <a:pPr>
              <a:defRPr/>
            </a:pPr>
            <a:r>
              <a:rPr lang="en-US" sz="1100" b="1" i="0" baseline="0">
                <a:effectLst/>
                <a:latin typeface="Arial Narrow" pitchFamily="34" charset="0"/>
              </a:rPr>
              <a:t>de Mississipi y PR </a:t>
            </a:r>
            <a:endParaRPr lang="es-ES" sz="1100">
              <a:effectLst/>
              <a:latin typeface="Arial Narrow" pitchFamily="34" charset="0"/>
            </a:endParaRPr>
          </a:p>
          <a:p>
            <a:pPr>
              <a:defRPr/>
            </a:pPr>
            <a:r>
              <a:rPr lang="en-US" sz="1100" b="1" i="0" baseline="0">
                <a:effectLst/>
                <a:latin typeface="Arial Narrow" pitchFamily="34" charset="0"/>
              </a:rPr>
              <a:t>por Funciones de Gastos , 201</a:t>
            </a:r>
            <a:r>
              <a:rPr lang="en-US" sz="1100" b="1" i="0" baseline="0">
                <a:effectLst/>
                <a:latin typeface="Arial Narrow" panose="020B0606020202030204" pitchFamily="34" charset="0"/>
                <a:cs typeface="Arial" pitchFamily="34" charset="0"/>
              </a:rPr>
              <a:t>1</a:t>
            </a:r>
            <a:endParaRPr lang="es-ES" sz="1100">
              <a:effectLst/>
              <a:latin typeface="Arial Narrow" panose="020B0606020202030204" pitchFamily="34" charset="0"/>
              <a:cs typeface="Arial" pitchFamily="34" charset="0"/>
            </a:endParaRPr>
          </a:p>
        </c:rich>
      </c:tx>
      <c:layout>
        <c:manualLayout>
          <c:xMode val="edge"/>
          <c:yMode val="edge"/>
          <c:x val="0.242722159730034"/>
          <c:y val="0.0162788182742305"/>
        </c:manualLayout>
      </c:layout>
    </c:title>
    <c:plotArea>
      <c:layout>
        <c:manualLayout>
          <c:layoutTarget val="inner"/>
          <c:xMode val="edge"/>
          <c:yMode val="edge"/>
          <c:x val="0.303221506137711"/>
          <c:y val="0.209140300160249"/>
          <c:w val="0.637168064233437"/>
          <c:h val="0.740788626066777"/>
        </c:manualLayout>
      </c:layout>
      <c:barChart>
        <c:barDir val="bar"/>
        <c:grouping val="clustered"/>
        <c:ser>
          <c:idx val="0"/>
          <c:order val="0"/>
          <c:tx>
            <c:strRef>
              <c:f>'\Users\Eileen\Downloads\[gastos_por_función_sumados_EEUU_ALICIA_REV_140228.xlsx]Mississipi'!$B$2:$B$3</c:f>
              <c:strCache>
                <c:ptCount val="1"/>
                <c:pt idx="0">
                  <c:v>Mississippi</c:v>
                </c:pt>
              </c:strCache>
            </c:strRef>
          </c:tx>
          <c:dLbls>
            <c:spPr>
              <a:noFill/>
              <a:ln>
                <a:noFill/>
              </a:ln>
              <a:effectLst/>
            </c:spPr>
            <c:showVal val="1"/>
            <c:extLst>
              <c:ext xmlns:c15="http://schemas.microsoft.com/office/drawing/2012/chart" uri="{CE6537A1-D6FC-4f65-9D91-7224C49458BB}">
                <c15:showLeaderLines val="0"/>
              </c:ext>
            </c:extLst>
          </c:dLbls>
          <c:cat>
            <c:strRef>
              <c:f>'\Users\Eileen\Downloads\[gastos_por_función_sumados_EEUU_ALICIA_REV_140228.xlsx]Mississipi'!$A$4:$A$16</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'\Users\Eileen\Downloads\[gastos_por_función_sumados_EEUU_ALICIA_REV_140228.xlsx]Mississipi'!$B$4:$B$16</c:f>
            </c:numRef>
          </c:val>
        </c:ser>
        <c:ser>
          <c:idx val="1"/>
          <c:order val="1"/>
          <c:tx>
            <c:strRef>
              <c:f>'\Users\Eileen\Downloads\[gastos_por_función_sumados_EEUU_ALICIA_REV_140228.xlsx]Mississipi'!$C$2:$C$3</c:f>
              <c:strCache>
                <c:ptCount val="1"/>
                <c:pt idx="0">
                  <c:v>Mississippi</c:v>
                </c:pt>
              </c:strCache>
            </c:strRef>
          </c:tx>
          <c:dLbls>
            <c:spPr>
              <a:noFill/>
              <a:ln>
                <a:noFill/>
              </a:ln>
              <a:effectLst/>
            </c:spPr>
            <c:txPr>
              <a:bodyPr/>
              <a:lstStyle/>
              <a:p>
                <a:pPr>
                  <a:defRPr sz="800" baseline="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'\Users\Eileen\Downloads\[gastos_por_función_sumados_EEUU_ALICIA_REV_140228.xlsx]Mississipi'!$A$4:$A$16</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'\Users\Eileen\Downloads\[gastos_por_función_sumados_EEUU_ALICIA_REV_140228.xlsx]Mississipi'!$C$4:$C$16</c:f>
              <c:numCache>
                <c:formatCode>0.0%</c:formatCode>
                <c:ptCount val="13"/>
                <c:pt idx="0">
                  <c:v>0.151843753166074</c:v>
                </c:pt>
                <c:pt idx="1">
                  <c:v>0.386163212697706</c:v>
                </c:pt>
                <c:pt idx="2">
                  <c:v>0.0976760772699611</c:v>
                </c:pt>
                <c:pt idx="3">
                  <c:v>0.0714657232132613</c:v>
                </c:pt>
                <c:pt idx="4">
                  <c:v>0.0318883851501364</c:v>
                </c:pt>
                <c:pt idx="5">
                  <c:v>0.0245688605357851</c:v>
                </c:pt>
                <c:pt idx="6">
                  <c:v>0.00689098510410887</c:v>
                </c:pt>
                <c:pt idx="7">
                  <c:v>0.0259235204249029</c:v>
                </c:pt>
                <c:pt idx="8">
                  <c:v>0.0179624949091224</c:v>
                </c:pt>
                <c:pt idx="9">
                  <c:v>0.0591439542515457</c:v>
                </c:pt>
                <c:pt idx="10">
                  <c:v>0.0</c:v>
                </c:pt>
                <c:pt idx="11">
                  <c:v>0.126473033277399</c:v>
                </c:pt>
              </c:numCache>
            </c:numRef>
          </c:val>
        </c:ser>
        <c:ser>
          <c:idx val="2"/>
          <c:order val="2"/>
          <c:tx>
            <c:strRef>
              <c:f>'\Users\Eileen\Downloads\[gastos_por_función_sumados_EEUU_ALICIA_REV_140228.xlsx]Mississipi'!$D$2:$D$3</c:f>
              <c:strCache>
                <c:ptCount val="1"/>
                <c:pt idx="0">
                  <c:v>PR </c:v>
                </c:pt>
              </c:strCache>
            </c:strRef>
          </c:tx>
          <c:dLbls>
            <c:spPr>
              <a:noFill/>
              <a:ln>
                <a:noFill/>
              </a:ln>
              <a:effectLst/>
            </c:spPr>
            <c:txPr>
              <a:bodyPr/>
              <a:lstStyle/>
              <a:p>
                <a:pPr>
                  <a:defRPr sz="80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'\Users\Eileen\Downloads\[gastos_por_función_sumados_EEUU_ALICIA_REV_140228.xlsx]Mississipi'!$A$4:$A$16</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'\Users\Eileen\Downloads\[gastos_por_función_sumados_EEUU_ALICIA_REV_140228.xlsx]Mississipi'!$D$4:$D$16</c:f>
              <c:numCache>
                <c:formatCode>0.0%</c:formatCode>
                <c:ptCount val="13"/>
                <c:pt idx="0">
                  <c:v>0.316710985154919</c:v>
                </c:pt>
                <c:pt idx="1">
                  <c:v>0.175053964017221</c:v>
                </c:pt>
                <c:pt idx="2">
                  <c:v>0.0551369297279858</c:v>
                </c:pt>
                <c:pt idx="3">
                  <c:v>0.0131569465961205</c:v>
                </c:pt>
                <c:pt idx="4">
                  <c:v>0.138722808739782</c:v>
                </c:pt>
                <c:pt idx="5">
                  <c:v>0.0126593774459816</c:v>
                </c:pt>
                <c:pt idx="6">
                  <c:v>0.00210846168811343</c:v>
                </c:pt>
                <c:pt idx="7">
                  <c:v>0.171409868642407</c:v>
                </c:pt>
                <c:pt idx="8">
                  <c:v>0.00675850968494243</c:v>
                </c:pt>
                <c:pt idx="9">
                  <c:v>0.0603315560694443</c:v>
                </c:pt>
                <c:pt idx="10">
                  <c:v>0.0</c:v>
                </c:pt>
                <c:pt idx="11">
                  <c:v>0.0369179977570215</c:v>
                </c:pt>
                <c:pt idx="12">
                  <c:v>0.0110325944760665</c:v>
                </c:pt>
              </c:numCache>
            </c:numRef>
          </c:val>
        </c:ser>
        <c:dLbls>
          <c:showVal val="1"/>
        </c:dLbls>
        <c:overlap val="-25"/>
        <c:axId val="884532280"/>
        <c:axId val="879437912"/>
      </c:barChart>
      <c:catAx>
        <c:axId val="884532280"/>
        <c:scaling>
          <c:orientation val="minMax"/>
        </c:scaling>
        <c:axPos val="l"/>
        <c:numFmt formatCode="General" sourceLinked="0"/>
        <c:majorTickMark val="none"/>
        <c:tickLblPos val="nextTo"/>
        <c:txPr>
          <a:bodyPr/>
          <a:lstStyle/>
          <a:p>
            <a:pPr>
              <a:defRPr sz="900">
                <a:latin typeface="Arial Narrow" pitchFamily="34" charset="0"/>
              </a:defRPr>
            </a:pPr>
            <a:endParaRPr lang="en-US"/>
          </a:p>
        </c:txPr>
        <c:crossAx val="879437912"/>
        <c:crosses val="autoZero"/>
        <c:auto val="1"/>
        <c:lblAlgn val="ctr"/>
        <c:lblOffset val="100"/>
      </c:catAx>
      <c:valAx>
        <c:axId val="879437912"/>
        <c:scaling>
          <c:orientation val="minMax"/>
        </c:scaling>
        <c:delete val="1"/>
        <c:axPos val="b"/>
        <c:numFmt formatCode="0.0%" sourceLinked="1"/>
        <c:majorTickMark val="none"/>
        <c:tickLblPos val="none"/>
        <c:crossAx val="884532280"/>
        <c:crosses val="autoZero"/>
        <c:crossBetween val="between"/>
      </c:valAx>
    </c:plotArea>
    <c:legend>
      <c:legendPos val="t"/>
      <c:layout>
        <c:manualLayout>
          <c:xMode val="edge"/>
          <c:yMode val="edge"/>
          <c:x val="0.696556884142322"/>
          <c:y val="0.185436259719872"/>
          <c:w val="0.238677794161249"/>
          <c:h val="0.0563330635072485"/>
        </c:manualLayout>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100" b="1" i="0" baseline="0">
                <a:effectLst/>
                <a:latin typeface="Arial Narrow" panose="020B0606020202030204" pitchFamily="34" charset="0"/>
                <a:cs typeface="Arial" pitchFamily="34" charset="0"/>
              </a:rPr>
              <a:t>Gráfica 13</a:t>
            </a:r>
          </a:p>
          <a:p>
            <a:pPr>
              <a:defRPr/>
            </a:pPr>
            <a:r>
              <a:rPr lang="en-US" sz="1100" b="1" i="0" baseline="0">
                <a:effectLst/>
                <a:latin typeface="Arial Narrow" panose="020B0606020202030204" pitchFamily="34" charset="0"/>
                <a:cs typeface="Arial" pitchFamily="34" charset="0"/>
              </a:rPr>
              <a:t>Distribución Porcentual de Gastos Públicos Estatales </a:t>
            </a:r>
            <a:endParaRPr lang="es-ES" sz="1100">
              <a:effectLst/>
              <a:latin typeface="Arial Narrow" panose="020B0606020202030204" pitchFamily="34" charset="0"/>
              <a:cs typeface="Arial" pitchFamily="34" charset="0"/>
            </a:endParaRPr>
          </a:p>
          <a:p>
            <a:pPr>
              <a:defRPr/>
            </a:pPr>
            <a:r>
              <a:rPr lang="en-US" sz="1100" b="1" i="0" baseline="0">
                <a:effectLst/>
                <a:latin typeface="Arial Narrow" panose="020B0606020202030204" pitchFamily="34" charset="0"/>
                <a:cs typeface="Arial" pitchFamily="34" charset="0"/>
              </a:rPr>
              <a:t>de Hawaii y PR </a:t>
            </a:r>
            <a:endParaRPr lang="es-ES" sz="1100">
              <a:effectLst/>
              <a:latin typeface="Arial Narrow" panose="020B0606020202030204" pitchFamily="34" charset="0"/>
              <a:cs typeface="Arial" pitchFamily="34" charset="0"/>
            </a:endParaRPr>
          </a:p>
          <a:p>
            <a:pPr>
              <a:defRPr/>
            </a:pPr>
            <a:r>
              <a:rPr lang="en-US" sz="1100" b="1" i="0" baseline="0">
                <a:effectLst/>
                <a:latin typeface="Arial Narrow" panose="020B0606020202030204" pitchFamily="34" charset="0"/>
                <a:cs typeface="Arial" pitchFamily="34" charset="0"/>
              </a:rPr>
              <a:t>por Funciones de Gastos , 2011</a:t>
            </a:r>
            <a:endParaRPr lang="es-ES" sz="1100">
              <a:effectLst/>
              <a:latin typeface="Arial Narrow" panose="020B0606020202030204" pitchFamily="34" charset="0"/>
              <a:cs typeface="Arial" pitchFamily="34" charset="0"/>
            </a:endParaRPr>
          </a:p>
        </c:rich>
      </c:tx>
    </c:title>
    <c:plotArea>
      <c:layout/>
      <c:barChart>
        <c:barDir val="bar"/>
        <c:grouping val="clustered"/>
        <c:ser>
          <c:idx val="0"/>
          <c:order val="0"/>
          <c:tx>
            <c:strRef>
              <c:f>'\Users\Eileen\Downloads\[gastos_por_función_sumados_EEUU_ALICIA_REV_140228.xlsx]Hawaii'!$C$2</c:f>
              <c:strCache>
                <c:ptCount val="1"/>
                <c:pt idx="0">
                  <c:v>Hawaii</c:v>
                </c:pt>
              </c:strCache>
            </c:strRef>
          </c:tx>
          <c:spPr>
            <a:solidFill>
              <a:srgbClr val="C00000"/>
            </a:solidFill>
          </c:spPr>
          <c:dLbls>
            <c:spPr>
              <a:noFill/>
              <a:ln>
                <a:noFill/>
              </a:ln>
              <a:effectLst/>
            </c:spPr>
            <c:txPr>
              <a:bodyPr/>
              <a:lstStyle/>
              <a:p>
                <a:pPr>
                  <a:defRPr sz="800" baseline="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'\Users\Eileen\Downloads\[gastos_por_función_sumados_EEUU_ALICIA_REV_140228.xlsx]Hawaii'!$A$3:$B$15</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'\Users\Eileen\Downloads\[gastos_por_función_sumados_EEUU_ALICIA_REV_140228.xlsx]Hawaii'!$C$3:$C$15</c:f>
              <c:numCache>
                <c:formatCode>0.0%</c:formatCode>
                <c:ptCount val="13"/>
                <c:pt idx="0">
                  <c:v>0.300043939433338</c:v>
                </c:pt>
                <c:pt idx="1">
                  <c:v>0.236785000208115</c:v>
                </c:pt>
                <c:pt idx="2">
                  <c:v>0.110875049688124</c:v>
                </c:pt>
                <c:pt idx="3">
                  <c:v>0.0608497696485635</c:v>
                </c:pt>
                <c:pt idx="4">
                  <c:v>0.0224022773601516</c:v>
                </c:pt>
                <c:pt idx="5">
                  <c:v>0.0182528364275386</c:v>
                </c:pt>
                <c:pt idx="6">
                  <c:v>0.0122398523294245</c:v>
                </c:pt>
                <c:pt idx="7">
                  <c:v>0.0364108005984851</c:v>
                </c:pt>
                <c:pt idx="8">
                  <c:v>0.0320567053873864</c:v>
                </c:pt>
                <c:pt idx="9">
                  <c:v>0.0863009165156979</c:v>
                </c:pt>
                <c:pt idx="10">
                  <c:v>0.000457144053981164</c:v>
                </c:pt>
                <c:pt idx="11">
                  <c:v>0.0833257083491941</c:v>
                </c:pt>
              </c:numCache>
            </c:numRef>
          </c:val>
        </c:ser>
        <c:ser>
          <c:idx val="1"/>
          <c:order val="1"/>
          <c:tx>
            <c:strRef>
              <c:f>'\Users\Eileen\Downloads\[gastos_por_función_sumados_EEUU_ALICIA_REV_140228.xlsx]Hawaii'!$D$2</c:f>
              <c:strCache>
                <c:ptCount val="1"/>
                <c:pt idx="0">
                  <c:v>PR </c:v>
                </c:pt>
              </c:strCache>
            </c:strRef>
          </c:tx>
          <c:spPr>
            <a:solidFill>
              <a:schemeClr val="accent3"/>
            </a:solidFill>
          </c:spPr>
          <c:dLbls>
            <c:spPr>
              <a:noFill/>
              <a:ln>
                <a:noFill/>
              </a:ln>
              <a:effectLst/>
            </c:spPr>
            <c:txPr>
              <a:bodyPr/>
              <a:lstStyle/>
              <a:p>
                <a:pPr>
                  <a:defRPr sz="800" baseline="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'\Users\Eileen\Downloads\[gastos_por_función_sumados_EEUU_ALICIA_REV_140228.xlsx]Hawaii'!$A$3:$B$15</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'\Users\Eileen\Downloads\[gastos_por_función_sumados_EEUU_ALICIA_REV_140228.xlsx]Hawaii'!$D$3:$D$15</c:f>
              <c:numCache>
                <c:formatCode>0.0%</c:formatCode>
                <c:ptCount val="13"/>
                <c:pt idx="0">
                  <c:v>0.316710985154919</c:v>
                </c:pt>
                <c:pt idx="1">
                  <c:v>0.175053964017221</c:v>
                </c:pt>
                <c:pt idx="2">
                  <c:v>0.0551369297279858</c:v>
                </c:pt>
                <c:pt idx="3">
                  <c:v>0.0131569465961205</c:v>
                </c:pt>
                <c:pt idx="4">
                  <c:v>0.138722808739782</c:v>
                </c:pt>
                <c:pt idx="5">
                  <c:v>0.0126593774459816</c:v>
                </c:pt>
                <c:pt idx="6">
                  <c:v>0.00210846168811343</c:v>
                </c:pt>
                <c:pt idx="7">
                  <c:v>0.171409868642407</c:v>
                </c:pt>
                <c:pt idx="8">
                  <c:v>0.00675850968494243</c:v>
                </c:pt>
                <c:pt idx="9">
                  <c:v>0.0603315560694443</c:v>
                </c:pt>
                <c:pt idx="10">
                  <c:v>0.0</c:v>
                </c:pt>
                <c:pt idx="11">
                  <c:v>0.0369179977570215</c:v>
                </c:pt>
                <c:pt idx="12">
                  <c:v>0.0110325944760665</c:v>
                </c:pt>
              </c:numCache>
            </c:numRef>
          </c:val>
        </c:ser>
        <c:dLbls>
          <c:showVal val="1"/>
        </c:dLbls>
        <c:overlap val="-25"/>
        <c:axId val="884616680"/>
        <c:axId val="571108696"/>
      </c:barChart>
      <c:catAx>
        <c:axId val="884616680"/>
        <c:scaling>
          <c:orientation val="minMax"/>
        </c:scaling>
        <c:axPos val="l"/>
        <c:numFmt formatCode="General" sourceLinked="0"/>
        <c:majorTickMark val="none"/>
        <c:tickLblPos val="nextTo"/>
        <c:txPr>
          <a:bodyPr/>
          <a:lstStyle/>
          <a:p>
            <a:pPr>
              <a:defRPr sz="900">
                <a:latin typeface="Arial Narrow" pitchFamily="34" charset="0"/>
              </a:defRPr>
            </a:pPr>
            <a:endParaRPr lang="en-US"/>
          </a:p>
        </c:txPr>
        <c:crossAx val="571108696"/>
        <c:crosses val="autoZero"/>
        <c:auto val="1"/>
        <c:lblAlgn val="ctr"/>
        <c:lblOffset val="100"/>
      </c:catAx>
      <c:valAx>
        <c:axId val="571108696"/>
        <c:scaling>
          <c:orientation val="minMax"/>
        </c:scaling>
        <c:delete val="1"/>
        <c:axPos val="b"/>
        <c:numFmt formatCode="0.0%" sourceLinked="1"/>
        <c:tickLblPos val="none"/>
        <c:crossAx val="884616680"/>
        <c:crosses val="autoZero"/>
        <c:crossBetween val="between"/>
      </c:valAx>
    </c:plotArea>
    <c:legend>
      <c:legendPos val="t"/>
      <c:layout>
        <c:manualLayout>
          <c:xMode val="edge"/>
          <c:yMode val="edge"/>
          <c:x val="0.730514010769096"/>
          <c:y val="0.208253968253968"/>
          <c:w val="0.209484519724707"/>
          <c:h val="0.0602763779527559"/>
        </c:manualLayout>
      </c:layout>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sz="1100">
                <a:latin typeface="Arial" pitchFamily="34" charset="0"/>
                <a:cs typeface="Arial" pitchFamily="34" charset="0"/>
              </a:defRPr>
            </a:pPr>
            <a:r>
              <a:rPr lang="en-US" sz="1100">
                <a:latin typeface="Arial Narrow" panose="020B0606020202030204" pitchFamily="34" charset="0"/>
                <a:cs typeface="Arial" pitchFamily="34" charset="0"/>
              </a:rPr>
              <a:t>Gráfica</a:t>
            </a:r>
            <a:r>
              <a:rPr lang="en-US" sz="1100" baseline="0">
                <a:latin typeface="Arial Narrow" panose="020B0606020202030204" pitchFamily="34" charset="0"/>
                <a:cs typeface="Arial" pitchFamily="34" charset="0"/>
              </a:rPr>
              <a:t> 14</a:t>
            </a:r>
            <a:endParaRPr lang="en-US" sz="1100">
              <a:latin typeface="Arial Narrow" panose="020B0606020202030204" pitchFamily="34" charset="0"/>
              <a:cs typeface="Arial" pitchFamily="34" charset="0"/>
            </a:endParaRPr>
          </a:p>
          <a:p>
            <a:pPr>
              <a:defRPr sz="1100">
                <a:latin typeface="Arial" pitchFamily="34" charset="0"/>
                <a:cs typeface="Arial" pitchFamily="34" charset="0"/>
              </a:defRPr>
            </a:pPr>
            <a:r>
              <a:rPr lang="en-US" sz="1100">
                <a:latin typeface="Arial Narrow" panose="020B0606020202030204" pitchFamily="34" charset="0"/>
                <a:cs typeface="Arial" pitchFamily="34" charset="0"/>
              </a:rPr>
              <a:t>Distribución Porcentual de Gastos Públicos Estatales </a:t>
            </a:r>
            <a:endParaRPr lang="es-ES" sz="1100">
              <a:latin typeface="Arial Narrow" panose="020B0606020202030204" pitchFamily="34" charset="0"/>
              <a:cs typeface="Arial" pitchFamily="34" charset="0"/>
            </a:endParaRPr>
          </a:p>
          <a:p>
            <a:pPr>
              <a:defRPr sz="1100">
                <a:latin typeface="Arial" pitchFamily="34" charset="0"/>
                <a:cs typeface="Arial" pitchFamily="34" charset="0"/>
              </a:defRPr>
            </a:pPr>
            <a:r>
              <a:rPr lang="en-US" sz="1100">
                <a:latin typeface="Arial Narrow" panose="020B0606020202030204" pitchFamily="34" charset="0"/>
                <a:cs typeface="Arial" pitchFamily="34" charset="0"/>
              </a:rPr>
              <a:t>de New Mexico y PR </a:t>
            </a:r>
            <a:endParaRPr lang="es-ES" sz="1100">
              <a:latin typeface="Arial Narrow" panose="020B0606020202030204" pitchFamily="34" charset="0"/>
              <a:cs typeface="Arial" pitchFamily="34" charset="0"/>
            </a:endParaRPr>
          </a:p>
          <a:p>
            <a:pPr>
              <a:defRPr sz="1100">
                <a:latin typeface="Arial" pitchFamily="34" charset="0"/>
                <a:cs typeface="Arial" pitchFamily="34" charset="0"/>
              </a:defRPr>
            </a:pPr>
            <a:r>
              <a:rPr lang="en-US" sz="1100">
                <a:latin typeface="Arial Narrow" panose="020B0606020202030204" pitchFamily="34" charset="0"/>
                <a:cs typeface="Arial" pitchFamily="34" charset="0"/>
              </a:rPr>
              <a:t>por Funciones de Gastos , 2011</a:t>
            </a:r>
            <a:endParaRPr lang="es-ES" sz="1100">
              <a:latin typeface="Arial Narrow" panose="020B0606020202030204" pitchFamily="34" charset="0"/>
              <a:cs typeface="Arial" pitchFamily="34" charset="0"/>
            </a:endParaRPr>
          </a:p>
        </c:rich>
      </c:tx>
      <c:layout>
        <c:manualLayout>
          <c:xMode val="edge"/>
          <c:yMode val="edge"/>
          <c:x val="0.153837945143914"/>
          <c:y val="0.00384444403846272"/>
        </c:manualLayout>
      </c:layout>
    </c:title>
    <c:plotArea>
      <c:layout/>
      <c:barChart>
        <c:barDir val="bar"/>
        <c:grouping val="clustered"/>
        <c:ser>
          <c:idx val="0"/>
          <c:order val="0"/>
          <c:tx>
            <c:strRef>
              <c:f>'\Users\Eileen\Downloads\[gastos_por_función_sumados_EEUU_ALICIA_REV_140228.xlsx]New Mexico'!$C$2:$C$3</c:f>
              <c:strCache>
                <c:ptCount val="1"/>
                <c:pt idx="0">
                  <c:v>New Mexico</c:v>
                </c:pt>
              </c:strCache>
            </c:strRef>
          </c:tx>
          <c:dLbls>
            <c:spPr>
              <a:noFill/>
              <a:ln>
                <a:noFill/>
              </a:ln>
              <a:effectLst/>
            </c:spPr>
            <c:showVal val="1"/>
            <c:extLst>
              <c:ext xmlns:c15="http://schemas.microsoft.com/office/drawing/2012/chart" uri="{CE6537A1-D6FC-4f65-9D91-7224C49458BB}">
                <c15:showLeaderLines val="0"/>
              </c:ext>
            </c:extLst>
          </c:dLbls>
          <c:cat>
            <c:strRef>
              <c:f>'\Users\Eileen\Downloads\[gastos_por_función_sumados_EEUU_ALICIA_REV_140228.xlsx]New Mexico'!$B$4:$B$16</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'\Users\Eileen\Downloads\[gastos_por_función_sumados_EEUU_ALICIA_REV_140228.xlsx]New Mexico'!$C$4:$C$16</c:f>
            </c:numRef>
          </c:val>
        </c:ser>
        <c:ser>
          <c:idx val="1"/>
          <c:order val="1"/>
          <c:tx>
            <c:strRef>
              <c:f>'\Users\Eileen\Downloads\[gastos_por_función_sumados_EEUU_ALICIA_REV_140228.xlsx]New Mexico'!$D$2:$D$3</c:f>
              <c:strCache>
                <c:ptCount val="1"/>
                <c:pt idx="0">
                  <c:v>New Mexico</c:v>
                </c:pt>
              </c:strCache>
            </c:strRef>
          </c:tx>
          <c:dLbls>
            <c:spPr>
              <a:noFill/>
              <a:ln>
                <a:noFill/>
              </a:ln>
              <a:effectLst/>
            </c:spPr>
            <c:txPr>
              <a:bodyPr/>
              <a:lstStyle/>
              <a:p>
                <a:pPr>
                  <a:defRPr sz="700" baseline="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'\Users\Eileen\Downloads\[gastos_por_función_sumados_EEUU_ALICIA_REV_140228.xlsx]New Mexico'!$B$4:$B$16</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'\Users\Eileen\Downloads\[gastos_por_función_sumados_EEUU_ALICIA_REV_140228.xlsx]New Mexico'!$D$4:$D$16</c:f>
              <c:numCache>
                <c:formatCode>0.0%</c:formatCode>
                <c:ptCount val="13"/>
                <c:pt idx="0">
                  <c:v>0.176449703661277</c:v>
                </c:pt>
                <c:pt idx="1">
                  <c:v>0.375923461924661</c:v>
                </c:pt>
                <c:pt idx="2">
                  <c:v>0.104530442807494</c:v>
                </c:pt>
                <c:pt idx="3">
                  <c:v>0.0563787699681042</c:v>
                </c:pt>
                <c:pt idx="4">
                  <c:v>0.0436754790923235</c:v>
                </c:pt>
                <c:pt idx="5">
                  <c:v>0.0209789868904874</c:v>
                </c:pt>
                <c:pt idx="6">
                  <c:v>0.00827414498643035</c:v>
                </c:pt>
                <c:pt idx="7">
                  <c:v>0.0470772533948132</c:v>
                </c:pt>
                <c:pt idx="8">
                  <c:v>0.0250980009830565</c:v>
                </c:pt>
                <c:pt idx="9">
                  <c:v>0.0290106544563812</c:v>
                </c:pt>
                <c:pt idx="10">
                  <c:v>0.00125537274348467</c:v>
                </c:pt>
                <c:pt idx="11">
                  <c:v>0.111347729091492</c:v>
                </c:pt>
                <c:pt idx="12" formatCode="General">
                  <c:v>0.0</c:v>
                </c:pt>
              </c:numCache>
            </c:numRef>
          </c:val>
        </c:ser>
        <c:ser>
          <c:idx val="2"/>
          <c:order val="2"/>
          <c:tx>
            <c:strRef>
              <c:f>'\Users\Eileen\Downloads\[gastos_por_función_sumados_EEUU_ALICIA_REV_140228.xlsx]New Mexico'!$E$2:$E$3</c:f>
              <c:strCache>
                <c:ptCount val="1"/>
                <c:pt idx="0">
                  <c:v>PR </c:v>
                </c:pt>
              </c:strCache>
            </c:strRef>
          </c:tx>
          <c:dLbls>
            <c:spPr>
              <a:noFill/>
              <a:ln>
                <a:noFill/>
              </a:ln>
              <a:effectLst/>
            </c:spPr>
            <c:txPr>
              <a:bodyPr/>
              <a:lstStyle/>
              <a:p>
                <a:pPr>
                  <a:defRPr sz="700" baseline="0">
                    <a:latin typeface="Arial Narrow" pitchFamily="34" charset="0"/>
                  </a:defRPr>
                </a:pPr>
                <a:endParaRPr lang="en-US"/>
              </a:p>
            </c:txPr>
            <c:showVal val="1"/>
            <c:extLst>
              <c:ext xmlns:c15="http://schemas.microsoft.com/office/drawing/2012/chart" uri="{CE6537A1-D6FC-4f65-9D91-7224C49458BB}">
                <c15:showLeaderLines val="0"/>
              </c:ext>
            </c:extLst>
          </c:dLbls>
          <c:cat>
            <c:strRef>
              <c:f>'\Users\Eileen\Downloads\[gastos_por_función_sumados_EEUU_ALICIA_REV_140228.xlsx]New Mexico'!$B$4:$B$16</c:f>
              <c:strCache>
                <c:ptCount val="13"/>
                <c:pt idx="0">
                  <c:v>Educación </c:v>
                </c:pt>
                <c:pt idx="1">
                  <c:v>Servicios Sociales </c:v>
                </c:pt>
                <c:pt idx="2">
                  <c:v>Salud </c:v>
                </c:pt>
                <c:pt idx="3">
                  <c:v>Transportación</c:v>
                </c:pt>
                <c:pt idx="4">
                  <c:v>Seguridad Pública</c:v>
                </c:pt>
                <c:pt idx="5">
                  <c:v>Ambiental y Recreacion  y Deportes</c:v>
                </c:pt>
                <c:pt idx="6">
                  <c:v>Vivienda </c:v>
                </c:pt>
                <c:pt idx="7">
                  <c:v>Adminsitración Gubernamental </c:v>
                </c:pt>
                <c:pt idx="8">
                  <c:v>Intereses Deuda Publica</c:v>
                </c:pt>
                <c:pt idx="9">
                  <c:v>Gastos Generales</c:v>
                </c:pt>
                <c:pt idx="10">
                  <c:v>Utilidades </c:v>
                </c:pt>
                <c:pt idx="11">
                  <c:v>Sistemas de Retiro </c:v>
                </c:pt>
                <c:pt idx="12">
                  <c:v>Desarrollo Económico</c:v>
                </c:pt>
              </c:strCache>
            </c:strRef>
          </c:cat>
          <c:val>
            <c:numRef>
              <c:f>'\Users\Eileen\Downloads\[gastos_por_función_sumados_EEUU_ALICIA_REV_140228.xlsx]New Mexico'!$E$4:$E$16</c:f>
              <c:numCache>
                <c:formatCode>0.0%</c:formatCode>
                <c:ptCount val="13"/>
                <c:pt idx="0">
                  <c:v>0.316710985154919</c:v>
                </c:pt>
                <c:pt idx="1">
                  <c:v>0.175053964017221</c:v>
                </c:pt>
                <c:pt idx="2">
                  <c:v>0.0551369297279858</c:v>
                </c:pt>
                <c:pt idx="3">
                  <c:v>0.0131569465961205</c:v>
                </c:pt>
                <c:pt idx="4">
                  <c:v>0.138722808739782</c:v>
                </c:pt>
                <c:pt idx="5">
                  <c:v>0.0126593774459816</c:v>
                </c:pt>
                <c:pt idx="6">
                  <c:v>0.00210846168811343</c:v>
                </c:pt>
                <c:pt idx="7">
                  <c:v>0.171409868642407</c:v>
                </c:pt>
                <c:pt idx="8">
                  <c:v>0.00675850968494243</c:v>
                </c:pt>
                <c:pt idx="9">
                  <c:v>0.0603315560694443</c:v>
                </c:pt>
                <c:pt idx="10">
                  <c:v>0.0</c:v>
                </c:pt>
                <c:pt idx="11">
                  <c:v>0.0369179977570215</c:v>
                </c:pt>
                <c:pt idx="12">
                  <c:v>0.0110325944760665</c:v>
                </c:pt>
              </c:numCache>
            </c:numRef>
          </c:val>
        </c:ser>
        <c:dLbls>
          <c:showVal val="1"/>
        </c:dLbls>
        <c:overlap val="-25"/>
        <c:axId val="570916648"/>
        <c:axId val="76255096"/>
      </c:barChart>
      <c:catAx>
        <c:axId val="570916648"/>
        <c:scaling>
          <c:orientation val="minMax"/>
        </c:scaling>
        <c:axPos val="l"/>
        <c:numFmt formatCode="General" sourceLinked="0"/>
        <c:majorTickMark val="none"/>
        <c:tickLblPos val="nextTo"/>
        <c:txPr>
          <a:bodyPr/>
          <a:lstStyle/>
          <a:p>
            <a:pPr>
              <a:defRPr sz="900">
                <a:latin typeface="Arial Narrow" pitchFamily="34" charset="0"/>
              </a:defRPr>
            </a:pPr>
            <a:endParaRPr lang="en-US"/>
          </a:p>
        </c:txPr>
        <c:crossAx val="76255096"/>
        <c:crosses val="autoZero"/>
        <c:auto val="1"/>
        <c:lblAlgn val="ctr"/>
        <c:lblOffset val="100"/>
      </c:catAx>
      <c:valAx>
        <c:axId val="76255096"/>
        <c:scaling>
          <c:orientation val="minMax"/>
        </c:scaling>
        <c:delete val="1"/>
        <c:axPos val="b"/>
        <c:numFmt formatCode="0.0%" sourceLinked="1"/>
        <c:majorTickMark val="none"/>
        <c:tickLblPos val="none"/>
        <c:crossAx val="570916648"/>
        <c:crosses val="autoZero"/>
        <c:crossBetween val="between"/>
      </c:valAx>
    </c:plotArea>
    <c:legend>
      <c:legendPos val="t"/>
      <c:layout>
        <c:manualLayout>
          <c:xMode val="edge"/>
          <c:yMode val="edge"/>
          <c:x val="0.717118465903007"/>
          <c:y val="0.215830856074017"/>
          <c:w val="0.242125658379258"/>
          <c:h val="0.0613655766725675"/>
        </c:manualLayout>
      </c:layout>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R" sz="1000" b="1">
                <a:latin typeface="Arial Narrow" panose="020B0606020202030204" pitchFamily="34" charset="0"/>
              </a:rPr>
              <a:t>Gráfica 15</a:t>
            </a:r>
          </a:p>
          <a:p>
            <a:pPr>
              <a:defRPr sz="1400" b="0" i="0" u="none" strike="noStrike" kern="1200" spc="0" baseline="0">
                <a:solidFill>
                  <a:schemeClr val="tx1">
                    <a:lumMod val="65000"/>
                    <a:lumOff val="35000"/>
                  </a:schemeClr>
                </a:solidFill>
                <a:latin typeface="+mn-lt"/>
                <a:ea typeface="+mn-ea"/>
                <a:cs typeface="+mn-cs"/>
              </a:defRPr>
            </a:pPr>
            <a:r>
              <a:rPr lang="es-PR" sz="1000" b="1">
                <a:latin typeface="Arial Narrow" panose="020B0606020202030204" pitchFamily="34" charset="0"/>
              </a:rPr>
              <a:t>Empleo Gubernamental Total como Por Ciento</a:t>
            </a:r>
            <a:r>
              <a:rPr lang="es-PR" sz="1000" b="1" baseline="0">
                <a:latin typeface="Arial Narrow" panose="020B0606020202030204" pitchFamily="34" charset="0"/>
              </a:rPr>
              <a:t> del Empleo Total </a:t>
            </a:r>
          </a:p>
          <a:p>
            <a:pPr>
              <a:defRPr sz="1400" b="0" i="0" u="none" strike="noStrike" kern="1200" spc="0" baseline="0">
                <a:solidFill>
                  <a:schemeClr val="tx1">
                    <a:lumMod val="65000"/>
                    <a:lumOff val="35000"/>
                  </a:schemeClr>
                </a:solidFill>
                <a:latin typeface="+mn-lt"/>
                <a:ea typeface="+mn-ea"/>
                <a:cs typeface="+mn-cs"/>
              </a:defRPr>
            </a:pPr>
            <a:r>
              <a:rPr lang="es-PR" sz="1000" b="1" baseline="0">
                <a:latin typeface="Arial Narrow" panose="020B0606020202030204" pitchFamily="34" charset="0"/>
              </a:rPr>
              <a:t>(2010-2012)</a:t>
            </a:r>
            <a:endParaRPr lang="es-PR" sz="1000" b="1">
              <a:latin typeface="Arial Narrow" panose="020B0606020202030204" pitchFamily="34" charset="0"/>
            </a:endParaRPr>
          </a:p>
        </c:rich>
      </c:tx>
      <c:layout>
        <c:manualLayout>
          <c:xMode val="edge"/>
          <c:yMode val="edge"/>
          <c:x val="0.179559442824749"/>
          <c:y val="0.0126903553299492"/>
        </c:manualLayout>
      </c:layout>
      <c:spPr>
        <a:noFill/>
        <a:ln>
          <a:noFill/>
        </a:ln>
        <a:effectLst/>
      </c:spPr>
    </c:title>
    <c:plotArea>
      <c:layout>
        <c:manualLayout>
          <c:layoutTarget val="inner"/>
          <c:xMode val="edge"/>
          <c:yMode val="edge"/>
          <c:x val="0.287084141786031"/>
          <c:y val="0.198881029476778"/>
          <c:w val="0.657782698664378"/>
          <c:h val="0.618746490148524"/>
        </c:manualLayout>
      </c:layout>
      <c:barChart>
        <c:barDir val="bar"/>
        <c:grouping val="clustered"/>
        <c:ser>
          <c:idx val="0"/>
          <c:order val="0"/>
          <c:tx>
            <c:strRef>
              <c:f>'Grafica 15'!$E$5</c:f>
              <c:strCache>
                <c:ptCount val="1"/>
                <c:pt idx="0">
                  <c:v>2010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15'!$D$6:$D$13</c:f>
              <c:strCache>
                <c:ptCount val="8"/>
                <c:pt idx="0">
                  <c:v>ALABAMA</c:v>
                </c:pt>
                <c:pt idx="1">
                  <c:v>HAWAII</c:v>
                </c:pt>
                <c:pt idx="2">
                  <c:v>MISSISSIPPI</c:v>
                </c:pt>
                <c:pt idx="3">
                  <c:v>NEW MEXICO</c:v>
                </c:pt>
                <c:pt idx="4">
                  <c:v>PROMEDIO 50 ESTADOS</c:v>
                </c:pt>
                <c:pt idx="5">
                  <c:v>PUERTO RICO (sin cp)</c:v>
                </c:pt>
                <c:pt idx="7">
                  <c:v> PUERTO RICO (con cp)</c:v>
                </c:pt>
              </c:strCache>
            </c:strRef>
          </c:cat>
          <c:val>
            <c:numRef>
              <c:f>'Grafica 15'!$E$6:$E$13</c:f>
              <c:numCache>
                <c:formatCode>0.0%</c:formatCode>
                <c:ptCount val="8"/>
                <c:pt idx="0">
                  <c:v>0.0729369524392565</c:v>
                </c:pt>
                <c:pt idx="1">
                  <c:v>0.0717842705514238</c:v>
                </c:pt>
                <c:pt idx="2">
                  <c:v>0.0648686927528599</c:v>
                </c:pt>
                <c:pt idx="3">
                  <c:v>0.0820973424383455</c:v>
                </c:pt>
                <c:pt idx="4">
                  <c:v>0.0587494208575074</c:v>
                </c:pt>
                <c:pt idx="5">
                  <c:v>0.0965883745252975</c:v>
                </c:pt>
                <c:pt idx="7">
                  <c:v>0.281954899340982</c:v>
                </c:pt>
              </c:numCache>
            </c:numRef>
          </c:val>
        </c:ser>
        <c:ser>
          <c:idx val="1"/>
          <c:order val="1"/>
          <c:tx>
            <c:strRef>
              <c:f>'Grafica 15'!$F$5</c:f>
              <c:strCache>
                <c:ptCount val="1"/>
                <c:pt idx="0">
                  <c:v>2011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15'!$D$6:$D$13</c:f>
              <c:strCache>
                <c:ptCount val="8"/>
                <c:pt idx="0">
                  <c:v>ALABAMA</c:v>
                </c:pt>
                <c:pt idx="1">
                  <c:v>HAWAII</c:v>
                </c:pt>
                <c:pt idx="2">
                  <c:v>MISSISSIPPI</c:v>
                </c:pt>
                <c:pt idx="3">
                  <c:v>NEW MEXICO</c:v>
                </c:pt>
                <c:pt idx="4">
                  <c:v>PROMEDIO 50 ESTADOS</c:v>
                </c:pt>
                <c:pt idx="5">
                  <c:v>PUERTO RICO (sin cp)</c:v>
                </c:pt>
                <c:pt idx="7">
                  <c:v> PUERTO RICO (con cp)</c:v>
                </c:pt>
              </c:strCache>
            </c:strRef>
          </c:cat>
          <c:val>
            <c:numRef>
              <c:f>'Grafica 15'!$F$6:$F$13</c:f>
              <c:numCache>
                <c:formatCode>0.0%</c:formatCode>
                <c:ptCount val="8"/>
                <c:pt idx="0">
                  <c:v>0.0717106231772097</c:v>
                </c:pt>
                <c:pt idx="1">
                  <c:v>0.0700391464589636</c:v>
                </c:pt>
                <c:pt idx="2">
                  <c:v>0.0632761349871064</c:v>
                </c:pt>
                <c:pt idx="3">
                  <c:v>0.0791000299529206</c:v>
                </c:pt>
                <c:pt idx="4">
                  <c:v>0.0565319439872773</c:v>
                </c:pt>
                <c:pt idx="5">
                  <c:v>0.0935295971307633</c:v>
                </c:pt>
                <c:pt idx="7">
                  <c:v>0.277489547360933</c:v>
                </c:pt>
              </c:numCache>
            </c:numRef>
          </c:val>
        </c:ser>
        <c:ser>
          <c:idx val="2"/>
          <c:order val="2"/>
          <c:tx>
            <c:strRef>
              <c:f>'Grafica 15'!$G$5</c:f>
              <c:strCache>
                <c:ptCount val="1"/>
                <c:pt idx="0">
                  <c:v>2012</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15'!$D$6:$D$13</c:f>
              <c:strCache>
                <c:ptCount val="8"/>
                <c:pt idx="0">
                  <c:v>ALABAMA</c:v>
                </c:pt>
                <c:pt idx="1">
                  <c:v>HAWAII</c:v>
                </c:pt>
                <c:pt idx="2">
                  <c:v>MISSISSIPPI</c:v>
                </c:pt>
                <c:pt idx="3">
                  <c:v>NEW MEXICO</c:v>
                </c:pt>
                <c:pt idx="4">
                  <c:v>PROMEDIO 50 ESTADOS</c:v>
                </c:pt>
                <c:pt idx="5">
                  <c:v>PUERTO RICO (sin cp)</c:v>
                </c:pt>
                <c:pt idx="7">
                  <c:v> PUERTO RICO (con cp)</c:v>
                </c:pt>
              </c:strCache>
            </c:strRef>
          </c:cat>
          <c:val>
            <c:numRef>
              <c:f>'Grafica 15'!$G$6:$G$13</c:f>
              <c:numCache>
                <c:formatCode>0.0%</c:formatCode>
                <c:ptCount val="8"/>
                <c:pt idx="0">
                  <c:v>0.0695966849136446</c:v>
                </c:pt>
                <c:pt idx="1">
                  <c:v>0.0687248033837817</c:v>
                </c:pt>
                <c:pt idx="2">
                  <c:v>0.0632504043295498</c:v>
                </c:pt>
                <c:pt idx="3">
                  <c:v>0.0790484496247398</c:v>
                </c:pt>
                <c:pt idx="4">
                  <c:v>0.055160256571369</c:v>
                </c:pt>
                <c:pt idx="5">
                  <c:v>0.0889728828092838</c:v>
                </c:pt>
                <c:pt idx="7">
                  <c:v>0.273281472301559</c:v>
                </c:pt>
              </c:numCache>
            </c:numRef>
          </c:val>
        </c:ser>
        <c:dLbls>
          <c:showVal val="1"/>
        </c:dLbls>
        <c:gapWidth val="182"/>
        <c:axId val="575011416"/>
        <c:axId val="878993672"/>
      </c:barChart>
      <c:catAx>
        <c:axId val="5750114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993672"/>
        <c:crosses val="autoZero"/>
        <c:auto val="1"/>
        <c:lblAlgn val="ctr"/>
        <c:lblOffset val="100"/>
      </c:catAx>
      <c:valAx>
        <c:axId val="878993672"/>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0114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accent1"/>
      </a:solidFill>
      <a:round/>
    </a:ln>
    <a:effectLst/>
  </c:spPr>
  <c:txPr>
    <a:bodyPr/>
    <a:lstStyle/>
    <a:p>
      <a:pPr>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200">
                <a:latin typeface="Arial" pitchFamily="34" charset="0"/>
                <a:cs typeface="Arial" pitchFamily="34" charset="0"/>
              </a:rPr>
              <a:t>Gráfica</a:t>
            </a:r>
            <a:r>
              <a:rPr lang="en-US" sz="1200" baseline="0">
                <a:latin typeface="Arial" pitchFamily="34" charset="0"/>
                <a:cs typeface="Arial" pitchFamily="34" charset="0"/>
              </a:rPr>
              <a:t> 2 </a:t>
            </a:r>
            <a:endParaRPr lang="en-US" sz="1200">
              <a:latin typeface="Arial" pitchFamily="34" charset="0"/>
              <a:cs typeface="Arial" pitchFamily="34" charset="0"/>
            </a:endParaRPr>
          </a:p>
          <a:p>
            <a:pPr>
              <a:defRPr/>
            </a:pPr>
            <a:r>
              <a:rPr lang="en-US" sz="1200">
                <a:latin typeface="Arial" pitchFamily="34" charset="0"/>
                <a:cs typeface="Arial" pitchFamily="34" charset="0"/>
              </a:rPr>
              <a:t>Importaciones a Puerto Rico por Lugar de Origen </a:t>
            </a:r>
          </a:p>
          <a:p>
            <a:pPr>
              <a:defRPr/>
            </a:pPr>
            <a:r>
              <a:rPr lang="en-US" sz="1200">
                <a:latin typeface="Arial" pitchFamily="34" charset="0"/>
                <a:cs typeface="Arial" pitchFamily="34" charset="0"/>
              </a:rPr>
              <a:t>2007 a 2013</a:t>
            </a:r>
          </a:p>
          <a:p>
            <a:pPr>
              <a:defRPr/>
            </a:pPr>
            <a:endParaRPr lang="en-US"/>
          </a:p>
        </c:rich>
      </c:tx>
      <c:layout>
        <c:manualLayout>
          <c:xMode val="edge"/>
          <c:yMode val="edge"/>
          <c:x val="0.104945903255306"/>
          <c:y val="0.022920759659463"/>
        </c:manualLayout>
      </c:layout>
    </c:title>
    <c:plotArea>
      <c:layout>
        <c:manualLayout>
          <c:layoutTarget val="inner"/>
          <c:xMode val="edge"/>
          <c:yMode val="edge"/>
          <c:x val="0.182010044020088"/>
          <c:y val="0.361703273932865"/>
          <c:w val="0.783869221071776"/>
          <c:h val="0.55039618731869"/>
        </c:manualLayout>
      </c:layout>
      <c:barChart>
        <c:barDir val="col"/>
        <c:grouping val="stacked"/>
        <c:ser>
          <c:idx val="0"/>
          <c:order val="0"/>
          <c:tx>
            <c:v>Importaciones de EEUU</c:v>
          </c:tx>
          <c:dLbls>
            <c:numFmt formatCode="#,##0" sourceLinked="0"/>
            <c:showVal val="1"/>
          </c:dLbls>
          <c:cat>
            <c:numRef>
              <c:f>('[2]importaciones 06a13 '!$C$2,'[2]importaciones 06a13 '!$D$2,'[2]importaciones 06a13 '!$F$2)</c:f>
              <c:numCache>
                <c:formatCode>General</c:formatCode>
                <c:ptCount val="3"/>
                <c:pt idx="0">
                  <c:v>2007.0</c:v>
                </c:pt>
                <c:pt idx="1">
                  <c:v>2010.0</c:v>
                </c:pt>
                <c:pt idx="2">
                  <c:v>2013.0</c:v>
                </c:pt>
              </c:numCache>
            </c:numRef>
          </c:cat>
          <c:val>
            <c:numRef>
              <c:f>('[2]importaciones 06a13 '!$C$182,'[2]importaciones 06a13 '!$D$182,'[2]importaciones 06a13 '!$F$182)</c:f>
              <c:numCache>
                <c:formatCode>General</c:formatCode>
                <c:ptCount val="3"/>
                <c:pt idx="0">
                  <c:v>2.24E10</c:v>
                </c:pt>
                <c:pt idx="1">
                  <c:v>2.06E10</c:v>
                </c:pt>
                <c:pt idx="2">
                  <c:v>1.88E10</c:v>
                </c:pt>
              </c:numCache>
            </c:numRef>
          </c:val>
        </c:ser>
        <c:ser>
          <c:idx val="1"/>
          <c:order val="1"/>
          <c:tx>
            <c:v>Importaciones del Resto del Mundo</c:v>
          </c:tx>
          <c:dLbls>
            <c:numFmt formatCode="#,##0" sourceLinked="0"/>
            <c:showVal val="1"/>
          </c:dLbls>
          <c:cat>
            <c:numRef>
              <c:f>('[2]importaciones 06a13 '!$C$2,'[2]importaciones 06a13 '!$D$2,'[2]importaciones 06a13 '!$F$2)</c:f>
              <c:numCache>
                <c:formatCode>General</c:formatCode>
                <c:ptCount val="3"/>
                <c:pt idx="0">
                  <c:v>2007.0</c:v>
                </c:pt>
                <c:pt idx="1">
                  <c:v>2010.0</c:v>
                </c:pt>
                <c:pt idx="2">
                  <c:v>2013.0</c:v>
                </c:pt>
              </c:numCache>
            </c:numRef>
          </c:cat>
          <c:val>
            <c:numRef>
              <c:f>('[2]importaciones 06a13 '!$C$180,'[2]importaciones 06a13 '!$D$180,'[2]importaciones 06a13 '!$F$180)</c:f>
              <c:numCache>
                <c:formatCode>General</c:formatCode>
                <c:ptCount val="3"/>
                <c:pt idx="0">
                  <c:v>2.2516979638E10</c:v>
                </c:pt>
                <c:pt idx="1">
                  <c:v>2.0834968936E10</c:v>
                </c:pt>
                <c:pt idx="2">
                  <c:v>2.1729991042E10</c:v>
                </c:pt>
              </c:numCache>
            </c:numRef>
          </c:val>
        </c:ser>
        <c:dLbls>
          <c:showVal val="1"/>
        </c:dLbls>
        <c:gapWidth val="95"/>
        <c:overlap val="100"/>
        <c:axId val="552902648"/>
        <c:axId val="893681864"/>
      </c:barChart>
      <c:catAx>
        <c:axId val="552902648"/>
        <c:scaling>
          <c:orientation val="minMax"/>
        </c:scaling>
        <c:axPos val="b"/>
        <c:numFmt formatCode="General" sourceLinked="1"/>
        <c:majorTickMark val="none"/>
        <c:tickLblPos val="nextTo"/>
        <c:crossAx val="893681864"/>
        <c:crosses val="autoZero"/>
        <c:auto val="1"/>
        <c:lblAlgn val="ctr"/>
        <c:lblOffset val="100"/>
      </c:catAx>
      <c:valAx>
        <c:axId val="893681864"/>
        <c:scaling>
          <c:orientation val="minMax"/>
        </c:scaling>
        <c:axPos val="l"/>
        <c:numFmt formatCode="General" sourceLinked="1"/>
        <c:tickLblPos val="nextTo"/>
        <c:crossAx val="552902648"/>
        <c:crosses val="autoZero"/>
        <c:crossBetween val="between"/>
        <c:dispUnits>
          <c:builtInUnit val="millions"/>
          <c:dispUnitsLbl>
            <c:tx>
              <c:rich>
                <a:bodyPr/>
                <a:lstStyle/>
                <a:p>
                  <a:pPr>
                    <a:defRPr/>
                  </a:pPr>
                  <a:r>
                    <a:rPr lang="es-ES"/>
                    <a:t>Milliones</a:t>
                  </a:r>
                </a:p>
              </c:rich>
            </c:tx>
          </c:dispUnitsLbl>
        </c:dispUnits>
      </c:valAx>
    </c:plotArea>
    <c:legend>
      <c:legendPos val="t"/>
      <c:layout>
        <c:manualLayout>
          <c:xMode val="edge"/>
          <c:yMode val="edge"/>
          <c:x val="0.118176347866019"/>
          <c:y val="0.258349705304519"/>
          <c:w val="0.793813018847756"/>
          <c:h val="0.0592105873799174"/>
        </c:manualLayout>
      </c:layout>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latin typeface="Arial" pitchFamily="34" charset="0"/>
                <a:cs typeface="Arial" pitchFamily="34" charset="0"/>
              </a:rPr>
              <a:t>Gráfica</a:t>
            </a:r>
            <a:r>
              <a:rPr lang="en-US" sz="1200" baseline="0">
                <a:latin typeface="Arial" pitchFamily="34" charset="0"/>
                <a:cs typeface="Arial" pitchFamily="34" charset="0"/>
              </a:rPr>
              <a:t> 3</a:t>
            </a:r>
            <a:endParaRPr lang="en-US" sz="12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latin typeface="Arial" pitchFamily="34" charset="0"/>
                <a:cs typeface="Arial" pitchFamily="34" charset="0"/>
              </a:rPr>
              <a:t>Cambio Porcentual </a:t>
            </a:r>
            <a:r>
              <a:rPr lang="en-US" sz="1200" b="1" i="0" baseline="0">
                <a:latin typeface="Arial" pitchFamily="34" charset="0"/>
                <a:cs typeface="Arial" pitchFamily="34" charset="0"/>
              </a:rPr>
              <a:t>del 2003 al 2013</a:t>
            </a:r>
            <a:endParaRPr lang="en-US" sz="12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latin typeface="Arial" pitchFamily="34" charset="0"/>
                <a:cs typeface="Arial" pitchFamily="34" charset="0"/>
              </a:rPr>
              <a:t> en las Exportaciones a Países</a:t>
            </a:r>
            <a:r>
              <a:rPr lang="en-US" sz="1200" baseline="0">
                <a:latin typeface="Arial" pitchFamily="34" charset="0"/>
                <a:cs typeface="Arial" pitchFamily="34" charset="0"/>
              </a:rPr>
              <a:t> con Tratados Comerciales con EEUU</a:t>
            </a:r>
          </a:p>
        </c:rich>
      </c:tx>
      <c:layout>
        <c:manualLayout>
          <c:xMode val="edge"/>
          <c:yMode val="edge"/>
          <c:x val="0.117713651681227"/>
          <c:y val="0.0084745795664431"/>
        </c:manualLayout>
      </c:layout>
    </c:title>
    <c:plotArea>
      <c:layout/>
      <c:barChart>
        <c:barDir val="bar"/>
        <c:grouping val="clustered"/>
        <c:ser>
          <c:idx val="0"/>
          <c:order val="0"/>
          <c:tx>
            <c:strRef>
              <c:f>'gráfica 3'!$B$3</c:f>
              <c:strCache>
                <c:ptCount val="1"/>
                <c:pt idx="0">
                  <c:v>Estados Unidos</c:v>
                </c:pt>
              </c:strCache>
            </c:strRef>
          </c:tx>
          <c:cat>
            <c:strRef>
              <c:f>'gráfica 3'!$A$6:$A$24</c:f>
              <c:strCache>
                <c:ptCount val="19"/>
                <c:pt idx="0">
                  <c:v>Perú</c:v>
                </c:pt>
                <c:pt idx="1">
                  <c:v>Chile</c:v>
                </c:pt>
                <c:pt idx="2">
                  <c:v>Australia</c:v>
                </c:pt>
                <c:pt idx="3">
                  <c:v>Guatemala</c:v>
                </c:pt>
                <c:pt idx="4">
                  <c:v>Corea del Sur</c:v>
                </c:pt>
                <c:pt idx="5">
                  <c:v>México</c:v>
                </c:pt>
                <c:pt idx="6">
                  <c:v>Colombia</c:v>
                </c:pt>
                <c:pt idx="7">
                  <c:v>Panama</c:v>
                </c:pt>
                <c:pt idx="8">
                  <c:v>Costa Rica</c:v>
                </c:pt>
                <c:pt idx="9">
                  <c:v>Nicaragua</c:v>
                </c:pt>
                <c:pt idx="10">
                  <c:v>Honduras</c:v>
                </c:pt>
                <c:pt idx="11">
                  <c:v>República Dominicana</c:v>
                </c:pt>
                <c:pt idx="12">
                  <c:v>Canadá</c:v>
                </c:pt>
                <c:pt idx="13">
                  <c:v>Singapur</c:v>
                </c:pt>
                <c:pt idx="14">
                  <c:v>Jordán</c:v>
                </c:pt>
                <c:pt idx="15">
                  <c:v>El Salvador</c:v>
                </c:pt>
                <c:pt idx="16">
                  <c:v>Marruecos</c:v>
                </c:pt>
                <c:pt idx="17">
                  <c:v>Israel</c:v>
                </c:pt>
                <c:pt idx="18">
                  <c:v>Baréin</c:v>
                </c:pt>
              </c:strCache>
            </c:strRef>
          </c:cat>
          <c:val>
            <c:numRef>
              <c:f>'gráfica 3'!$B$6:$B$24</c:f>
              <c:numCache>
                <c:formatCode>General</c:formatCode>
                <c:ptCount val="19"/>
                <c:pt idx="0">
                  <c:v>492.0119</c:v>
                </c:pt>
                <c:pt idx="1">
                  <c:v>547.6776</c:v>
                </c:pt>
                <c:pt idx="2">
                  <c:v>99.02321</c:v>
                </c:pt>
                <c:pt idx="3">
                  <c:v>143.9916</c:v>
                </c:pt>
                <c:pt idx="4">
                  <c:v>72.62393999999995</c:v>
                </c:pt>
                <c:pt idx="5">
                  <c:v>132.1618</c:v>
                </c:pt>
                <c:pt idx="6">
                  <c:v>395.4011999999995</c:v>
                </c:pt>
                <c:pt idx="7">
                  <c:v>483.1956</c:v>
                </c:pt>
                <c:pt idx="8">
                  <c:v>111.8097</c:v>
                </c:pt>
                <c:pt idx="9">
                  <c:v>110.7264</c:v>
                </c:pt>
                <c:pt idx="10">
                  <c:v>86.74245</c:v>
                </c:pt>
                <c:pt idx="11">
                  <c:v>71.11553</c:v>
                </c:pt>
                <c:pt idx="12">
                  <c:v>76.6937</c:v>
                </c:pt>
                <c:pt idx="13">
                  <c:v>85.52867</c:v>
                </c:pt>
                <c:pt idx="14">
                  <c:v>323.8404</c:v>
                </c:pt>
                <c:pt idx="15">
                  <c:v>73.95937999999998</c:v>
                </c:pt>
                <c:pt idx="16">
                  <c:v>391.9652999999997</c:v>
                </c:pt>
                <c:pt idx="17">
                  <c:v>99.33036999999998</c:v>
                </c:pt>
                <c:pt idx="18">
                  <c:v>100.2242</c:v>
                </c:pt>
              </c:numCache>
            </c:numRef>
          </c:val>
        </c:ser>
        <c:ser>
          <c:idx val="1"/>
          <c:order val="1"/>
          <c:tx>
            <c:strRef>
              <c:f>'gráfica 3'!$C$3</c:f>
              <c:strCache>
                <c:ptCount val="1"/>
                <c:pt idx="0">
                  <c:v>Puerto Rico</c:v>
                </c:pt>
              </c:strCache>
            </c:strRef>
          </c:tx>
          <c:cat>
            <c:strRef>
              <c:f>'gráfica 3'!$A$6:$A$24</c:f>
              <c:strCache>
                <c:ptCount val="19"/>
                <c:pt idx="0">
                  <c:v>Perú</c:v>
                </c:pt>
                <c:pt idx="1">
                  <c:v>Chile</c:v>
                </c:pt>
                <c:pt idx="2">
                  <c:v>Australia</c:v>
                </c:pt>
                <c:pt idx="3">
                  <c:v>Guatemala</c:v>
                </c:pt>
                <c:pt idx="4">
                  <c:v>Corea del Sur</c:v>
                </c:pt>
                <c:pt idx="5">
                  <c:v>México</c:v>
                </c:pt>
                <c:pt idx="6">
                  <c:v>Colombia</c:v>
                </c:pt>
                <c:pt idx="7">
                  <c:v>Panama</c:v>
                </c:pt>
                <c:pt idx="8">
                  <c:v>Costa Rica</c:v>
                </c:pt>
                <c:pt idx="9">
                  <c:v>Nicaragua</c:v>
                </c:pt>
                <c:pt idx="10">
                  <c:v>Honduras</c:v>
                </c:pt>
                <c:pt idx="11">
                  <c:v>República Dominicana</c:v>
                </c:pt>
                <c:pt idx="12">
                  <c:v>Canadá</c:v>
                </c:pt>
                <c:pt idx="13">
                  <c:v>Singapur</c:v>
                </c:pt>
                <c:pt idx="14">
                  <c:v>Jordán</c:v>
                </c:pt>
                <c:pt idx="15">
                  <c:v>El Salvador</c:v>
                </c:pt>
                <c:pt idx="16">
                  <c:v>Marruecos</c:v>
                </c:pt>
                <c:pt idx="17">
                  <c:v>Israel</c:v>
                </c:pt>
                <c:pt idx="18">
                  <c:v>Baréin</c:v>
                </c:pt>
              </c:strCache>
            </c:strRef>
          </c:cat>
          <c:val>
            <c:numRef>
              <c:f>'gráfica 3'!$C$6:$C$24</c:f>
              <c:numCache>
                <c:formatCode>General</c:formatCode>
                <c:ptCount val="19"/>
                <c:pt idx="0">
                  <c:v>532.6997000000006</c:v>
                </c:pt>
                <c:pt idx="1">
                  <c:v>404.4126999999997</c:v>
                </c:pt>
                <c:pt idx="2">
                  <c:v>236.2565</c:v>
                </c:pt>
                <c:pt idx="3">
                  <c:v>164.9432</c:v>
                </c:pt>
                <c:pt idx="4">
                  <c:v>117.7611000000001</c:v>
                </c:pt>
                <c:pt idx="5">
                  <c:v>110.3176000000001</c:v>
                </c:pt>
                <c:pt idx="6">
                  <c:v>87.11253999999998</c:v>
                </c:pt>
                <c:pt idx="7">
                  <c:v>70.47416000000002</c:v>
                </c:pt>
                <c:pt idx="8">
                  <c:v>35.66758</c:v>
                </c:pt>
                <c:pt idx="9">
                  <c:v>-2.104118</c:v>
                </c:pt>
                <c:pt idx="10">
                  <c:v>-7.89616</c:v>
                </c:pt>
                <c:pt idx="11">
                  <c:v>-17.04778999999998</c:v>
                </c:pt>
                <c:pt idx="12">
                  <c:v>-18.51111</c:v>
                </c:pt>
                <c:pt idx="13">
                  <c:v>-30.47439999999999</c:v>
                </c:pt>
                <c:pt idx="14">
                  <c:v>-32.60667</c:v>
                </c:pt>
                <c:pt idx="15">
                  <c:v>-44.05965</c:v>
                </c:pt>
                <c:pt idx="16">
                  <c:v>-82.2438</c:v>
                </c:pt>
                <c:pt idx="17">
                  <c:v>-83.67722</c:v>
                </c:pt>
                <c:pt idx="18">
                  <c:v>-86.43618</c:v>
                </c:pt>
              </c:numCache>
            </c:numRef>
          </c:val>
        </c:ser>
        <c:dLbls/>
        <c:axId val="893324248"/>
        <c:axId val="894103320"/>
      </c:barChart>
      <c:catAx>
        <c:axId val="893324248"/>
        <c:scaling>
          <c:orientation val="minMax"/>
        </c:scaling>
        <c:axPos val="l"/>
        <c:tickLblPos val="low"/>
        <c:txPr>
          <a:bodyPr/>
          <a:lstStyle/>
          <a:p>
            <a:pPr>
              <a:defRPr sz="900">
                <a:latin typeface="Arial Narrow" pitchFamily="34" charset="0"/>
              </a:defRPr>
            </a:pPr>
            <a:endParaRPr lang="en-US"/>
          </a:p>
        </c:txPr>
        <c:crossAx val="894103320"/>
        <c:crosses val="autoZero"/>
        <c:auto val="1"/>
        <c:lblAlgn val="ctr"/>
        <c:lblOffset val="100"/>
      </c:catAx>
      <c:valAx>
        <c:axId val="894103320"/>
        <c:scaling>
          <c:orientation val="minMax"/>
        </c:scaling>
        <c:axPos val="b"/>
        <c:majorGridlines/>
        <c:numFmt formatCode="General" sourceLinked="1"/>
        <c:tickLblPos val="nextTo"/>
        <c:crossAx val="893324248"/>
        <c:crosses val="autoZero"/>
        <c:crossBetween val="between"/>
      </c:valAx>
    </c:plotArea>
    <c:legend>
      <c:legendPos val="b"/>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000">
                <a:latin typeface="Arial Narrow" panose="020B0606020202030204" pitchFamily="34" charset="0"/>
                <a:cs typeface="Arial" pitchFamily="34" charset="0"/>
              </a:rPr>
              <a:t>Gráfica</a:t>
            </a:r>
            <a:r>
              <a:rPr lang="en-US" sz="1000" baseline="0">
                <a:latin typeface="Arial Narrow" panose="020B0606020202030204" pitchFamily="34" charset="0"/>
                <a:cs typeface="Arial" pitchFamily="34" charset="0"/>
              </a:rPr>
              <a:t> 4</a:t>
            </a:r>
          </a:p>
          <a:p>
            <a:pPr>
              <a:defRPr/>
            </a:pPr>
            <a:r>
              <a:rPr lang="en-US" sz="1000" baseline="0">
                <a:latin typeface="Arial Narrow" panose="020B0606020202030204" pitchFamily="34" charset="0"/>
                <a:cs typeface="Arial" pitchFamily="34" charset="0"/>
              </a:rPr>
              <a:t>Cambio porcentual en las Exportaciones de Puerto Rico  a Diversos Bloques Comerciales  (</a:t>
            </a:r>
            <a:r>
              <a:rPr lang="en-US" sz="1000">
                <a:latin typeface="Arial Narrow" panose="020B0606020202030204" pitchFamily="34" charset="0"/>
                <a:cs typeface="Arial" pitchFamily="34" charset="0"/>
              </a:rPr>
              <a:t>2003-2013)</a:t>
            </a:r>
          </a:p>
        </c:rich>
      </c:tx>
    </c:title>
    <c:plotArea>
      <c:layout/>
      <c:barChart>
        <c:barDir val="bar"/>
        <c:grouping val="clustered"/>
        <c:ser>
          <c:idx val="1"/>
          <c:order val="0"/>
          <c:tx>
            <c:strRef>
              <c:f>'creci por region'!$V$3</c:f>
              <c:strCache>
                <c:ptCount val="1"/>
                <c:pt idx="0">
                  <c:v>2003-2013</c:v>
                </c:pt>
              </c:strCache>
            </c:strRef>
          </c:tx>
          <c:cat>
            <c:strRef>
              <c:f>'creci por region'!$I$4:$I$10</c:f>
              <c:strCache>
                <c:ptCount val="7"/>
                <c:pt idx="0">
                  <c:v>CBERA</c:v>
                </c:pt>
                <c:pt idx="1">
                  <c:v>CAFTA</c:v>
                </c:pt>
                <c:pt idx="2">
                  <c:v>NAFTA</c:v>
                </c:pt>
                <c:pt idx="3">
                  <c:v>Comunidad Andina</c:v>
                </c:pt>
                <c:pt idx="4">
                  <c:v>Caricom</c:v>
                </c:pt>
                <c:pt idx="5">
                  <c:v>OECD</c:v>
                </c:pt>
                <c:pt idx="6">
                  <c:v>Mercosur</c:v>
                </c:pt>
              </c:strCache>
            </c:strRef>
          </c:cat>
          <c:val>
            <c:numRef>
              <c:f>'creci por region'!$V$4:$V$10</c:f>
              <c:numCache>
                <c:formatCode>0%</c:formatCode>
                <c:ptCount val="7"/>
                <c:pt idx="0">
                  <c:v>0.222769954827189</c:v>
                </c:pt>
                <c:pt idx="1">
                  <c:v>-0.146755243750454</c:v>
                </c:pt>
                <c:pt idx="2">
                  <c:v>0.0107206741768244</c:v>
                </c:pt>
                <c:pt idx="3">
                  <c:v>1.223906400856584</c:v>
                </c:pt>
                <c:pt idx="4">
                  <c:v>-0.181820639076373</c:v>
                </c:pt>
                <c:pt idx="5">
                  <c:v>0.790446487713692</c:v>
                </c:pt>
                <c:pt idx="6">
                  <c:v>1.903571460986762</c:v>
                </c:pt>
              </c:numCache>
            </c:numRef>
          </c:val>
        </c:ser>
        <c:dLbls/>
        <c:axId val="879431944"/>
        <c:axId val="891127048"/>
      </c:barChart>
      <c:catAx>
        <c:axId val="879431944"/>
        <c:scaling>
          <c:orientation val="minMax"/>
        </c:scaling>
        <c:axPos val="l"/>
        <c:numFmt formatCode="General" sourceLinked="0"/>
        <c:majorTickMark val="none"/>
        <c:tickLblPos val="low"/>
        <c:txPr>
          <a:bodyPr/>
          <a:lstStyle/>
          <a:p>
            <a:pPr>
              <a:defRPr sz="900">
                <a:latin typeface="Arial Narrow" pitchFamily="34" charset="0"/>
              </a:defRPr>
            </a:pPr>
            <a:endParaRPr lang="en-US"/>
          </a:p>
        </c:txPr>
        <c:crossAx val="891127048"/>
        <c:crosses val="autoZero"/>
        <c:auto val="1"/>
        <c:lblAlgn val="ctr"/>
        <c:lblOffset val="100"/>
      </c:catAx>
      <c:valAx>
        <c:axId val="891127048"/>
        <c:scaling>
          <c:orientation val="minMax"/>
        </c:scaling>
        <c:axPos val="b"/>
        <c:majorGridlines/>
        <c:numFmt formatCode="0%" sourceLinked="1"/>
        <c:majorTickMark val="none"/>
        <c:tickLblPos val="nextTo"/>
        <c:crossAx val="879431944"/>
        <c:crosses val="autoZero"/>
        <c:crossBetween val="between"/>
      </c:valAx>
      <c:dTable>
        <c:showHorzBorder val="1"/>
        <c:showVertBorder val="1"/>
        <c:showOutline val="1"/>
        <c:showKeys val="1"/>
        <c:txPr>
          <a:bodyPr/>
          <a:lstStyle/>
          <a:p>
            <a:pPr rtl="0">
              <a:defRPr sz="900">
                <a:latin typeface="Arial Narrow" pitchFamily="34" charset="0"/>
              </a:defRPr>
            </a:pPr>
            <a:endParaRPr lang="en-US"/>
          </a:p>
        </c:txPr>
      </c:dTable>
    </c:plotArea>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en-US"/>
  <c:style val="18"/>
  <c:clrMapOvr bg1="lt1" tx1="dk1" bg2="lt2" tx2="dk2" accent1="accent1" accent2="accent2" accent3="accent3" accent4="accent4" accent5="accent5" accent6="accent6" hlink="hlink" folHlink="folHlink"/>
  <c:chart>
    <c:plotArea>
      <c:layout/>
      <c:barChart>
        <c:barDir val="col"/>
        <c:grouping val="clustered"/>
        <c:ser>
          <c:idx val="0"/>
          <c:order val="0"/>
          <c:tx>
            <c:v>Rango</c:v>
          </c:tx>
          <c:dLbls>
            <c:spPr>
              <a:noFill/>
              <a:ln>
                <a:noFill/>
              </a:ln>
              <a:effectLst/>
            </c:spPr>
            <c:showVal val="1"/>
            <c:extLst>
              <c:ext xmlns:c15="http://schemas.microsoft.com/office/drawing/2012/chart" uri="{CE6537A1-D6FC-4f65-9D91-7224C49458BB}">
                <c15:showLeaderLines val="0"/>
              </c:ext>
            </c:extLst>
          </c:dLbls>
          <c:cat>
            <c:strRef>
              <c:f>Sheet1!$I$10:$I$15</c:f>
              <c:strCache>
                <c:ptCount val="6"/>
                <c:pt idx="0">
                  <c:v>2007-08</c:v>
                </c:pt>
                <c:pt idx="1">
                  <c:v>2008-09</c:v>
                </c:pt>
                <c:pt idx="2">
                  <c:v>2009-10</c:v>
                </c:pt>
                <c:pt idx="3">
                  <c:v>2010-11</c:v>
                </c:pt>
                <c:pt idx="4">
                  <c:v>2011-12</c:v>
                </c:pt>
                <c:pt idx="5">
                  <c:v>2012-13</c:v>
                </c:pt>
              </c:strCache>
            </c:strRef>
          </c:cat>
          <c:val>
            <c:numRef>
              <c:f>Sheet1!$J$10:$J$15</c:f>
              <c:numCache>
                <c:formatCode>General</c:formatCode>
                <c:ptCount val="6"/>
                <c:pt idx="0">
                  <c:v>36.0</c:v>
                </c:pt>
                <c:pt idx="1">
                  <c:v>41.0</c:v>
                </c:pt>
                <c:pt idx="2">
                  <c:v>42.0</c:v>
                </c:pt>
                <c:pt idx="3">
                  <c:v>41.0</c:v>
                </c:pt>
                <c:pt idx="4">
                  <c:v>35.0</c:v>
                </c:pt>
                <c:pt idx="5">
                  <c:v>31.0</c:v>
                </c:pt>
              </c:numCache>
            </c:numRef>
          </c:val>
        </c:ser>
        <c:ser>
          <c:idx val="1"/>
          <c:order val="1"/>
          <c:tx>
            <c:v>Calificación (score)</c:v>
          </c:tx>
          <c:dLbls>
            <c:spPr>
              <a:noFill/>
              <a:ln>
                <a:noFill/>
              </a:ln>
              <a:effectLst/>
            </c:spPr>
            <c:showVal val="1"/>
            <c:extLst>
              <c:ext xmlns:c15="http://schemas.microsoft.com/office/drawing/2012/chart" uri="{CE6537A1-D6FC-4f65-9D91-7224C49458BB}">
                <c15:showLeaderLines val="0"/>
              </c:ext>
            </c:extLst>
          </c:dLbls>
          <c:cat>
            <c:strRef>
              <c:f>Sheet1!$I$10:$I$15</c:f>
              <c:strCache>
                <c:ptCount val="6"/>
                <c:pt idx="0">
                  <c:v>2007-08</c:v>
                </c:pt>
                <c:pt idx="1">
                  <c:v>2008-09</c:v>
                </c:pt>
                <c:pt idx="2">
                  <c:v>2009-10</c:v>
                </c:pt>
                <c:pt idx="3">
                  <c:v>2010-11</c:v>
                </c:pt>
                <c:pt idx="4">
                  <c:v>2011-12</c:v>
                </c:pt>
                <c:pt idx="5">
                  <c:v>2012-13</c:v>
                </c:pt>
              </c:strCache>
            </c:strRef>
          </c:cat>
          <c:val>
            <c:numRef>
              <c:f>Sheet1!$K$10:$K$15</c:f>
              <c:numCache>
                <c:formatCode>General</c:formatCode>
                <c:ptCount val="6"/>
                <c:pt idx="0">
                  <c:v>4.5</c:v>
                </c:pt>
                <c:pt idx="1">
                  <c:v>4.5</c:v>
                </c:pt>
                <c:pt idx="2">
                  <c:v>4.5</c:v>
                </c:pt>
                <c:pt idx="3">
                  <c:v>4.5</c:v>
                </c:pt>
                <c:pt idx="4">
                  <c:v>4.6</c:v>
                </c:pt>
                <c:pt idx="5">
                  <c:v>4.7</c:v>
                </c:pt>
              </c:numCache>
            </c:numRef>
          </c:val>
        </c:ser>
        <c:dLbls>
          <c:showVal val="1"/>
        </c:dLbls>
        <c:axId val="626195176"/>
        <c:axId val="890583096"/>
      </c:barChart>
      <c:catAx>
        <c:axId val="626195176"/>
        <c:scaling>
          <c:orientation val="minMax"/>
        </c:scaling>
        <c:axPos val="b"/>
        <c:numFmt formatCode="General" sourceLinked="0"/>
        <c:tickLblPos val="nextTo"/>
        <c:crossAx val="890583096"/>
        <c:crosses val="autoZero"/>
        <c:auto val="1"/>
        <c:lblAlgn val="ctr"/>
        <c:lblOffset val="100"/>
      </c:catAx>
      <c:valAx>
        <c:axId val="890583096"/>
        <c:scaling>
          <c:orientation val="minMax"/>
        </c:scaling>
        <c:axPos val="l"/>
        <c:majorGridlines/>
        <c:numFmt formatCode="General" sourceLinked="1"/>
        <c:tickLblPos val="nextTo"/>
        <c:crossAx val="626195176"/>
        <c:crosses val="autoZero"/>
        <c:crossBetween val="between"/>
      </c:valAx>
    </c:plotArea>
    <c:legend>
      <c:legendPos val="b"/>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200" b="1" i="0" baseline="0">
                <a:latin typeface="Arial Narrow" panose="020B0606020202030204" pitchFamily="34" charset="0"/>
                <a:cs typeface="Arial" pitchFamily="34" charset="0"/>
              </a:rPr>
              <a:t>Gráfica 2: </a:t>
            </a:r>
            <a:endParaRPr lang="en-US" sz="1200">
              <a:latin typeface="Arial Narrow" panose="020B0606020202030204" pitchFamily="34" charset="0"/>
              <a:cs typeface="Arial" pitchFamily="34" charset="0"/>
            </a:endParaRPr>
          </a:p>
          <a:p>
            <a:pPr>
              <a:defRPr/>
            </a:pPr>
            <a:r>
              <a:rPr lang="en-US" sz="1200" b="1" i="0" baseline="0">
                <a:latin typeface="Arial Narrow" panose="020B0606020202030204" pitchFamily="34" charset="0"/>
                <a:cs typeface="Arial" pitchFamily="34" charset="0"/>
              </a:rPr>
              <a:t>Distribución Fuentes de Ingreso</a:t>
            </a:r>
            <a:endParaRPr lang="en-US" sz="1200">
              <a:latin typeface="Arial Narrow" pitchFamily="34" charset="0"/>
            </a:endParaRPr>
          </a:p>
          <a:p>
            <a:pPr>
              <a:defRPr/>
            </a:pPr>
            <a:r>
              <a:rPr lang="en-US" sz="1000">
                <a:latin typeface="Arial Narrow" pitchFamily="34" charset="0"/>
              </a:rPr>
              <a:t>Estados de EEUU (Total) , 2011</a:t>
            </a:r>
          </a:p>
        </c:rich>
      </c:tx>
      <c:layout>
        <c:manualLayout>
          <c:xMode val="edge"/>
          <c:yMode val="edge"/>
          <c:x val="0.0052030833808112"/>
          <c:y val="0.0231481481481481"/>
        </c:manualLayout>
      </c:layout>
    </c:title>
    <c:plotArea>
      <c:layout>
        <c:manualLayout>
          <c:layoutTarget val="inner"/>
          <c:xMode val="edge"/>
          <c:yMode val="edge"/>
          <c:x val="0.0993694225721787"/>
          <c:y val="0.276367016622922"/>
          <c:w val="0.400234689413823"/>
          <c:h val="0.66705781568971"/>
        </c:manualLayout>
      </c:layout>
      <c:pieChart>
        <c:varyColors val="1"/>
        <c:ser>
          <c:idx val="0"/>
          <c:order val="0"/>
          <c:tx>
            <c:v>Total Estados de EEUU</c:v>
          </c:tx>
          <c:dLbls>
            <c:spPr>
              <a:noFill/>
              <a:ln>
                <a:noFill/>
              </a:ln>
              <a:effectLst/>
            </c:spPr>
            <c:showPercent val="1"/>
            <c:showLeaderLines val="1"/>
            <c:extLst>
              <c:ext xmlns:c15="http://schemas.microsoft.com/office/drawing/2012/chart" uri="{CE6537A1-D6FC-4f65-9D91-7224C49458BB}"/>
            </c:extLst>
          </c:dLbls>
          <c:cat>
            <c:strRef>
              <c:f>'grafica 1 y 2 '!$A$6:$A$12</c:f>
              <c:strCache>
                <c:ptCount val="7"/>
                <c:pt idx="0">
                  <c:v>Contribución sobre ingreso de individuos</c:v>
                </c:pt>
                <c:pt idx="1">
                  <c:v>Contribución sobre ingreso de corporaciones</c:v>
                </c:pt>
                <c:pt idx="2">
                  <c:v>Impuestos sobre el Consumo</c:v>
                </c:pt>
                <c:pt idx="3">
                  <c:v>Fondos Federales</c:v>
                </c:pt>
                <c:pt idx="4">
                  <c:v>Licencias</c:v>
                </c:pt>
                <c:pt idx="5">
                  <c:v>Otras Contribuciones</c:v>
                </c:pt>
                <c:pt idx="6">
                  <c:v>Otros Ingresos.</c:v>
                </c:pt>
              </c:strCache>
            </c:strRef>
          </c:cat>
          <c:val>
            <c:numRef>
              <c:f>'grafica 1 y 2 '!$C$6:$C$12</c:f>
              <c:numCache>
                <c:formatCode>_(* #,##0_);_(* \(#,##0\);_(* "-"??_);_(@_)</c:formatCode>
                <c:ptCount val="7"/>
                <c:pt idx="0">
                  <c:v>2.59613219E8</c:v>
                </c:pt>
                <c:pt idx="1">
                  <c:v>4.1280491E7</c:v>
                </c:pt>
                <c:pt idx="2">
                  <c:v>3.69476023E8</c:v>
                </c:pt>
                <c:pt idx="3">
                  <c:v>5.95028792E8</c:v>
                </c:pt>
                <c:pt idx="4">
                  <c:v>5.1700543E7</c:v>
                </c:pt>
                <c:pt idx="5">
                  <c:v>4.0308256E7</c:v>
                </c:pt>
                <c:pt idx="6">
                  <c:v>3.00970446E8</c:v>
                </c:pt>
              </c:numCache>
            </c:numRef>
          </c:val>
        </c:ser>
        <c:dLbls>
          <c:showPercent val="1"/>
        </c:dLbls>
        <c:firstSliceAng val="0"/>
      </c:pieChart>
    </c:plotArea>
    <c:legend>
      <c:legendPos val="r"/>
      <c:layout>
        <c:manualLayout>
          <c:xMode val="edge"/>
          <c:yMode val="edge"/>
          <c:x val="0.618854299056777"/>
          <c:y val="0.0415142898804319"/>
          <c:w val="0.334763511703895"/>
          <c:h val="0.872874015748035"/>
        </c:manualLayout>
      </c:layout>
      <c:txPr>
        <a:bodyPr/>
        <a:lstStyle/>
        <a:p>
          <a:pPr rtl="0">
            <a:defRPr sz="1000">
              <a:latin typeface="Arial Narrow" pitchFamily="34" charset="0"/>
            </a:defRPr>
          </a:pPr>
          <a:endParaRPr lang="en-US"/>
        </a:p>
      </c:txP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sz="1200"/>
            </a:pPr>
            <a:r>
              <a:rPr lang="es-PR" sz="1200"/>
              <a:t>Tasa</a:t>
            </a:r>
            <a:r>
              <a:rPr lang="es-PR" sz="1200" baseline="0"/>
              <a:t> de crecimiento del Producto Nacional Bruto </a:t>
            </a:r>
          </a:p>
          <a:p>
            <a:pPr>
              <a:defRPr sz="1200"/>
            </a:pPr>
            <a:r>
              <a:rPr lang="es-PR" sz="1200" baseline="0"/>
              <a:t>(% anual) </a:t>
            </a:r>
            <a:endParaRPr lang="es-PR" sz="1200"/>
          </a:p>
        </c:rich>
      </c:tx>
    </c:title>
    <c:plotArea>
      <c:layout/>
      <c:lineChart>
        <c:grouping val="standard"/>
        <c:ser>
          <c:idx val="0"/>
          <c:order val="0"/>
          <c:tx>
            <c:strRef>
              <c:f>Hoja1!$A$2</c:f>
              <c:strCache>
                <c:ptCount val="1"/>
                <c:pt idx="0">
                  <c:v>Estados Unidos</c:v>
                </c:pt>
              </c:strCache>
            </c:strRef>
          </c:tx>
          <c:marker>
            <c:symbol val="none"/>
          </c:marker>
          <c:cat>
            <c:strRef>
              <c:f>Hoja1!$B$1:$AO$1</c:f>
              <c:strCache>
                <c:ptCount val="40"/>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strCache>
            </c:strRef>
          </c:cat>
          <c:val>
            <c:numRef>
              <c:f>Hoja1!$B$2:$AO$2</c:f>
              <c:numCache>
                <c:formatCode>General</c:formatCode>
                <c:ptCount val="40"/>
                <c:pt idx="0">
                  <c:v>5.548930263348367</c:v>
                </c:pt>
                <c:pt idx="1">
                  <c:v>6.012384610455029</c:v>
                </c:pt>
                <c:pt idx="2">
                  <c:v>-0.459796887964346</c:v>
                </c:pt>
                <c:pt idx="3">
                  <c:v>-0.733337365367954</c:v>
                </c:pt>
                <c:pt idx="4">
                  <c:v>5.196008167650106</c:v>
                </c:pt>
                <c:pt idx="5">
                  <c:v>4.861995947559039</c:v>
                </c:pt>
                <c:pt idx="6">
                  <c:v>5.438484140040178</c:v>
                </c:pt>
                <c:pt idx="7">
                  <c:v>2.7435540620519</c:v>
                </c:pt>
                <c:pt idx="8">
                  <c:v>-0.094792443001254</c:v>
                </c:pt>
                <c:pt idx="9">
                  <c:v>2.823664429478361</c:v>
                </c:pt>
                <c:pt idx="10">
                  <c:v>-0.928038990486456</c:v>
                </c:pt>
                <c:pt idx="11">
                  <c:v>3.230537884029545</c:v>
                </c:pt>
                <c:pt idx="12">
                  <c:v>7.697615690336694</c:v>
                </c:pt>
                <c:pt idx="13">
                  <c:v>3.681119702510784</c:v>
                </c:pt>
                <c:pt idx="14">
                  <c:v>2.781117943580721</c:v>
                </c:pt>
                <c:pt idx="15">
                  <c:v>4.326034384194981</c:v>
                </c:pt>
                <c:pt idx="16">
                  <c:v>5.157462690054743</c:v>
                </c:pt>
                <c:pt idx="17">
                  <c:v>2.510402397521958</c:v>
                </c:pt>
                <c:pt idx="18">
                  <c:v>1.662039273248866</c:v>
                </c:pt>
                <c:pt idx="19">
                  <c:v>-0.0457580672723737</c:v>
                </c:pt>
                <c:pt idx="20">
                  <c:v>3.240601934581605</c:v>
                </c:pt>
                <c:pt idx="21">
                  <c:v>2.195501806297427</c:v>
                </c:pt>
                <c:pt idx="22">
                  <c:v>4.2525602474468</c:v>
                </c:pt>
                <c:pt idx="23">
                  <c:v>3.489654151642925</c:v>
                </c:pt>
                <c:pt idx="24">
                  <c:v>4.316810921227463</c:v>
                </c:pt>
                <c:pt idx="25">
                  <c:v>4.951904983199643</c:v>
                </c:pt>
                <c:pt idx="26">
                  <c:v>5.211250149122492</c:v>
                </c:pt>
                <c:pt idx="27">
                  <c:v>4.588669342192413</c:v>
                </c:pt>
                <c:pt idx="28">
                  <c:v>4.774746022031192</c:v>
                </c:pt>
                <c:pt idx="29">
                  <c:v>1.21143446846608</c:v>
                </c:pt>
                <c:pt idx="30">
                  <c:v>1.318908692205279</c:v>
                </c:pt>
                <c:pt idx="31">
                  <c:v>2.395532497163117</c:v>
                </c:pt>
                <c:pt idx="32">
                  <c:v>3.890964939397094</c:v>
                </c:pt>
                <c:pt idx="33">
                  <c:v>3.538813038971483</c:v>
                </c:pt>
                <c:pt idx="34">
                  <c:v>3.757290772118647</c:v>
                </c:pt>
                <c:pt idx="35">
                  <c:v>0.481133815514853</c:v>
                </c:pt>
                <c:pt idx="36">
                  <c:v>-0.524473200873587</c:v>
                </c:pt>
                <c:pt idx="37">
                  <c:v>-2.77955120209701</c:v>
                </c:pt>
                <c:pt idx="38">
                  <c:v>3.082788607967629</c:v>
                </c:pt>
                <c:pt idx="39">
                  <c:v>2.779654495208747</c:v>
                </c:pt>
              </c:numCache>
            </c:numRef>
          </c:val>
        </c:ser>
        <c:ser>
          <c:idx val="1"/>
          <c:order val="1"/>
          <c:tx>
            <c:strRef>
              <c:f>Hoja1!$A$3</c:f>
              <c:strCache>
                <c:ptCount val="1"/>
                <c:pt idx="0">
                  <c:v>Puerto Rico </c:v>
                </c:pt>
              </c:strCache>
            </c:strRef>
          </c:tx>
          <c:marker>
            <c:symbol val="none"/>
          </c:marker>
          <c:cat>
            <c:strRef>
              <c:f>Hoja1!$B$1:$AO$1</c:f>
              <c:strCache>
                <c:ptCount val="40"/>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strCache>
            </c:strRef>
          </c:cat>
          <c:val>
            <c:numRef>
              <c:f>Hoja1!$B$3:$AO$3</c:f>
              <c:numCache>
                <c:formatCode>General</c:formatCode>
                <c:ptCount val="40"/>
                <c:pt idx="0">
                  <c:v>4.794460760342247</c:v>
                </c:pt>
                <c:pt idx="1">
                  <c:v>4.359802646866878</c:v>
                </c:pt>
                <c:pt idx="2">
                  <c:v>-1.469715325813794</c:v>
                </c:pt>
                <c:pt idx="3">
                  <c:v>-3.270969422939274</c:v>
                </c:pt>
                <c:pt idx="4">
                  <c:v>0.951403677955824</c:v>
                </c:pt>
                <c:pt idx="5">
                  <c:v>3.972177072324172</c:v>
                </c:pt>
                <c:pt idx="6">
                  <c:v>3.693819680261967</c:v>
                </c:pt>
                <c:pt idx="7">
                  <c:v>3.040784426812721</c:v>
                </c:pt>
                <c:pt idx="8">
                  <c:v>-1.347403135076278</c:v>
                </c:pt>
                <c:pt idx="9">
                  <c:v>0.359463260554692</c:v>
                </c:pt>
                <c:pt idx="10">
                  <c:v>-5.709395229122691</c:v>
                </c:pt>
                <c:pt idx="11">
                  <c:v>0.286481105891582</c:v>
                </c:pt>
                <c:pt idx="12">
                  <c:v>4.244289361737001</c:v>
                </c:pt>
                <c:pt idx="13">
                  <c:v>1.125427118813722</c:v>
                </c:pt>
                <c:pt idx="14">
                  <c:v>6.254819491481058</c:v>
                </c:pt>
                <c:pt idx="15">
                  <c:v>2.225801333582014</c:v>
                </c:pt>
                <c:pt idx="16">
                  <c:v>4.766718588772704</c:v>
                </c:pt>
                <c:pt idx="17">
                  <c:v>4.85600942104935</c:v>
                </c:pt>
                <c:pt idx="18">
                  <c:v>3.494175999999998</c:v>
                </c:pt>
                <c:pt idx="19">
                  <c:v>3.697749</c:v>
                </c:pt>
                <c:pt idx="20">
                  <c:v>4.806202</c:v>
                </c:pt>
                <c:pt idx="21">
                  <c:v>2.904561427385062</c:v>
                </c:pt>
                <c:pt idx="22">
                  <c:v>0.259671955505297</c:v>
                </c:pt>
                <c:pt idx="23">
                  <c:v>1.784720507321595</c:v>
                </c:pt>
                <c:pt idx="24">
                  <c:v>2.79211666666162</c:v>
                </c:pt>
                <c:pt idx="25">
                  <c:v>5.561818416956115</c:v>
                </c:pt>
                <c:pt idx="26">
                  <c:v>-8.68040307128149</c:v>
                </c:pt>
                <c:pt idx="27">
                  <c:v>7.864746265824899</c:v>
                </c:pt>
                <c:pt idx="28">
                  <c:v>9.806281010521306</c:v>
                </c:pt>
                <c:pt idx="29">
                  <c:v>-22.43681447667862</c:v>
                </c:pt>
                <c:pt idx="30">
                  <c:v>-5.151931312977276</c:v>
                </c:pt>
                <c:pt idx="31">
                  <c:v>3.242944119350838</c:v>
                </c:pt>
                <c:pt idx="32">
                  <c:v>2.58504105979074</c:v>
                </c:pt>
                <c:pt idx="33">
                  <c:v>3.777683749952882</c:v>
                </c:pt>
                <c:pt idx="34">
                  <c:v>3.735318077904594</c:v>
                </c:pt>
                <c:pt idx="35">
                  <c:v>-0.643948981511887</c:v>
                </c:pt>
                <c:pt idx="36">
                  <c:v>-1.035163497331794</c:v>
                </c:pt>
                <c:pt idx="37">
                  <c:v>-10.5684232067834</c:v>
                </c:pt>
                <c:pt idx="38">
                  <c:v>-9.61241965308183</c:v>
                </c:pt>
                <c:pt idx="39">
                  <c:v>-1.458593294456236</c:v>
                </c:pt>
              </c:numCache>
            </c:numRef>
          </c:val>
        </c:ser>
        <c:dLbls/>
        <c:marker val="1"/>
        <c:axId val="879153192"/>
        <c:axId val="570949080"/>
      </c:lineChart>
      <c:catAx>
        <c:axId val="879153192"/>
        <c:scaling>
          <c:orientation val="minMax"/>
        </c:scaling>
        <c:axPos val="b"/>
        <c:title>
          <c:tx>
            <c:rich>
              <a:bodyPr/>
              <a:lstStyle/>
              <a:p>
                <a:pPr>
                  <a:defRPr/>
                </a:pPr>
                <a:r>
                  <a:rPr lang="es-PR"/>
                  <a:t>Años</a:t>
                </a:r>
              </a:p>
            </c:rich>
          </c:tx>
        </c:title>
        <c:numFmt formatCode="General" sourceLinked="1"/>
        <c:tickLblPos val="nextTo"/>
        <c:txPr>
          <a:bodyPr rot="-5400000" vert="horz"/>
          <a:lstStyle/>
          <a:p>
            <a:pPr>
              <a:defRPr/>
            </a:pPr>
            <a:endParaRPr lang="en-US"/>
          </a:p>
        </c:txPr>
        <c:crossAx val="570949080"/>
        <c:crosses val="autoZero"/>
        <c:auto val="1"/>
        <c:lblAlgn val="ctr"/>
        <c:lblOffset val="100"/>
      </c:catAx>
      <c:valAx>
        <c:axId val="570949080"/>
        <c:scaling>
          <c:orientation val="minMax"/>
        </c:scaling>
        <c:axPos val="l"/>
        <c:majorGridlines/>
        <c:title>
          <c:tx>
            <c:rich>
              <a:bodyPr rot="-5400000" vert="horz"/>
              <a:lstStyle/>
              <a:p>
                <a:pPr>
                  <a:defRPr/>
                </a:pPr>
                <a:r>
                  <a:rPr lang="es-PR"/>
                  <a:t>Tasa</a:t>
                </a:r>
                <a:r>
                  <a:rPr lang="es-PR" baseline="0"/>
                  <a:t> de crecimiento del PNB </a:t>
                </a:r>
              </a:p>
              <a:p>
                <a:pPr>
                  <a:defRPr/>
                </a:pPr>
                <a:r>
                  <a:rPr lang="es-PR" baseline="0"/>
                  <a:t>( %)</a:t>
                </a:r>
                <a:endParaRPr lang="es-PR"/>
              </a:p>
            </c:rich>
          </c:tx>
        </c:title>
        <c:numFmt formatCode="General" sourceLinked="1"/>
        <c:tickLblPos val="nextTo"/>
        <c:crossAx val="879153192"/>
        <c:crosses val="autoZero"/>
        <c:crossBetween val="between"/>
      </c:valAx>
    </c:plotArea>
    <c:legend>
      <c:legendPos val="b"/>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plotArea>
      <c:layout>
        <c:manualLayout>
          <c:layoutTarget val="inner"/>
          <c:xMode val="edge"/>
          <c:yMode val="edge"/>
          <c:x val="0.143474628171479"/>
          <c:y val="0.176400554097405"/>
          <c:w val="0.689455818022747"/>
          <c:h val="0.688865558471858"/>
        </c:manualLayout>
      </c:layout>
      <c:lineChart>
        <c:grouping val="standard"/>
        <c:ser>
          <c:idx val="0"/>
          <c:order val="0"/>
          <c:tx>
            <c:v>MS</c:v>
          </c:tx>
          <c:marker>
            <c:symbol val="none"/>
          </c:marker>
          <c:cat>
            <c:numRef>
              <c:f>'datos producción'!$M$13:$M$27</c:f>
              <c:numCache>
                <c:formatCode>General</c:formatCode>
                <c:ptCount val="15"/>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numCache>
            </c:numRef>
          </c:cat>
          <c:val>
            <c:numRef>
              <c:f>'datos producción'!$N$13:$N$27</c:f>
              <c:numCache>
                <c:formatCode>0.0%</c:formatCode>
                <c:ptCount val="15"/>
                <c:pt idx="0">
                  <c:v>0.0286706724372173</c:v>
                </c:pt>
                <c:pt idx="1">
                  <c:v>0.0290969990741246</c:v>
                </c:pt>
                <c:pt idx="2">
                  <c:v>0.00620526322753075</c:v>
                </c:pt>
                <c:pt idx="3">
                  <c:v>-0.000473372781065091</c:v>
                </c:pt>
                <c:pt idx="4">
                  <c:v>0.00909043071013237</c:v>
                </c:pt>
                <c:pt idx="5">
                  <c:v>0.0322664754579233</c:v>
                </c:pt>
                <c:pt idx="6">
                  <c:v>0.0150416771912099</c:v>
                </c:pt>
                <c:pt idx="7">
                  <c:v>0.012305433551903</c:v>
                </c:pt>
                <c:pt idx="8">
                  <c:v>0.0184734513274337</c:v>
                </c:pt>
                <c:pt idx="9">
                  <c:v>0.0373146036228474</c:v>
                </c:pt>
                <c:pt idx="10">
                  <c:v>0.0136466755860625</c:v>
                </c:pt>
                <c:pt idx="11">
                  <c:v>-0.039321458084657</c:v>
                </c:pt>
                <c:pt idx="12">
                  <c:v>0.0198442092184178</c:v>
                </c:pt>
                <c:pt idx="13">
                  <c:v>-0.0112578049037639</c:v>
                </c:pt>
                <c:pt idx="14">
                  <c:v>0.0236250325821664</c:v>
                </c:pt>
              </c:numCache>
            </c:numRef>
          </c:val>
        </c:ser>
        <c:ser>
          <c:idx val="1"/>
          <c:order val="1"/>
          <c:tx>
            <c:v>AK</c:v>
          </c:tx>
          <c:marker>
            <c:symbol val="none"/>
          </c:marker>
          <c:cat>
            <c:numRef>
              <c:f>'datos producción'!$M$13:$M$27</c:f>
              <c:numCache>
                <c:formatCode>General</c:formatCode>
                <c:ptCount val="15"/>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numCache>
            </c:numRef>
          </c:cat>
          <c:val>
            <c:numRef>
              <c:f>'datos producción'!$O$13:$O$27</c:f>
              <c:numCache>
                <c:formatCode>0.0%</c:formatCode>
                <c:ptCount val="15"/>
                <c:pt idx="0">
                  <c:v>0.0153884858903937</c:v>
                </c:pt>
                <c:pt idx="1">
                  <c:v>0.0543304702125321</c:v>
                </c:pt>
                <c:pt idx="2">
                  <c:v>0.0123245642665971</c:v>
                </c:pt>
                <c:pt idx="3">
                  <c:v>0.0117102361392332</c:v>
                </c:pt>
                <c:pt idx="4">
                  <c:v>0.0272285747064897</c:v>
                </c:pt>
                <c:pt idx="5">
                  <c:v>0.0306640358388246</c:v>
                </c:pt>
                <c:pt idx="6">
                  <c:v>0.0361933200086692</c:v>
                </c:pt>
                <c:pt idx="7">
                  <c:v>0.0283639321403672</c:v>
                </c:pt>
                <c:pt idx="8">
                  <c:v>0.026666365351804</c:v>
                </c:pt>
                <c:pt idx="9">
                  <c:v>0.00496362575802599</c:v>
                </c:pt>
                <c:pt idx="10">
                  <c:v>0.0033511477133345</c:v>
                </c:pt>
                <c:pt idx="11">
                  <c:v>-0.0201052194983519</c:v>
                </c:pt>
                <c:pt idx="12">
                  <c:v>0.0256081803600071</c:v>
                </c:pt>
                <c:pt idx="13">
                  <c:v>0.00661417322834643</c:v>
                </c:pt>
                <c:pt idx="14">
                  <c:v>0.0130335332959303</c:v>
                </c:pt>
              </c:numCache>
            </c:numRef>
          </c:val>
        </c:ser>
        <c:ser>
          <c:idx val="2"/>
          <c:order val="2"/>
          <c:tx>
            <c:v>UT</c:v>
          </c:tx>
          <c:marker>
            <c:symbol val="none"/>
          </c:marker>
          <c:cat>
            <c:numRef>
              <c:f>'datos producción'!$M$13:$M$27</c:f>
              <c:numCache>
                <c:formatCode>General</c:formatCode>
                <c:ptCount val="15"/>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numCache>
            </c:numRef>
          </c:cat>
          <c:val>
            <c:numRef>
              <c:f>'datos producción'!$P$13:$P$27</c:f>
              <c:numCache>
                <c:formatCode>0.0%</c:formatCode>
                <c:ptCount val="15"/>
                <c:pt idx="0">
                  <c:v>0.0644195409817004</c:v>
                </c:pt>
                <c:pt idx="1">
                  <c:v>0.0367740437792741</c:v>
                </c:pt>
                <c:pt idx="2">
                  <c:v>0.049457352088931</c:v>
                </c:pt>
                <c:pt idx="3">
                  <c:v>0.0175077498462581</c:v>
                </c:pt>
                <c:pt idx="4">
                  <c:v>0.00975651873596965</c:v>
                </c:pt>
                <c:pt idx="5">
                  <c:v>0.0169180968667929</c:v>
                </c:pt>
                <c:pt idx="6">
                  <c:v>0.0292252252252253</c:v>
                </c:pt>
                <c:pt idx="7">
                  <c:v>0.0575726806951205</c:v>
                </c:pt>
                <c:pt idx="8">
                  <c:v>0.0653747682528473</c:v>
                </c:pt>
                <c:pt idx="9">
                  <c:v>0.0492956287549204</c:v>
                </c:pt>
                <c:pt idx="10">
                  <c:v>0.025291463884145</c:v>
                </c:pt>
                <c:pt idx="11">
                  <c:v>-0.00960899663973969</c:v>
                </c:pt>
                <c:pt idx="12">
                  <c:v>0.0227098179131467</c:v>
                </c:pt>
                <c:pt idx="13">
                  <c:v>0.0276333425222677</c:v>
                </c:pt>
                <c:pt idx="14">
                  <c:v>0.0342441677612714</c:v>
                </c:pt>
              </c:numCache>
            </c:numRef>
          </c:val>
        </c:ser>
        <c:ser>
          <c:idx val="3"/>
          <c:order val="3"/>
          <c:tx>
            <c:v>LS</c:v>
          </c:tx>
          <c:marker>
            <c:symbol val="none"/>
          </c:marker>
          <c:cat>
            <c:numRef>
              <c:f>'datos producción'!$M$13:$M$27</c:f>
              <c:numCache>
                <c:formatCode>General</c:formatCode>
                <c:ptCount val="15"/>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numCache>
            </c:numRef>
          </c:cat>
          <c:val>
            <c:numRef>
              <c:f>'datos producción'!$Q$13:$Q$27</c:f>
              <c:numCache>
                <c:formatCode>0.0%</c:formatCode>
                <c:ptCount val="15"/>
                <c:pt idx="0">
                  <c:v>0.0443695285737589</c:v>
                </c:pt>
                <c:pt idx="1">
                  <c:v>0.00745677212590322</c:v>
                </c:pt>
                <c:pt idx="2">
                  <c:v>-0.0351359731728606</c:v>
                </c:pt>
                <c:pt idx="3">
                  <c:v>0.0211863145929669</c:v>
                </c:pt>
                <c:pt idx="4">
                  <c:v>0.012110051109311</c:v>
                </c:pt>
                <c:pt idx="5">
                  <c:v>0.0447743146524175</c:v>
                </c:pt>
                <c:pt idx="6">
                  <c:v>0.0489674670840521</c:v>
                </c:pt>
                <c:pt idx="7">
                  <c:v>0.0345974402622785</c:v>
                </c:pt>
                <c:pt idx="8">
                  <c:v>-0.0227964066078602</c:v>
                </c:pt>
                <c:pt idx="9">
                  <c:v>-0.0300008314798263</c:v>
                </c:pt>
                <c:pt idx="10">
                  <c:v>-0.0139776593179931</c:v>
                </c:pt>
                <c:pt idx="11">
                  <c:v>0.0315518946350369</c:v>
                </c:pt>
                <c:pt idx="12">
                  <c:v>0.0584188819771088</c:v>
                </c:pt>
                <c:pt idx="13">
                  <c:v>-0.0263954136475834</c:v>
                </c:pt>
                <c:pt idx="14">
                  <c:v>0.0148640359844613</c:v>
                </c:pt>
              </c:numCache>
            </c:numRef>
          </c:val>
        </c:ser>
        <c:ser>
          <c:idx val="4"/>
          <c:order val="4"/>
          <c:tx>
            <c:v>PR</c:v>
          </c:tx>
          <c:marker>
            <c:symbol val="none"/>
          </c:marker>
          <c:cat>
            <c:numRef>
              <c:f>'datos producción'!$M$13:$M$27</c:f>
              <c:numCache>
                <c:formatCode>General</c:formatCode>
                <c:ptCount val="15"/>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numCache>
            </c:numRef>
          </c:cat>
          <c:val>
            <c:numRef>
              <c:f>'datos producción'!$U$13:$U$27</c:f>
              <c:numCache>
                <c:formatCode>0.0%</c:formatCode>
                <c:ptCount val="15"/>
                <c:pt idx="0">
                  <c:v>0.0313722809835448</c:v>
                </c:pt>
                <c:pt idx="1">
                  <c:v>0.0437714342517276</c:v>
                </c:pt>
                <c:pt idx="2">
                  <c:v>0.0296820685385946</c:v>
                </c:pt>
                <c:pt idx="3">
                  <c:v>0.0594410445345377</c:v>
                </c:pt>
                <c:pt idx="4">
                  <c:v>-0.00333202380432721</c:v>
                </c:pt>
                <c:pt idx="5">
                  <c:v>0.0205845426143829</c:v>
                </c:pt>
                <c:pt idx="6">
                  <c:v>0.0268066601819535</c:v>
                </c:pt>
                <c:pt idx="7">
                  <c:v>0.0190159092808782</c:v>
                </c:pt>
                <c:pt idx="8">
                  <c:v>0.00490792513705286</c:v>
                </c:pt>
                <c:pt idx="9">
                  <c:v>-0.0121078551410769</c:v>
                </c:pt>
                <c:pt idx="10">
                  <c:v>-0.02856119863391</c:v>
                </c:pt>
                <c:pt idx="11">
                  <c:v>-0.0382750701709621</c:v>
                </c:pt>
                <c:pt idx="12">
                  <c:v>-0.0357300787123021</c:v>
                </c:pt>
                <c:pt idx="13">
                  <c:v>-0.0159894830169067</c:v>
                </c:pt>
                <c:pt idx="14">
                  <c:v>0.000745665817436186</c:v>
                </c:pt>
              </c:numCache>
            </c:numRef>
          </c:val>
        </c:ser>
        <c:dLbls/>
        <c:marker val="1"/>
        <c:axId val="76157784"/>
        <c:axId val="75769432"/>
      </c:lineChart>
      <c:catAx>
        <c:axId val="76157784"/>
        <c:scaling>
          <c:orientation val="minMax"/>
        </c:scaling>
        <c:axPos val="b"/>
        <c:numFmt formatCode="General" sourceLinked="1"/>
        <c:tickLblPos val="nextTo"/>
        <c:txPr>
          <a:bodyPr rot="-5400000" vert="horz"/>
          <a:lstStyle/>
          <a:p>
            <a:pPr>
              <a:defRPr/>
            </a:pPr>
            <a:endParaRPr lang="en-US"/>
          </a:p>
        </c:txPr>
        <c:crossAx val="75769432"/>
        <c:crosses val="autoZero"/>
        <c:auto val="1"/>
        <c:lblAlgn val="ctr"/>
        <c:lblOffset val="100"/>
      </c:catAx>
      <c:valAx>
        <c:axId val="75769432"/>
        <c:scaling>
          <c:orientation val="minMax"/>
        </c:scaling>
        <c:axPos val="l"/>
        <c:majorGridlines/>
        <c:numFmt formatCode="0.0%" sourceLinked="1"/>
        <c:tickLblPos val="nextTo"/>
        <c:crossAx val="76157784"/>
        <c:crosses val="autoZero"/>
        <c:crossBetween val="between"/>
      </c:valAx>
    </c:plotArea>
    <c:legend>
      <c:legendPos val="r"/>
    </c:legend>
    <c:plotVisOnly val="1"/>
    <c:dispBlanksAs val="gap"/>
  </c:chart>
  <c:externalData r:id="rId2"/>
  <c:userShapes r:id="rId3"/>
</c:chartSpace>
</file>

<file path=word/charts/chart22.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plotArea>
      <c:layout>
        <c:manualLayout>
          <c:layoutTarget val="inner"/>
          <c:xMode val="edge"/>
          <c:yMode val="edge"/>
          <c:x val="0.143474628171479"/>
          <c:y val="0.176400554097405"/>
          <c:w val="0.689455818022747"/>
          <c:h val="0.688865558471858"/>
        </c:manualLayout>
      </c:layout>
      <c:lineChart>
        <c:grouping val="standard"/>
        <c:ser>
          <c:idx val="4"/>
          <c:order val="0"/>
          <c:tx>
            <c:v>PR</c:v>
          </c:tx>
          <c:marker>
            <c:symbol val="none"/>
          </c:marker>
          <c:cat>
            <c:numRef>
              <c:f>'datos producción'!$M$13:$M$27</c:f>
              <c:numCache>
                <c:formatCode>General</c:formatCode>
                <c:ptCount val="15"/>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numCache>
            </c:numRef>
          </c:cat>
          <c:val>
            <c:numRef>
              <c:f>'datos producción'!$U$13:$U$27</c:f>
              <c:numCache>
                <c:formatCode>0.0%</c:formatCode>
                <c:ptCount val="15"/>
                <c:pt idx="0">
                  <c:v>0.0313722809835448</c:v>
                </c:pt>
                <c:pt idx="1">
                  <c:v>0.0437714342517276</c:v>
                </c:pt>
                <c:pt idx="2">
                  <c:v>0.0296820685385946</c:v>
                </c:pt>
                <c:pt idx="3">
                  <c:v>0.0594410445345377</c:v>
                </c:pt>
                <c:pt idx="4">
                  <c:v>-0.00333202380432721</c:v>
                </c:pt>
                <c:pt idx="5">
                  <c:v>0.0205845426143829</c:v>
                </c:pt>
                <c:pt idx="6">
                  <c:v>0.0268066601819535</c:v>
                </c:pt>
                <c:pt idx="7">
                  <c:v>0.0190159092808782</c:v>
                </c:pt>
                <c:pt idx="8">
                  <c:v>0.00490792513705286</c:v>
                </c:pt>
                <c:pt idx="9">
                  <c:v>-0.0121078551410769</c:v>
                </c:pt>
                <c:pt idx="10">
                  <c:v>-0.02856119863391</c:v>
                </c:pt>
                <c:pt idx="11">
                  <c:v>-0.0382750701709621</c:v>
                </c:pt>
                <c:pt idx="12">
                  <c:v>-0.0357300787123021</c:v>
                </c:pt>
                <c:pt idx="13">
                  <c:v>-0.0159894830169067</c:v>
                </c:pt>
                <c:pt idx="14">
                  <c:v>0.000745665817436186</c:v>
                </c:pt>
              </c:numCache>
            </c:numRef>
          </c:val>
        </c:ser>
        <c:ser>
          <c:idx val="0"/>
          <c:order val="1"/>
          <c:tx>
            <c:v>Fl</c:v>
          </c:tx>
          <c:marker>
            <c:symbol val="none"/>
          </c:marker>
          <c:cat>
            <c:numRef>
              <c:f>'datos producción'!$M$13:$M$27</c:f>
              <c:numCache>
                <c:formatCode>General</c:formatCode>
                <c:ptCount val="15"/>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numCache>
            </c:numRef>
          </c:cat>
          <c:val>
            <c:numRef>
              <c:f>'datos producción'!$S$13:$S$27</c:f>
              <c:numCache>
                <c:formatCode>0.0%</c:formatCode>
                <c:ptCount val="15"/>
                <c:pt idx="0">
                  <c:v>0.0470905956873541</c:v>
                </c:pt>
                <c:pt idx="1">
                  <c:v>0.0500352614240022</c:v>
                </c:pt>
                <c:pt idx="2">
                  <c:v>0.0450482503538867</c:v>
                </c:pt>
                <c:pt idx="3">
                  <c:v>0.0255339369234382</c:v>
                </c:pt>
                <c:pt idx="4">
                  <c:v>0.0349923840836224</c:v>
                </c:pt>
                <c:pt idx="5">
                  <c:v>0.0470716374645158</c:v>
                </c:pt>
                <c:pt idx="6">
                  <c:v>0.0505890755641757</c:v>
                </c:pt>
                <c:pt idx="7">
                  <c:v>0.062206664275802</c:v>
                </c:pt>
                <c:pt idx="8">
                  <c:v>0.0391515284964586</c:v>
                </c:pt>
                <c:pt idx="9">
                  <c:v>0.00951269678031802</c:v>
                </c:pt>
                <c:pt idx="10">
                  <c:v>-0.0352420133495656</c:v>
                </c:pt>
                <c:pt idx="11">
                  <c:v>-0.0591823858320825</c:v>
                </c:pt>
                <c:pt idx="12">
                  <c:v>0.00254223439123584</c:v>
                </c:pt>
                <c:pt idx="13">
                  <c:v>0.00931121605558132</c:v>
                </c:pt>
                <c:pt idx="14">
                  <c:v>0.0242874947055364</c:v>
                </c:pt>
              </c:numCache>
            </c:numRef>
          </c:val>
        </c:ser>
        <c:ser>
          <c:idx val="1"/>
          <c:order val="2"/>
          <c:tx>
            <c:v>Hi</c:v>
          </c:tx>
          <c:marker>
            <c:symbol val="none"/>
          </c:marker>
          <c:cat>
            <c:numRef>
              <c:f>'datos producción'!$M$13:$M$27</c:f>
              <c:numCache>
                <c:formatCode>General</c:formatCode>
                <c:ptCount val="15"/>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pt idx="13">
                  <c:v>2011.0</c:v>
                </c:pt>
                <c:pt idx="14">
                  <c:v>2012.0</c:v>
                </c:pt>
              </c:numCache>
            </c:numRef>
          </c:cat>
          <c:val>
            <c:numRef>
              <c:f>'datos producción'!$R$13:$R$27</c:f>
              <c:numCache>
                <c:formatCode>0.0%</c:formatCode>
                <c:ptCount val="15"/>
                <c:pt idx="0">
                  <c:v>-0.0255604917863416</c:v>
                </c:pt>
                <c:pt idx="1">
                  <c:v>0.00820645489630611</c:v>
                </c:pt>
                <c:pt idx="2">
                  <c:v>0.0267956672625934</c:v>
                </c:pt>
                <c:pt idx="3">
                  <c:v>-0.00768143550666748</c:v>
                </c:pt>
                <c:pt idx="4">
                  <c:v>0.0237593922880026</c:v>
                </c:pt>
                <c:pt idx="5">
                  <c:v>0.0421211815707229</c:v>
                </c:pt>
                <c:pt idx="6">
                  <c:v>0.0506926708459101</c:v>
                </c:pt>
                <c:pt idx="7">
                  <c:v>0.0478233647613436</c:v>
                </c:pt>
                <c:pt idx="8">
                  <c:v>0.0323720145515896</c:v>
                </c:pt>
                <c:pt idx="9">
                  <c:v>0.0137037604480534</c:v>
                </c:pt>
                <c:pt idx="10">
                  <c:v>0.00923624638946732</c:v>
                </c:pt>
                <c:pt idx="11">
                  <c:v>-0.0365403174814472</c:v>
                </c:pt>
                <c:pt idx="12">
                  <c:v>0.0305861628268454</c:v>
                </c:pt>
                <c:pt idx="13">
                  <c:v>0.0205453052469292</c:v>
                </c:pt>
                <c:pt idx="14">
                  <c:v>0.0160593770012644</c:v>
                </c:pt>
              </c:numCache>
            </c:numRef>
          </c:val>
        </c:ser>
        <c:dLbls/>
        <c:marker val="1"/>
        <c:axId val="879254888"/>
        <c:axId val="878755464"/>
      </c:lineChart>
      <c:catAx>
        <c:axId val="879254888"/>
        <c:scaling>
          <c:orientation val="minMax"/>
        </c:scaling>
        <c:axPos val="b"/>
        <c:numFmt formatCode="General" sourceLinked="1"/>
        <c:tickLblPos val="nextTo"/>
        <c:txPr>
          <a:bodyPr rot="-5400000" vert="horz"/>
          <a:lstStyle/>
          <a:p>
            <a:pPr>
              <a:defRPr/>
            </a:pPr>
            <a:endParaRPr lang="en-US"/>
          </a:p>
        </c:txPr>
        <c:crossAx val="878755464"/>
        <c:crosses val="autoZero"/>
        <c:auto val="1"/>
        <c:lblAlgn val="ctr"/>
        <c:lblOffset val="100"/>
      </c:catAx>
      <c:valAx>
        <c:axId val="878755464"/>
        <c:scaling>
          <c:orientation val="minMax"/>
        </c:scaling>
        <c:axPos val="l"/>
        <c:majorGridlines/>
        <c:numFmt formatCode="0.0%" sourceLinked="1"/>
        <c:tickLblPos val="nextTo"/>
        <c:crossAx val="879254888"/>
        <c:crosses val="autoZero"/>
        <c:crossBetween val="between"/>
      </c:valAx>
    </c:plotArea>
    <c:legend>
      <c:legendPos val="r"/>
    </c:legend>
    <c:plotVisOnly val="1"/>
    <c:dispBlanksAs val="gap"/>
  </c:chart>
  <c:externalData r:id="rId2"/>
  <c:userShapes r:id="rId3"/>
</c:chartSpace>
</file>

<file path=word/charts/chart23.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plotArea>
      <c:layout>
        <c:manualLayout>
          <c:layoutTarget val="inner"/>
          <c:xMode val="edge"/>
          <c:yMode val="edge"/>
          <c:x val="0.0918495188101485"/>
          <c:y val="0.185659813356664"/>
          <c:w val="0.84898381452319"/>
          <c:h val="0.679606299212601"/>
        </c:manualLayout>
      </c:layout>
      <c:lineChart>
        <c:grouping val="standard"/>
        <c:ser>
          <c:idx val="0"/>
          <c:order val="0"/>
          <c:tx>
            <c:v>EU</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cápita'!$O$7:$O$28</c:f>
              <c:numCache>
                <c:formatCode>0%</c:formatCode>
                <c:ptCount val="22"/>
                <c:pt idx="0">
                  <c:v>0.0262837249782419</c:v>
                </c:pt>
                <c:pt idx="1">
                  <c:v>0.0563093622795115</c:v>
                </c:pt>
                <c:pt idx="2">
                  <c:v>0.0282059516163562</c:v>
                </c:pt>
                <c:pt idx="3">
                  <c:v>0.0361771901514758</c:v>
                </c:pt>
                <c:pt idx="4">
                  <c:v>0.0425499849291671</c:v>
                </c:pt>
                <c:pt idx="5">
                  <c:v>0.0415361634462487</c:v>
                </c:pt>
                <c:pt idx="6">
                  <c:v>0.0421929215822348</c:v>
                </c:pt>
                <c:pt idx="7">
                  <c:v>0.0546899276423847</c:v>
                </c:pt>
                <c:pt idx="8">
                  <c:v>0.0361126310029883</c:v>
                </c:pt>
                <c:pt idx="9">
                  <c:v>0.0645488889791607</c:v>
                </c:pt>
                <c:pt idx="10">
                  <c:v>0.0371289017782187</c:v>
                </c:pt>
                <c:pt idx="11">
                  <c:v>0.0348798704882449</c:v>
                </c:pt>
                <c:pt idx="12">
                  <c:v>0.0381839513634586</c:v>
                </c:pt>
                <c:pt idx="13">
                  <c:v>0.0513338584295058</c:v>
                </c:pt>
                <c:pt idx="14">
                  <c:v>0.0346254071661239</c:v>
                </c:pt>
                <c:pt idx="15">
                  <c:v>0.0575512388628278</c:v>
                </c:pt>
                <c:pt idx="16">
                  <c:v>0.0368551099997023</c:v>
                </c:pt>
                <c:pt idx="17">
                  <c:v>0.0366074248471102</c:v>
                </c:pt>
                <c:pt idx="18">
                  <c:v>-0.0140150675825393</c:v>
                </c:pt>
                <c:pt idx="19">
                  <c:v>0.0196078431372549</c:v>
                </c:pt>
                <c:pt idx="20">
                  <c:v>0.0407758430681067</c:v>
                </c:pt>
                <c:pt idx="21">
                  <c:v>0.0315808979246082</c:v>
                </c:pt>
              </c:numCache>
            </c:numRef>
          </c:val>
        </c:ser>
        <c:ser>
          <c:idx val="1"/>
          <c:order val="1"/>
          <c:tx>
            <c:v>PR</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cápita'!$P$7:$P$28</c:f>
              <c:numCache>
                <c:formatCode>0%</c:formatCode>
                <c:ptCount val="22"/>
                <c:pt idx="0">
                  <c:v>0.0287477954144621</c:v>
                </c:pt>
                <c:pt idx="1">
                  <c:v>0.036002057260415</c:v>
                </c:pt>
                <c:pt idx="2">
                  <c:v>0.0660268078768823</c:v>
                </c:pt>
                <c:pt idx="3">
                  <c:v>0.0302701024526546</c:v>
                </c:pt>
                <c:pt idx="4">
                  <c:v>0.0414343830043694</c:v>
                </c:pt>
                <c:pt idx="5">
                  <c:v>0.0943287037037037</c:v>
                </c:pt>
                <c:pt idx="6">
                  <c:v>0.0528820729772607</c:v>
                </c:pt>
                <c:pt idx="7">
                  <c:v>0.0323957810145655</c:v>
                </c:pt>
                <c:pt idx="8">
                  <c:v>0.0923133057650207</c:v>
                </c:pt>
                <c:pt idx="9">
                  <c:v>0.0595702037635007</c:v>
                </c:pt>
                <c:pt idx="10">
                  <c:v>0.0708070617906683</c:v>
                </c:pt>
                <c:pt idx="11">
                  <c:v>0.0319437084142968</c:v>
                </c:pt>
                <c:pt idx="12">
                  <c:v>0.0475212309682084</c:v>
                </c:pt>
                <c:pt idx="13">
                  <c:v>0.0342260553790286</c:v>
                </c:pt>
                <c:pt idx="14">
                  <c:v>0.0696102528089888</c:v>
                </c:pt>
                <c:pt idx="15">
                  <c:v>0.0428395568321707</c:v>
                </c:pt>
                <c:pt idx="16">
                  <c:v>0.0344691902101204</c:v>
                </c:pt>
                <c:pt idx="17">
                  <c:v>0.091365538227463</c:v>
                </c:pt>
                <c:pt idx="18">
                  <c:v>0.042729680747247</c:v>
                </c:pt>
                <c:pt idx="19">
                  <c:v>0.0233304365265058</c:v>
                </c:pt>
                <c:pt idx="20">
                  <c:v>0.0417428795401097</c:v>
                </c:pt>
                <c:pt idx="21">
                  <c:v>0.0212579168495643</c:v>
                </c:pt>
              </c:numCache>
            </c:numRef>
          </c:val>
        </c:ser>
        <c:dLbls/>
        <c:marker val="1"/>
        <c:axId val="76251800"/>
        <c:axId val="575222696"/>
      </c:lineChart>
      <c:catAx>
        <c:axId val="76251800"/>
        <c:scaling>
          <c:orientation val="minMax"/>
        </c:scaling>
        <c:axPos val="b"/>
        <c:numFmt formatCode="General" sourceLinked="1"/>
        <c:tickLblPos val="nextTo"/>
        <c:crossAx val="575222696"/>
        <c:crosses val="autoZero"/>
        <c:auto val="1"/>
        <c:lblAlgn val="ctr"/>
        <c:lblOffset val="100"/>
      </c:catAx>
      <c:valAx>
        <c:axId val="575222696"/>
        <c:scaling>
          <c:orientation val="minMax"/>
        </c:scaling>
        <c:axPos val="l"/>
        <c:majorGridlines/>
        <c:numFmt formatCode="0%" sourceLinked="1"/>
        <c:tickLblPos val="nextTo"/>
        <c:crossAx val="76251800"/>
        <c:crosses val="autoZero"/>
        <c:crossBetween val="between"/>
      </c:valAx>
    </c:plotArea>
    <c:legend>
      <c:legendPos val="b"/>
      <c:layout>
        <c:manualLayout>
          <c:xMode val="edge"/>
          <c:yMode val="edge"/>
          <c:x val="0.383508311461068"/>
          <c:y val="0.87461614173228"/>
          <c:w val="0.232983377077866"/>
          <c:h val="0.08371719160105"/>
        </c:manualLayout>
      </c:layout>
    </c:legend>
    <c:plotVisOnly val="1"/>
    <c:dispBlanksAs val="gap"/>
  </c:chart>
  <c:externalData r:id="rId2"/>
  <c:userShapes r:id="rId3"/>
</c:chartSpace>
</file>

<file path=word/charts/chart24.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plotArea>
      <c:layout>
        <c:manualLayout>
          <c:layoutTarget val="inner"/>
          <c:xMode val="edge"/>
          <c:yMode val="edge"/>
          <c:x val="0.0918495188101486"/>
          <c:y val="0.153252405949256"/>
          <c:w val="0.843018591426072"/>
          <c:h val="0.693495188101488"/>
        </c:manualLayout>
      </c:layout>
      <c:lineChart>
        <c:grouping val="standard"/>
        <c:ser>
          <c:idx val="0"/>
          <c:order val="0"/>
          <c:tx>
            <c:v>LS</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cápita'!$T$7:$T$28</c:f>
              <c:numCache>
                <c:formatCode>0%</c:formatCode>
                <c:ptCount val="22"/>
                <c:pt idx="0">
                  <c:v>0.0529699715058084</c:v>
                </c:pt>
                <c:pt idx="1">
                  <c:v>0.0629336663891202</c:v>
                </c:pt>
                <c:pt idx="2">
                  <c:v>0.0402115020562699</c:v>
                </c:pt>
                <c:pt idx="3">
                  <c:v>0.0603702541575149</c:v>
                </c:pt>
                <c:pt idx="4">
                  <c:v>0.0367520861691424</c:v>
                </c:pt>
                <c:pt idx="5">
                  <c:v>0.0308825208357118</c:v>
                </c:pt>
                <c:pt idx="6">
                  <c:v>0.0399246912896617</c:v>
                </c:pt>
                <c:pt idx="7">
                  <c:v>0.0507454739084135</c:v>
                </c:pt>
                <c:pt idx="8">
                  <c:v>0.0182942279430396</c:v>
                </c:pt>
                <c:pt idx="9">
                  <c:v>0.0480242858564746</c:v>
                </c:pt>
                <c:pt idx="10">
                  <c:v>0.0622061826297545</c:v>
                </c:pt>
                <c:pt idx="11">
                  <c:v>0.0383566542983593</c:v>
                </c:pt>
                <c:pt idx="12">
                  <c:v>0.0372411417746589</c:v>
                </c:pt>
                <c:pt idx="13">
                  <c:v>0.0471525817698821</c:v>
                </c:pt>
                <c:pt idx="14">
                  <c:v>0.0616378626922467</c:v>
                </c:pt>
                <c:pt idx="15">
                  <c:v>0.115595713698988</c:v>
                </c:pt>
                <c:pt idx="16">
                  <c:v>0.0812276180595067</c:v>
                </c:pt>
                <c:pt idx="17">
                  <c:v>0.0507955178604594</c:v>
                </c:pt>
                <c:pt idx="18">
                  <c:v>-0.0134621616048547</c:v>
                </c:pt>
                <c:pt idx="19">
                  <c:v>0.0277993430874888</c:v>
                </c:pt>
                <c:pt idx="20">
                  <c:v>0.0320734435373756</c:v>
                </c:pt>
                <c:pt idx="21">
                  <c:v>0.0360591133004926</c:v>
                </c:pt>
              </c:numCache>
            </c:numRef>
          </c:val>
        </c:ser>
        <c:ser>
          <c:idx val="1"/>
          <c:order val="1"/>
          <c:tx>
            <c:v>MS</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cápita'!$U$7:$U$28</c:f>
              <c:numCache>
                <c:formatCode>0%</c:formatCode>
                <c:ptCount val="22"/>
                <c:pt idx="0">
                  <c:v>0.0531914893617021</c:v>
                </c:pt>
                <c:pt idx="1">
                  <c:v>0.0666507595641454</c:v>
                </c:pt>
                <c:pt idx="2">
                  <c:v>0.0496607262694803</c:v>
                </c:pt>
                <c:pt idx="3">
                  <c:v>0.0671307807061165</c:v>
                </c:pt>
                <c:pt idx="4">
                  <c:v>0.0388097457062974</c:v>
                </c:pt>
                <c:pt idx="5">
                  <c:v>0.0497276513937841</c:v>
                </c:pt>
                <c:pt idx="6">
                  <c:v>0.0416335999023259</c:v>
                </c:pt>
                <c:pt idx="7">
                  <c:v>0.0547383226865147</c:v>
                </c:pt>
                <c:pt idx="8">
                  <c:v>0.0301161304661888</c:v>
                </c:pt>
                <c:pt idx="9">
                  <c:v>0.0513512055666433</c:v>
                </c:pt>
                <c:pt idx="10">
                  <c:v>0.0533579600841415</c:v>
                </c:pt>
                <c:pt idx="11">
                  <c:v>0.031318493984706</c:v>
                </c:pt>
                <c:pt idx="12">
                  <c:v>0.043118919429489</c:v>
                </c:pt>
                <c:pt idx="13">
                  <c:v>0.0576809888169512</c:v>
                </c:pt>
                <c:pt idx="14">
                  <c:v>0.0565900432344506</c:v>
                </c:pt>
                <c:pt idx="15">
                  <c:v>0.0369485070696432</c:v>
                </c:pt>
                <c:pt idx="16">
                  <c:v>0.0512600117210393</c:v>
                </c:pt>
                <c:pt idx="17">
                  <c:v>0.0427398074850411</c:v>
                </c:pt>
                <c:pt idx="18">
                  <c:v>0.00695013722065794</c:v>
                </c:pt>
                <c:pt idx="19">
                  <c:v>0.0147246212657511</c:v>
                </c:pt>
                <c:pt idx="20">
                  <c:v>0.042346867587554</c:v>
                </c:pt>
                <c:pt idx="21">
                  <c:v>0.0447091894786159</c:v>
                </c:pt>
              </c:numCache>
            </c:numRef>
          </c:val>
        </c:ser>
        <c:ser>
          <c:idx val="2"/>
          <c:order val="2"/>
          <c:tx>
            <c:v>UH</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cápita'!$V$7:$V$28</c:f>
              <c:numCache>
                <c:formatCode>0%</c:formatCode>
                <c:ptCount val="22"/>
                <c:pt idx="0">
                  <c:v>0.0488157794532024</c:v>
                </c:pt>
                <c:pt idx="1">
                  <c:v>0.0419692128957305</c:v>
                </c:pt>
                <c:pt idx="2">
                  <c:v>0.0414634146341467</c:v>
                </c:pt>
                <c:pt idx="3">
                  <c:v>0.0499163599866178</c:v>
                </c:pt>
                <c:pt idx="4">
                  <c:v>0.0513670256835129</c:v>
                </c:pt>
                <c:pt idx="5">
                  <c:v>0.0580711644541432</c:v>
                </c:pt>
                <c:pt idx="6">
                  <c:v>0.0529361214551707</c:v>
                </c:pt>
                <c:pt idx="7">
                  <c:v>0.0565319114206433</c:v>
                </c:pt>
                <c:pt idx="8">
                  <c:v>0.0319291379132764</c:v>
                </c:pt>
                <c:pt idx="9">
                  <c:v>0.0706158299231461</c:v>
                </c:pt>
                <c:pt idx="10">
                  <c:v>0.0510418123339393</c:v>
                </c:pt>
                <c:pt idx="11">
                  <c:v>0.0300691857370942</c:v>
                </c:pt>
                <c:pt idx="12">
                  <c:v>0.0231636958580901</c:v>
                </c:pt>
                <c:pt idx="13">
                  <c:v>0.0495707793300791</c:v>
                </c:pt>
                <c:pt idx="14">
                  <c:v>0.0539251062464919</c:v>
                </c:pt>
                <c:pt idx="15">
                  <c:v>0.0728116559516115</c:v>
                </c:pt>
                <c:pt idx="16">
                  <c:v>0.0531186837346194</c:v>
                </c:pt>
                <c:pt idx="17">
                  <c:v>0.0281154247617765</c:v>
                </c:pt>
                <c:pt idx="18">
                  <c:v>-0.0295735900962861</c:v>
                </c:pt>
                <c:pt idx="19">
                  <c:v>0.0053997502615504</c:v>
                </c:pt>
                <c:pt idx="20">
                  <c:v>0.0407841294350643</c:v>
                </c:pt>
                <c:pt idx="21">
                  <c:v>0.0342836870283172</c:v>
                </c:pt>
              </c:numCache>
            </c:numRef>
          </c:val>
        </c:ser>
        <c:ser>
          <c:idx val="3"/>
          <c:order val="3"/>
          <c:tx>
            <c:v>PR</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cápita'!$P$7:$P$28</c:f>
              <c:numCache>
                <c:formatCode>0%</c:formatCode>
                <c:ptCount val="22"/>
                <c:pt idx="0">
                  <c:v>0.0287477954144621</c:v>
                </c:pt>
                <c:pt idx="1">
                  <c:v>0.036002057260415</c:v>
                </c:pt>
                <c:pt idx="2">
                  <c:v>0.0660268078768823</c:v>
                </c:pt>
                <c:pt idx="3">
                  <c:v>0.0302701024526546</c:v>
                </c:pt>
                <c:pt idx="4">
                  <c:v>0.0414343830043694</c:v>
                </c:pt>
                <c:pt idx="5">
                  <c:v>0.0943287037037037</c:v>
                </c:pt>
                <c:pt idx="6">
                  <c:v>0.0528820729772607</c:v>
                </c:pt>
                <c:pt idx="7">
                  <c:v>0.0323957810145655</c:v>
                </c:pt>
                <c:pt idx="8">
                  <c:v>0.0923133057650207</c:v>
                </c:pt>
                <c:pt idx="9">
                  <c:v>0.0595702037635007</c:v>
                </c:pt>
                <c:pt idx="10">
                  <c:v>0.0708070617906683</c:v>
                </c:pt>
                <c:pt idx="11">
                  <c:v>0.0319437084142968</c:v>
                </c:pt>
                <c:pt idx="12">
                  <c:v>0.0475212309682084</c:v>
                </c:pt>
                <c:pt idx="13">
                  <c:v>0.0342260553790286</c:v>
                </c:pt>
                <c:pt idx="14">
                  <c:v>0.0696102528089888</c:v>
                </c:pt>
                <c:pt idx="15">
                  <c:v>0.0428395568321707</c:v>
                </c:pt>
                <c:pt idx="16">
                  <c:v>0.0344691902101204</c:v>
                </c:pt>
                <c:pt idx="17">
                  <c:v>0.091365538227463</c:v>
                </c:pt>
                <c:pt idx="18">
                  <c:v>0.042729680747247</c:v>
                </c:pt>
                <c:pt idx="19">
                  <c:v>0.0233304365265058</c:v>
                </c:pt>
                <c:pt idx="20">
                  <c:v>0.0417428795401097</c:v>
                </c:pt>
                <c:pt idx="21">
                  <c:v>0.0212579168495643</c:v>
                </c:pt>
              </c:numCache>
            </c:numRef>
          </c:val>
        </c:ser>
        <c:ser>
          <c:idx val="4"/>
          <c:order val="4"/>
          <c:tx>
            <c:v>AR</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cápita'!$Q$7:$Q$28</c:f>
              <c:numCache>
                <c:formatCode>0%</c:formatCode>
                <c:ptCount val="22"/>
                <c:pt idx="0">
                  <c:v>0.0523669554455449</c:v>
                </c:pt>
                <c:pt idx="1">
                  <c:v>0.0743109151047413</c:v>
                </c:pt>
                <c:pt idx="2">
                  <c:v>0.0296934865900383</c:v>
                </c:pt>
                <c:pt idx="3">
                  <c:v>0.0437209302325583</c:v>
                </c:pt>
                <c:pt idx="4">
                  <c:v>0.0411892029539089</c:v>
                </c:pt>
                <c:pt idx="5">
                  <c:v>0.0495261387954754</c:v>
                </c:pt>
                <c:pt idx="6">
                  <c:v>0.0300029129041656</c:v>
                </c:pt>
                <c:pt idx="7">
                  <c:v>0.0438914027149321</c:v>
                </c:pt>
                <c:pt idx="8">
                  <c:v>0.0385782401387083</c:v>
                </c:pt>
                <c:pt idx="9">
                  <c:v>0.0450229549248748</c:v>
                </c:pt>
                <c:pt idx="10">
                  <c:v>0.0563626379112381</c:v>
                </c:pt>
                <c:pt idx="11">
                  <c:v>0.0318525519848771</c:v>
                </c:pt>
                <c:pt idx="12">
                  <c:v>0.0631125767152148</c:v>
                </c:pt>
                <c:pt idx="13">
                  <c:v>0.0579010856453558</c:v>
                </c:pt>
                <c:pt idx="14">
                  <c:v>0.031356898517674</c:v>
                </c:pt>
                <c:pt idx="15">
                  <c:v>0.0510147674326779</c:v>
                </c:pt>
                <c:pt idx="16">
                  <c:v>0.0514689307987077</c:v>
                </c:pt>
                <c:pt idx="17">
                  <c:v>0.0408746605688152</c:v>
                </c:pt>
                <c:pt idx="18">
                  <c:v>-0.001990937800357</c:v>
                </c:pt>
                <c:pt idx="19">
                  <c:v>0.0156497214005641</c:v>
                </c:pt>
                <c:pt idx="20">
                  <c:v>0.0514070913339432</c:v>
                </c:pt>
                <c:pt idx="21">
                  <c:v>0.0402293297258993</c:v>
                </c:pt>
              </c:numCache>
            </c:numRef>
          </c:val>
        </c:ser>
        <c:dLbls/>
        <c:marker val="1"/>
        <c:axId val="879403416"/>
        <c:axId val="879517800"/>
      </c:lineChart>
      <c:catAx>
        <c:axId val="879403416"/>
        <c:scaling>
          <c:orientation val="minMax"/>
        </c:scaling>
        <c:axPos val="b"/>
        <c:numFmt formatCode="General" sourceLinked="1"/>
        <c:tickLblPos val="nextTo"/>
        <c:crossAx val="879517800"/>
        <c:crosses val="autoZero"/>
        <c:auto val="1"/>
        <c:lblAlgn val="ctr"/>
        <c:lblOffset val="100"/>
      </c:catAx>
      <c:valAx>
        <c:axId val="879517800"/>
        <c:scaling>
          <c:orientation val="minMax"/>
        </c:scaling>
        <c:axPos val="l"/>
        <c:majorGridlines/>
        <c:numFmt formatCode="0%" sourceLinked="1"/>
        <c:tickLblPos val="nextTo"/>
        <c:crossAx val="879403416"/>
        <c:crosses val="autoZero"/>
        <c:crossBetween val="between"/>
      </c:valAx>
    </c:plotArea>
    <c:legend>
      <c:legendPos val="b"/>
      <c:layout>
        <c:manualLayout>
          <c:xMode val="edge"/>
          <c:yMode val="edge"/>
          <c:x val="0.205999781277341"/>
          <c:y val="0.8607272528434"/>
          <c:w val="0.58800043744532"/>
          <c:h val="0.08371719160105"/>
        </c:manualLayout>
      </c:layout>
    </c:legend>
    <c:plotVisOnly val="1"/>
    <c:dispBlanksAs val="gap"/>
  </c:chart>
  <c:externalData r:id="rId2"/>
  <c:userShapes r:id="rId3"/>
</c:chartSpace>
</file>

<file path=word/charts/chart25.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plotArea>
      <c:layout>
        <c:manualLayout>
          <c:layoutTarget val="inner"/>
          <c:xMode val="edge"/>
          <c:yMode val="edge"/>
          <c:x val="0.0918495188101486"/>
          <c:y val="0.162511665208515"/>
          <c:w val="0.881497594050744"/>
          <c:h val="0.69812481773112"/>
        </c:manualLayout>
      </c:layout>
      <c:lineChart>
        <c:grouping val="standard"/>
        <c:ser>
          <c:idx val="0"/>
          <c:order val="0"/>
          <c:tx>
            <c:v>FL</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cápita'!$R$7:$R$28</c:f>
              <c:numCache>
                <c:formatCode>0%</c:formatCode>
                <c:ptCount val="22"/>
                <c:pt idx="0">
                  <c:v>0.0252902632486493</c:v>
                </c:pt>
                <c:pt idx="1">
                  <c:v>0.0353178607467205</c:v>
                </c:pt>
                <c:pt idx="2">
                  <c:v>0.033625730994152</c:v>
                </c:pt>
                <c:pt idx="3">
                  <c:v>0.0321651212740322</c:v>
                </c:pt>
                <c:pt idx="4">
                  <c:v>0.0477592244835813</c:v>
                </c:pt>
                <c:pt idx="5">
                  <c:v>0.0345378802557644</c:v>
                </c:pt>
                <c:pt idx="6">
                  <c:v>0.02687643395608</c:v>
                </c:pt>
                <c:pt idx="7">
                  <c:v>0.0576809083033149</c:v>
                </c:pt>
                <c:pt idx="8">
                  <c:v>0.0322469391274358</c:v>
                </c:pt>
                <c:pt idx="9">
                  <c:v>0.060474440360842</c:v>
                </c:pt>
                <c:pt idx="10">
                  <c:v>0.0611216131064902</c:v>
                </c:pt>
                <c:pt idx="11">
                  <c:v>0.0384501187648456</c:v>
                </c:pt>
                <c:pt idx="12">
                  <c:v>0.0423159399571126</c:v>
                </c:pt>
                <c:pt idx="13">
                  <c:v>0.062268550267453</c:v>
                </c:pt>
                <c:pt idx="14">
                  <c:v>0.0485797288573273</c:v>
                </c:pt>
                <c:pt idx="15">
                  <c:v>0.0653840233954134</c:v>
                </c:pt>
                <c:pt idx="16">
                  <c:v>0.0273917189170448</c:v>
                </c:pt>
                <c:pt idx="17">
                  <c:v>0.0119526394240234</c:v>
                </c:pt>
                <c:pt idx="18">
                  <c:v>-0.0419932188316384</c:v>
                </c:pt>
                <c:pt idx="19">
                  <c:v>0.0313596936555365</c:v>
                </c:pt>
                <c:pt idx="20">
                  <c:v>0.0243024302430243</c:v>
                </c:pt>
                <c:pt idx="21">
                  <c:v>0.0256206063268893</c:v>
                </c:pt>
              </c:numCache>
            </c:numRef>
          </c:val>
        </c:ser>
        <c:ser>
          <c:idx val="1"/>
          <c:order val="1"/>
          <c:tx>
            <c:v>HI</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cápita'!$S$7:$S$28</c:f>
              <c:numCache>
                <c:formatCode>0%</c:formatCode>
                <c:ptCount val="22"/>
                <c:pt idx="0">
                  <c:v>0.0388868313845828</c:v>
                </c:pt>
                <c:pt idx="1">
                  <c:v>0.0770014259523328</c:v>
                </c:pt>
                <c:pt idx="2">
                  <c:v>0.0244467561944392</c:v>
                </c:pt>
                <c:pt idx="3">
                  <c:v>0.012647126702054</c:v>
                </c:pt>
                <c:pt idx="4">
                  <c:v>0.018551438078308</c:v>
                </c:pt>
                <c:pt idx="5">
                  <c:v>-0.00134252215161551</c:v>
                </c:pt>
                <c:pt idx="6">
                  <c:v>0.0248700483957699</c:v>
                </c:pt>
                <c:pt idx="7">
                  <c:v>0.0223427047352542</c:v>
                </c:pt>
                <c:pt idx="8">
                  <c:v>0.0326319390984519</c:v>
                </c:pt>
                <c:pt idx="9">
                  <c:v>0.0542141230068339</c:v>
                </c:pt>
                <c:pt idx="10">
                  <c:v>0.0202718629684922</c:v>
                </c:pt>
                <c:pt idx="11">
                  <c:v>0.0504428186368887</c:v>
                </c:pt>
                <c:pt idx="12">
                  <c:v>0.0487903225806452</c:v>
                </c:pt>
                <c:pt idx="13">
                  <c:v>0.0623885918003569</c:v>
                </c:pt>
                <c:pt idx="14">
                  <c:v>0.043657060139492</c:v>
                </c:pt>
                <c:pt idx="15">
                  <c:v>0.0589162437348297</c:v>
                </c:pt>
                <c:pt idx="16">
                  <c:v>0.0567396999285544</c:v>
                </c:pt>
                <c:pt idx="17">
                  <c:v>0.0421995605386219</c:v>
                </c:pt>
                <c:pt idx="18">
                  <c:v>0.0223267380257325</c:v>
                </c:pt>
                <c:pt idx="19">
                  <c:v>0.012691026386759</c:v>
                </c:pt>
                <c:pt idx="20">
                  <c:v>0.0384575218004282</c:v>
                </c:pt>
                <c:pt idx="21">
                  <c:v>0.0219736015084852</c:v>
                </c:pt>
              </c:numCache>
            </c:numRef>
          </c:val>
        </c:ser>
        <c:ser>
          <c:idx val="2"/>
          <c:order val="2"/>
          <c:tx>
            <c:v>PR</c:v>
          </c:tx>
          <c:marker>
            <c:symbol val="none"/>
          </c:marker>
          <c:cat>
            <c:numRef>
              <c:f>'ingreso per cápita'!$N$7:$N$28</c:f>
              <c:numCache>
                <c:formatCode>General</c:formatCode>
                <c:ptCount val="22"/>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numCache>
            </c:numRef>
          </c:cat>
          <c:val>
            <c:numRef>
              <c:f>'ingreso per cápita'!$P$7:$P$28</c:f>
              <c:numCache>
                <c:formatCode>0%</c:formatCode>
                <c:ptCount val="22"/>
                <c:pt idx="0">
                  <c:v>0.0287477954144621</c:v>
                </c:pt>
                <c:pt idx="1">
                  <c:v>0.036002057260415</c:v>
                </c:pt>
                <c:pt idx="2">
                  <c:v>0.0660268078768823</c:v>
                </c:pt>
                <c:pt idx="3">
                  <c:v>0.0302701024526546</c:v>
                </c:pt>
                <c:pt idx="4">
                  <c:v>0.0414343830043694</c:v>
                </c:pt>
                <c:pt idx="5">
                  <c:v>0.0943287037037037</c:v>
                </c:pt>
                <c:pt idx="6">
                  <c:v>0.0528820729772607</c:v>
                </c:pt>
                <c:pt idx="7">
                  <c:v>0.0323957810145655</c:v>
                </c:pt>
                <c:pt idx="8">
                  <c:v>0.0923133057650207</c:v>
                </c:pt>
                <c:pt idx="9">
                  <c:v>0.0595702037635007</c:v>
                </c:pt>
                <c:pt idx="10">
                  <c:v>0.0708070617906683</c:v>
                </c:pt>
                <c:pt idx="11">
                  <c:v>0.0319437084142968</c:v>
                </c:pt>
                <c:pt idx="12">
                  <c:v>0.0475212309682084</c:v>
                </c:pt>
                <c:pt idx="13">
                  <c:v>0.0342260553790286</c:v>
                </c:pt>
                <c:pt idx="14">
                  <c:v>0.0696102528089888</c:v>
                </c:pt>
                <c:pt idx="15">
                  <c:v>0.0428395568321707</c:v>
                </c:pt>
                <c:pt idx="16">
                  <c:v>0.0344691902101204</c:v>
                </c:pt>
                <c:pt idx="17">
                  <c:v>0.091365538227463</c:v>
                </c:pt>
                <c:pt idx="18">
                  <c:v>0.042729680747247</c:v>
                </c:pt>
                <c:pt idx="19">
                  <c:v>0.0233304365265058</c:v>
                </c:pt>
                <c:pt idx="20">
                  <c:v>0.0417428795401097</c:v>
                </c:pt>
                <c:pt idx="21">
                  <c:v>0.0212579168495643</c:v>
                </c:pt>
              </c:numCache>
            </c:numRef>
          </c:val>
        </c:ser>
        <c:dLbls/>
        <c:marker val="1"/>
        <c:axId val="75751848"/>
        <c:axId val="554794184"/>
      </c:lineChart>
      <c:catAx>
        <c:axId val="75751848"/>
        <c:scaling>
          <c:orientation val="minMax"/>
        </c:scaling>
        <c:axPos val="b"/>
        <c:numFmt formatCode="General" sourceLinked="1"/>
        <c:tickLblPos val="nextTo"/>
        <c:crossAx val="554794184"/>
        <c:crosses val="autoZero"/>
        <c:auto val="1"/>
        <c:lblAlgn val="ctr"/>
        <c:lblOffset val="100"/>
      </c:catAx>
      <c:valAx>
        <c:axId val="554794184"/>
        <c:scaling>
          <c:orientation val="minMax"/>
        </c:scaling>
        <c:axPos val="l"/>
        <c:majorGridlines/>
        <c:numFmt formatCode="0%" sourceLinked="1"/>
        <c:tickLblPos val="nextTo"/>
        <c:crossAx val="75751848"/>
        <c:crosses val="autoZero"/>
        <c:crossBetween val="between"/>
      </c:valAx>
    </c:plotArea>
    <c:legend>
      <c:legendPos val="b"/>
      <c:layout>
        <c:manualLayout>
          <c:xMode val="edge"/>
          <c:yMode val="edge"/>
          <c:x val="0.333091644794402"/>
          <c:y val="0.87461614173228"/>
          <c:w val="0.333816710411199"/>
          <c:h val="0.08371719160105"/>
        </c:manualLayout>
      </c:layout>
    </c:legend>
    <c:plotVisOnly val="1"/>
    <c:dispBlanksAs val="gap"/>
  </c:chart>
  <c:externalData r:id="rId2"/>
  <c:userShapes r:id="rId3"/>
</c:chartSpace>
</file>

<file path=word/charts/chart26.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plotArea>
      <c:layout>
        <c:manualLayout>
          <c:layoutTarget val="inner"/>
          <c:xMode val="edge"/>
          <c:yMode val="edge"/>
          <c:x val="0.10158573928259"/>
          <c:y val="0.171770924467775"/>
          <c:w val="0.867858705161855"/>
          <c:h val="0.665333552055994"/>
        </c:manualLayout>
      </c:layout>
      <c:lineChart>
        <c:grouping val="standard"/>
        <c:ser>
          <c:idx val="0"/>
          <c:order val="0"/>
          <c:tx>
            <c:v>PR</c:v>
          </c:tx>
          <c:marker>
            <c:symbol val="none"/>
          </c:marker>
          <c:cat>
            <c:numRef>
              <c:f>'razón ingreso estados-ingr. EU'!$K$5:$K$27</c:f>
              <c:numCache>
                <c:formatCode>General</c:formatCode>
                <c:ptCount val="23"/>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numCache>
            </c:numRef>
          </c:cat>
          <c:val>
            <c:numRef>
              <c:f>'razón ingreso estados-ingr. EU'!$L$6:$L$27</c:f>
              <c:numCache>
                <c:formatCode>#,##0.00</c:formatCode>
                <c:ptCount val="22"/>
                <c:pt idx="0">
                  <c:v>0.00240096415469552</c:v>
                </c:pt>
                <c:pt idx="1">
                  <c:v>-0.0192247704548159</c:v>
                </c:pt>
                <c:pt idx="2">
                  <c:v>0.0367833469559976</c:v>
                </c:pt>
                <c:pt idx="3">
                  <c:v>-0.00570084707033337</c:v>
                </c:pt>
                <c:pt idx="4">
                  <c:v>-0.00107007044355137</c:v>
                </c:pt>
                <c:pt idx="5">
                  <c:v>0.0506871888948861</c:v>
                </c:pt>
                <c:pt idx="6">
                  <c:v>0.0102564037556484</c:v>
                </c:pt>
                <c:pt idx="7">
                  <c:v>-0.0211381051847672</c:v>
                </c:pt>
                <c:pt idx="8">
                  <c:v>0.0542418585396726</c:v>
                </c:pt>
                <c:pt idx="9">
                  <c:v>-0.00467680279149455</c:v>
                </c:pt>
                <c:pt idx="10">
                  <c:v>0.0324724920448234</c:v>
                </c:pt>
                <c:pt idx="11">
                  <c:v>-0.0028372008748828</c:v>
                </c:pt>
                <c:pt idx="12">
                  <c:v>0.00899385854740568</c:v>
                </c:pt>
                <c:pt idx="13">
                  <c:v>-0.016272474165374</c:v>
                </c:pt>
                <c:pt idx="14">
                  <c:v>0.0338140213845025</c:v>
                </c:pt>
                <c:pt idx="15">
                  <c:v>-0.0139110820261309</c:v>
                </c:pt>
                <c:pt idx="16">
                  <c:v>-0.00230111205179141</c:v>
                </c:pt>
                <c:pt idx="17">
                  <c:v>0.0528243499591268</c:v>
                </c:pt>
                <c:pt idx="18">
                  <c:v>0.0575513341676104</c:v>
                </c:pt>
                <c:pt idx="19">
                  <c:v>0.0036510050548421</c:v>
                </c:pt>
                <c:pt idx="20">
                  <c:v>0.000929149613188903</c:v>
                </c:pt>
                <c:pt idx="21">
                  <c:v>-0.0100069525286988</c:v>
                </c:pt>
              </c:numCache>
            </c:numRef>
          </c:val>
        </c:ser>
        <c:ser>
          <c:idx val="1"/>
          <c:order val="1"/>
          <c:tx>
            <c:v>AR</c:v>
          </c:tx>
          <c:marker>
            <c:symbol val="none"/>
          </c:marker>
          <c:cat>
            <c:numRef>
              <c:f>'razón ingreso estados-ingr. EU'!$K$5:$K$27</c:f>
              <c:numCache>
                <c:formatCode>General</c:formatCode>
                <c:ptCount val="23"/>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numCache>
            </c:numRef>
          </c:cat>
          <c:val>
            <c:numRef>
              <c:f>'razón ingreso estados-ingr. EU'!$M$6:$M$27</c:f>
              <c:numCache>
                <c:formatCode>#,##0.00</c:formatCode>
                <c:ptCount val="22"/>
                <c:pt idx="0">
                  <c:v>0.025415223716868</c:v>
                </c:pt>
                <c:pt idx="1">
                  <c:v>0.0170419324755222</c:v>
                </c:pt>
                <c:pt idx="2">
                  <c:v>0.00144672861632797</c:v>
                </c:pt>
                <c:pt idx="3">
                  <c:v>0.00728035721378843</c:v>
                </c:pt>
                <c:pt idx="4">
                  <c:v>-0.00130524386833178</c:v>
                </c:pt>
                <c:pt idx="5">
                  <c:v>0.00767133742412677</c:v>
                </c:pt>
                <c:pt idx="6">
                  <c:v>-0.0116964992043532</c:v>
                </c:pt>
                <c:pt idx="7">
                  <c:v>-0.0102385778458993</c:v>
                </c:pt>
                <c:pt idx="8">
                  <c:v>0.0023796728868492</c:v>
                </c:pt>
                <c:pt idx="9">
                  <c:v>-0.0183419796464305</c:v>
                </c:pt>
                <c:pt idx="10">
                  <c:v>0.0185451741823427</c:v>
                </c:pt>
                <c:pt idx="11">
                  <c:v>-0.00292528494340053</c:v>
                </c:pt>
                <c:pt idx="12">
                  <c:v>0.0240117614214872</c:v>
                </c:pt>
                <c:pt idx="13">
                  <c:v>0.00624656683811189</c:v>
                </c:pt>
                <c:pt idx="14">
                  <c:v>-0.0031591227373803</c:v>
                </c:pt>
                <c:pt idx="15">
                  <c:v>-0.00618076097871019</c:v>
                </c:pt>
                <c:pt idx="16">
                  <c:v>0.014094371198122</c:v>
                </c:pt>
                <c:pt idx="17">
                  <c:v>0.00411653980033418</c:v>
                </c:pt>
                <c:pt idx="18">
                  <c:v>0.0121950441501182</c:v>
                </c:pt>
                <c:pt idx="19">
                  <c:v>-0.00388200401098525</c:v>
                </c:pt>
                <c:pt idx="20">
                  <c:v>0.0102147338801566</c:v>
                </c:pt>
                <c:pt idx="21">
                  <c:v>0.00838366803678772</c:v>
                </c:pt>
              </c:numCache>
            </c:numRef>
          </c:val>
        </c:ser>
        <c:ser>
          <c:idx val="2"/>
          <c:order val="2"/>
          <c:tx>
            <c:v>FL</c:v>
          </c:tx>
          <c:marker>
            <c:symbol val="none"/>
          </c:marker>
          <c:cat>
            <c:numRef>
              <c:f>'razón ingreso estados-ingr. EU'!$K$5:$K$27</c:f>
              <c:numCache>
                <c:formatCode>General</c:formatCode>
                <c:ptCount val="23"/>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numCache>
            </c:numRef>
          </c:cat>
          <c:val>
            <c:numRef>
              <c:f>'razón ingreso estados-ingr. EU'!$N$6:$N$27</c:f>
              <c:numCache>
                <c:formatCode>#,##0.00</c:formatCode>
                <c:ptCount val="22"/>
                <c:pt idx="0">
                  <c:v>-0.000968018595066107</c:v>
                </c:pt>
                <c:pt idx="1">
                  <c:v>-0.0198724940650829</c:v>
                </c:pt>
                <c:pt idx="2">
                  <c:v>0.00527110290431196</c:v>
                </c:pt>
                <c:pt idx="3">
                  <c:v>-0.00387199111848522</c:v>
                </c:pt>
                <c:pt idx="4">
                  <c:v>0.00499663289982969</c:v>
                </c:pt>
                <c:pt idx="5">
                  <c:v>-0.00671919366422028</c:v>
                </c:pt>
                <c:pt idx="6">
                  <c:v>-0.0146964034287446</c:v>
                </c:pt>
                <c:pt idx="7">
                  <c:v>0.00283588624726532</c:v>
                </c:pt>
                <c:pt idx="8">
                  <c:v>-0.00373095719507874</c:v>
                </c:pt>
                <c:pt idx="9">
                  <c:v>-0.00382739455228402</c:v>
                </c:pt>
                <c:pt idx="10">
                  <c:v>0.023133779501405</c:v>
                </c:pt>
                <c:pt idx="11">
                  <c:v>0.00344991566501009</c:v>
                </c:pt>
                <c:pt idx="12">
                  <c:v>0.00398001586156966</c:v>
                </c:pt>
                <c:pt idx="13">
                  <c:v>0.0104007796859901</c:v>
                </c:pt>
                <c:pt idx="14">
                  <c:v>0.0134873178201036</c:v>
                </c:pt>
                <c:pt idx="15">
                  <c:v>0.00740652957960498</c:v>
                </c:pt>
                <c:pt idx="16">
                  <c:v>-0.00912701397851084</c:v>
                </c:pt>
                <c:pt idx="17">
                  <c:v>-0.0237841103894496</c:v>
                </c:pt>
                <c:pt idx="18">
                  <c:v>-0.0283758405724328</c:v>
                </c:pt>
                <c:pt idx="19">
                  <c:v>0.0115258533929302</c:v>
                </c:pt>
                <c:pt idx="20">
                  <c:v>-0.0158280122802624</c:v>
                </c:pt>
                <c:pt idx="21">
                  <c:v>-0.00577782276669739</c:v>
                </c:pt>
              </c:numCache>
            </c:numRef>
          </c:val>
        </c:ser>
        <c:ser>
          <c:idx val="3"/>
          <c:order val="3"/>
          <c:tx>
            <c:v>HI</c:v>
          </c:tx>
          <c:marker>
            <c:symbol val="none"/>
          </c:marker>
          <c:cat>
            <c:numRef>
              <c:f>'razón ingreso estados-ingr. EU'!$K$5:$K$27</c:f>
              <c:numCache>
                <c:formatCode>General</c:formatCode>
                <c:ptCount val="23"/>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numCache>
            </c:numRef>
          </c:cat>
          <c:val>
            <c:numRef>
              <c:f>'razón ingreso estados-ingr. EU'!$O$6:$O$27</c:f>
              <c:numCache>
                <c:formatCode>#,##0.00</c:formatCode>
                <c:ptCount val="22"/>
                <c:pt idx="0">
                  <c:v>0.0122803334980373</c:v>
                </c:pt>
                <c:pt idx="1">
                  <c:v>0.0195890185316236</c:v>
                </c:pt>
                <c:pt idx="2">
                  <c:v>-0.00365607242012892</c:v>
                </c:pt>
                <c:pt idx="3">
                  <c:v>-0.022708532549324</c:v>
                </c:pt>
                <c:pt idx="4">
                  <c:v>-0.0230190851256782</c:v>
                </c:pt>
                <c:pt idx="5">
                  <c:v>-0.0411686959154511</c:v>
                </c:pt>
                <c:pt idx="6">
                  <c:v>-0.0166215609679689</c:v>
                </c:pt>
                <c:pt idx="7">
                  <c:v>-0.0306698889022656</c:v>
                </c:pt>
                <c:pt idx="8">
                  <c:v>-0.0033593759986953</c:v>
                </c:pt>
                <c:pt idx="9">
                  <c:v>-0.00970811775703176</c:v>
                </c:pt>
                <c:pt idx="10">
                  <c:v>-0.0162535619061663</c:v>
                </c:pt>
                <c:pt idx="11">
                  <c:v>0.0150384103435133</c:v>
                </c:pt>
                <c:pt idx="12">
                  <c:v>0.010216273525763</c:v>
                </c:pt>
                <c:pt idx="13">
                  <c:v>0.0105149599075639</c:v>
                </c:pt>
                <c:pt idx="14">
                  <c:v>0.00872939414672439</c:v>
                </c:pt>
                <c:pt idx="15">
                  <c:v>0.00129072220979992</c:v>
                </c:pt>
                <c:pt idx="16">
                  <c:v>0.0191777903557403</c:v>
                </c:pt>
                <c:pt idx="17">
                  <c:v>0.00539465139595779</c:v>
                </c:pt>
                <c:pt idx="18">
                  <c:v>0.0368583782707186</c:v>
                </c:pt>
                <c:pt idx="19">
                  <c:v>-0.00678380104375556</c:v>
                </c:pt>
                <c:pt idx="20">
                  <c:v>-0.00222749334846608</c:v>
                </c:pt>
                <c:pt idx="21">
                  <c:v>-0.00931317789564687</c:v>
                </c:pt>
              </c:numCache>
            </c:numRef>
          </c:val>
        </c:ser>
        <c:ser>
          <c:idx val="4"/>
          <c:order val="4"/>
          <c:tx>
            <c:v>LI</c:v>
          </c:tx>
          <c:marker>
            <c:symbol val="none"/>
          </c:marker>
          <c:cat>
            <c:numRef>
              <c:f>'razón ingreso estados-ingr. EU'!$K$5:$K$27</c:f>
              <c:numCache>
                <c:formatCode>General</c:formatCode>
                <c:ptCount val="23"/>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numCache>
            </c:numRef>
          </c:cat>
          <c:val>
            <c:numRef>
              <c:f>'razón ingreso estados-ingr. EU'!$P$6:$P$27</c:f>
              <c:numCache>
                <c:formatCode>#,##0.00</c:formatCode>
                <c:ptCount val="22"/>
                <c:pt idx="0">
                  <c:v>0.026002796184001</c:v>
                </c:pt>
                <c:pt idx="1">
                  <c:v>0.00627117807165269</c:v>
                </c:pt>
                <c:pt idx="2">
                  <c:v>0.0116762117755114</c:v>
                </c:pt>
                <c:pt idx="3">
                  <c:v>0.0233483850406922</c:v>
                </c:pt>
                <c:pt idx="4">
                  <c:v>-0.00556126693572266</c:v>
                </c:pt>
                <c:pt idx="5">
                  <c:v>-0.0102287783990966</c:v>
                </c:pt>
                <c:pt idx="6">
                  <c:v>-0.00217640155253528</c:v>
                </c:pt>
                <c:pt idx="7">
                  <c:v>-0.00373991789491043</c:v>
                </c:pt>
                <c:pt idx="8">
                  <c:v>-0.0171973611041688</c:v>
                </c:pt>
                <c:pt idx="9">
                  <c:v>-0.0155226343231002</c:v>
                </c:pt>
                <c:pt idx="10">
                  <c:v>0.0241795217629547</c:v>
                </c:pt>
                <c:pt idx="11">
                  <c:v>0.00335960135013006</c:v>
                </c:pt>
                <c:pt idx="12">
                  <c:v>-0.000908133464750234</c:v>
                </c:pt>
                <c:pt idx="13">
                  <c:v>-0.00397711595236712</c:v>
                </c:pt>
                <c:pt idx="14">
                  <c:v>0.0261084401552741</c:v>
                </c:pt>
                <c:pt idx="15">
                  <c:v>0.0548857329112255</c:v>
                </c:pt>
                <c:pt idx="16">
                  <c:v>0.0427952831903554</c:v>
                </c:pt>
                <c:pt idx="17">
                  <c:v>0.0136870455229874</c:v>
                </c:pt>
                <c:pt idx="18">
                  <c:v>0.000560765139005871</c:v>
                </c:pt>
                <c:pt idx="19">
                  <c:v>0.00803397110503705</c:v>
                </c:pt>
                <c:pt idx="20">
                  <c:v>-0.00836145418698176</c:v>
                </c:pt>
                <c:pt idx="21">
                  <c:v>0.00434111894170777</c:v>
                </c:pt>
              </c:numCache>
            </c:numRef>
          </c:val>
        </c:ser>
        <c:ser>
          <c:idx val="5"/>
          <c:order val="5"/>
          <c:tx>
            <c:v>MS</c:v>
          </c:tx>
          <c:marker>
            <c:symbol val="none"/>
          </c:marker>
          <c:cat>
            <c:numRef>
              <c:f>'razón ingreso estados-ingr. EU'!$K$5:$K$27</c:f>
              <c:numCache>
                <c:formatCode>General</c:formatCode>
                <c:ptCount val="23"/>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numCache>
            </c:numRef>
          </c:cat>
          <c:val>
            <c:numRef>
              <c:f>'razón ingreso estados-ingr. EU'!$Q$6:$Q$27</c:f>
              <c:numCache>
                <c:formatCode>#,##0.00</c:formatCode>
                <c:ptCount val="22"/>
                <c:pt idx="0">
                  <c:v>0.0262186408383614</c:v>
                </c:pt>
                <c:pt idx="1">
                  <c:v>0.00979012177106637</c:v>
                </c:pt>
                <c:pt idx="2">
                  <c:v>0.0208662229774072</c:v>
                </c:pt>
                <c:pt idx="3">
                  <c:v>0.0298728739146591</c:v>
                </c:pt>
                <c:pt idx="4">
                  <c:v>-0.00358758743171794</c:v>
                </c:pt>
                <c:pt idx="5">
                  <c:v>0.00786481375781626</c:v>
                </c:pt>
                <c:pt idx="6">
                  <c:v>-0.00053667768061557</c:v>
                </c:pt>
                <c:pt idx="7">
                  <c:v>4.58855658536608E-5</c:v>
                </c:pt>
                <c:pt idx="8">
                  <c:v>-0.00578749873070719</c:v>
                </c:pt>
                <c:pt idx="9">
                  <c:v>-0.0123974422867261</c:v>
                </c:pt>
                <c:pt idx="10">
                  <c:v>0.0156480629149347</c:v>
                </c:pt>
                <c:pt idx="11">
                  <c:v>-0.00344134290858165</c:v>
                </c:pt>
                <c:pt idx="12">
                  <c:v>0.00475346210038145</c:v>
                </c:pt>
                <c:pt idx="13">
                  <c:v>0.0060372167571267</c:v>
                </c:pt>
                <c:pt idx="14">
                  <c:v>0.021229554113202</c:v>
                </c:pt>
                <c:pt idx="15">
                  <c:v>-0.019481544757433</c:v>
                </c:pt>
                <c:pt idx="16">
                  <c:v>0.0138928781682343</c:v>
                </c:pt>
                <c:pt idx="17">
                  <c:v>0.00591581971240019</c:v>
                </c:pt>
                <c:pt idx="18">
                  <c:v>0.0212632101301937</c:v>
                </c:pt>
                <c:pt idx="19">
                  <c:v>-0.00478931375859028</c:v>
                </c:pt>
                <c:pt idx="20">
                  <c:v>0.00150947442709302</c:v>
                </c:pt>
                <c:pt idx="21">
                  <c:v>0.0127263810142469</c:v>
                </c:pt>
              </c:numCache>
            </c:numRef>
          </c:val>
        </c:ser>
        <c:ser>
          <c:idx val="6"/>
          <c:order val="6"/>
          <c:tx>
            <c:v>UH</c:v>
          </c:tx>
          <c:marker>
            <c:symbol val="none"/>
          </c:marker>
          <c:cat>
            <c:numRef>
              <c:f>'razón ingreso estados-ingr. EU'!$K$5:$K$27</c:f>
              <c:numCache>
                <c:formatCode>General</c:formatCode>
                <c:ptCount val="23"/>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numCache>
            </c:numRef>
          </c:cat>
          <c:val>
            <c:numRef>
              <c:f>'razón ingreso estados-ingr. EU'!$R$6:$R$27</c:f>
              <c:numCache>
                <c:formatCode>#,##0.00</c:formatCode>
                <c:ptCount val="22"/>
                <c:pt idx="0">
                  <c:v>0.0219549954136105</c:v>
                </c:pt>
                <c:pt idx="1">
                  <c:v>-0.0135757098212544</c:v>
                </c:pt>
                <c:pt idx="2">
                  <c:v>0.0128937816367909</c:v>
                </c:pt>
                <c:pt idx="3">
                  <c:v>0.0132594791370899</c:v>
                </c:pt>
                <c:pt idx="4">
                  <c:v>0.00845718755148687</c:v>
                </c:pt>
                <c:pt idx="5">
                  <c:v>0.0158755899105638</c:v>
                </c:pt>
                <c:pt idx="6">
                  <c:v>0.0103082640943539</c:v>
                </c:pt>
                <c:pt idx="7">
                  <c:v>0.00174646948831285</c:v>
                </c:pt>
                <c:pt idx="8">
                  <c:v>-0.00403768177757097</c:v>
                </c:pt>
                <c:pt idx="9">
                  <c:v>0.00569907216736941</c:v>
                </c:pt>
                <c:pt idx="10">
                  <c:v>0.0134148325553999</c:v>
                </c:pt>
                <c:pt idx="11">
                  <c:v>-0.0046485441338044</c:v>
                </c:pt>
                <c:pt idx="12">
                  <c:v>-0.0144678170815896</c:v>
                </c:pt>
                <c:pt idx="13">
                  <c:v>-0.00167699259877393</c:v>
                </c:pt>
                <c:pt idx="14">
                  <c:v>0.018653803537679</c:v>
                </c:pt>
                <c:pt idx="15">
                  <c:v>0.0144299552853748</c:v>
                </c:pt>
                <c:pt idx="16">
                  <c:v>0.0156854835145883</c:v>
                </c:pt>
                <c:pt idx="17">
                  <c:v>-0.00819210810359202</c:v>
                </c:pt>
                <c:pt idx="18">
                  <c:v>-0.0157796757356119</c:v>
                </c:pt>
                <c:pt idx="19">
                  <c:v>-0.0139348603204026</c:v>
                </c:pt>
                <c:pt idx="20">
                  <c:v>7.96172106883669E-6</c:v>
                </c:pt>
                <c:pt idx="21">
                  <c:v>0.00262004570765751</c:v>
                </c:pt>
              </c:numCache>
            </c:numRef>
          </c:val>
        </c:ser>
        <c:dLbls/>
        <c:marker val="1"/>
        <c:axId val="652871208"/>
        <c:axId val="878881848"/>
      </c:lineChart>
      <c:catAx>
        <c:axId val="652871208"/>
        <c:scaling>
          <c:orientation val="minMax"/>
        </c:scaling>
        <c:axPos val="b"/>
        <c:numFmt formatCode="General" sourceLinked="1"/>
        <c:tickLblPos val="nextTo"/>
        <c:crossAx val="878881848"/>
        <c:crosses val="autoZero"/>
        <c:auto val="1"/>
        <c:lblAlgn val="ctr"/>
        <c:lblOffset val="100"/>
      </c:catAx>
      <c:valAx>
        <c:axId val="878881848"/>
        <c:scaling>
          <c:orientation val="minMax"/>
        </c:scaling>
        <c:axPos val="l"/>
        <c:majorGridlines/>
        <c:numFmt formatCode="#,##0.00" sourceLinked="1"/>
        <c:tickLblPos val="nextTo"/>
        <c:crossAx val="652871208"/>
        <c:crosses val="autoZero"/>
        <c:crossBetween val="between"/>
      </c:valAx>
    </c:plotArea>
    <c:legend>
      <c:legendPos val="b"/>
      <c:layout>
        <c:manualLayout>
          <c:xMode val="edge"/>
          <c:yMode val="edge"/>
          <c:x val="0.100208005249344"/>
          <c:y val="0.865356882473026"/>
          <c:w val="0.799583989501309"/>
          <c:h val="0.08371719160105"/>
        </c:manualLayout>
      </c:layout>
    </c:legend>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200">
                <a:latin typeface="Arial Narrow" panose="020B0606020202030204" pitchFamily="34" charset="0"/>
                <a:cs typeface="Arial" pitchFamily="34" charset="0"/>
              </a:rPr>
              <a:t>Gráfica 3</a:t>
            </a:r>
          </a:p>
          <a:p>
            <a:pPr>
              <a:defRPr/>
            </a:pPr>
            <a:r>
              <a:rPr lang="en-US" sz="1200">
                <a:latin typeface="Arial Narrow" panose="020B0606020202030204" pitchFamily="34" charset="0"/>
                <a:cs typeface="Arial" pitchFamily="34" charset="0"/>
              </a:rPr>
              <a:t>Transferencias</a:t>
            </a:r>
            <a:r>
              <a:rPr lang="en-US" sz="1200" baseline="0">
                <a:latin typeface="Arial Narrow" panose="020B0606020202030204" pitchFamily="34" charset="0"/>
                <a:cs typeface="Arial" pitchFamily="34" charset="0"/>
              </a:rPr>
              <a:t> Federales como Por Ciento del </a:t>
            </a:r>
          </a:p>
          <a:p>
            <a:pPr>
              <a:defRPr/>
            </a:pPr>
            <a:r>
              <a:rPr lang="en-US" sz="1200" baseline="0">
                <a:latin typeface="Arial Narrow" panose="020B0606020202030204" pitchFamily="34" charset="0"/>
                <a:cs typeface="Arial" pitchFamily="34" charset="0"/>
              </a:rPr>
              <a:t>Ingreso Fiscal </a:t>
            </a:r>
            <a:endParaRPr lang="en-US" sz="1200">
              <a:latin typeface="Arial Narrow" panose="020B0606020202030204" pitchFamily="34" charset="0"/>
              <a:cs typeface="Arial" pitchFamily="34" charset="0"/>
            </a:endParaRPr>
          </a:p>
        </c:rich>
      </c:tx>
      <c:layout>
        <c:manualLayout>
          <c:xMode val="edge"/>
          <c:yMode val="edge"/>
          <c:x val="0.103111111111111"/>
          <c:y val="0.0169376693766938"/>
        </c:manualLayout>
      </c:layout>
    </c:title>
    <c:plotArea>
      <c:layout/>
      <c:barChart>
        <c:barDir val="col"/>
        <c:grouping val="clustered"/>
        <c:ser>
          <c:idx val="0"/>
          <c:order val="0"/>
          <c:tx>
            <c:v>Puerto Rico</c:v>
          </c:tx>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3'!$C$5:$C$24</c:f>
              <c:numCache>
                <c:formatCode>0.0%</c:formatCode>
                <c:ptCount val="20"/>
                <c:pt idx="0">
                  <c:v>0.243729135972847</c:v>
                </c:pt>
                <c:pt idx="1">
                  <c:v>0.253518896474067</c:v>
                </c:pt>
                <c:pt idx="2">
                  <c:v>0.232370615648761</c:v>
                </c:pt>
                <c:pt idx="3">
                  <c:v>0.232162852795085</c:v>
                </c:pt>
                <c:pt idx="4">
                  <c:v>0.22491359125878</c:v>
                </c:pt>
                <c:pt idx="5">
                  <c:v>0.220151319431629</c:v>
                </c:pt>
                <c:pt idx="6">
                  <c:v>0.213561145230084</c:v>
                </c:pt>
                <c:pt idx="7">
                  <c:v>0.255083474319279</c:v>
                </c:pt>
                <c:pt idx="8">
                  <c:v>0.205951996555807</c:v>
                </c:pt>
                <c:pt idx="9">
                  <c:v>0.208005025767707</c:v>
                </c:pt>
                <c:pt idx="10">
                  <c:v>0.221953671639366</c:v>
                </c:pt>
                <c:pt idx="11">
                  <c:v>0.207208498118111</c:v>
                </c:pt>
                <c:pt idx="12">
                  <c:v>0.196072205222947</c:v>
                </c:pt>
                <c:pt idx="13">
                  <c:v>0.178195234608235</c:v>
                </c:pt>
                <c:pt idx="14">
                  <c:v>0.193827160493827</c:v>
                </c:pt>
                <c:pt idx="15">
                  <c:v>0.198353344768439</c:v>
                </c:pt>
                <c:pt idx="16">
                  <c:v>0.214016732685578</c:v>
                </c:pt>
                <c:pt idx="17">
                  <c:v>0.262033345415005</c:v>
                </c:pt>
                <c:pt idx="18">
                  <c:v>0.350029265320196</c:v>
                </c:pt>
                <c:pt idx="19">
                  <c:v>0.354824919050299</c:v>
                </c:pt>
              </c:numCache>
            </c:numRef>
          </c:val>
        </c:ser>
        <c:ser>
          <c:idx val="1"/>
          <c:order val="1"/>
          <c:tx>
            <c:v>Promedio Estados</c:v>
          </c:tx>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3'!$L$5:$L$24</c:f>
              <c:numCache>
                <c:formatCode>General</c:formatCode>
                <c:ptCount val="20"/>
                <c:pt idx="0">
                  <c:v>0.2768376</c:v>
                </c:pt>
                <c:pt idx="1">
                  <c:v>0.283580000000001</c:v>
                </c:pt>
                <c:pt idx="2">
                  <c:v>0.2895916</c:v>
                </c:pt>
                <c:pt idx="3">
                  <c:v>0.2869925</c:v>
                </c:pt>
                <c:pt idx="4">
                  <c:v>0.2857256</c:v>
                </c:pt>
                <c:pt idx="5">
                  <c:v>0.279306100000001</c:v>
                </c:pt>
                <c:pt idx="6">
                  <c:v>0.2747581</c:v>
                </c:pt>
                <c:pt idx="7">
                  <c:v>0.2805978</c:v>
                </c:pt>
                <c:pt idx="8">
                  <c:v>0.2792645</c:v>
                </c:pt>
                <c:pt idx="9">
                  <c:v>0.293320600000002</c:v>
                </c:pt>
                <c:pt idx="10">
                  <c:v>0.3172432</c:v>
                </c:pt>
                <c:pt idx="11">
                  <c:v>0.325845200000001</c:v>
                </c:pt>
                <c:pt idx="12">
                  <c:v>0.329750800000001</c:v>
                </c:pt>
                <c:pt idx="13">
                  <c:v>0.318227600000001</c:v>
                </c:pt>
                <c:pt idx="14">
                  <c:v>0.3042043</c:v>
                </c:pt>
                <c:pt idx="15">
                  <c:v>0.2971352</c:v>
                </c:pt>
                <c:pt idx="16">
                  <c:v>0.2936466</c:v>
                </c:pt>
                <c:pt idx="17">
                  <c:v>0.3292672</c:v>
                </c:pt>
                <c:pt idx="18">
                  <c:v>0.368883900000002</c:v>
                </c:pt>
                <c:pt idx="19">
                  <c:v>0.3586636</c:v>
                </c:pt>
              </c:numCache>
            </c:numRef>
          </c:val>
        </c:ser>
        <c:dLbls/>
        <c:axId val="554429864"/>
        <c:axId val="879154344"/>
      </c:barChart>
      <c:catAx>
        <c:axId val="554429864"/>
        <c:scaling>
          <c:orientation val="minMax"/>
        </c:scaling>
        <c:axPos val="b"/>
        <c:numFmt formatCode="General" sourceLinked="1"/>
        <c:tickLblPos val="nextTo"/>
        <c:txPr>
          <a:bodyPr/>
          <a:lstStyle/>
          <a:p>
            <a:pPr>
              <a:defRPr sz="800">
                <a:latin typeface="Arial Narrow" pitchFamily="34" charset="0"/>
              </a:defRPr>
            </a:pPr>
            <a:endParaRPr lang="en-US"/>
          </a:p>
        </c:txPr>
        <c:crossAx val="879154344"/>
        <c:crosses val="autoZero"/>
        <c:auto val="1"/>
        <c:lblAlgn val="ctr"/>
        <c:lblOffset val="100"/>
      </c:catAx>
      <c:valAx>
        <c:axId val="879154344"/>
        <c:scaling>
          <c:orientation val="minMax"/>
        </c:scaling>
        <c:axPos val="l"/>
        <c:majorGridlines/>
        <c:numFmt formatCode="0.0%" sourceLinked="1"/>
        <c:tickLblPos val="nextTo"/>
        <c:txPr>
          <a:bodyPr/>
          <a:lstStyle/>
          <a:p>
            <a:pPr>
              <a:defRPr sz="800">
                <a:latin typeface="Arial Narrow" pitchFamily="34" charset="0"/>
              </a:defRPr>
            </a:pPr>
            <a:endParaRPr lang="en-US"/>
          </a:p>
        </c:txPr>
        <c:crossAx val="554429864"/>
        <c:crosses val="autoZero"/>
        <c:crossBetween val="between"/>
      </c:valAx>
    </c:plotArea>
    <c:legend>
      <c:legendPos val="r"/>
      <c:txPr>
        <a:bodyPr/>
        <a:lstStyle/>
        <a:p>
          <a:pPr>
            <a:defRPr sz="900">
              <a:latin typeface="Arial Narrow" pitchFamily="34" charset="0"/>
            </a:defRPr>
          </a:pPr>
          <a:endParaRPr lang="en-US"/>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marL="0" marR="0" indent="0" algn="ctr" defTabSz="91440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anose="020B0606020202030204" pitchFamily="34" charset="0"/>
                <a:cs typeface="Arial" pitchFamily="34" charset="0"/>
              </a:rPr>
              <a:t>Gráfica 4</a:t>
            </a:r>
            <a:endParaRPr lang="en-US" sz="1200">
              <a:latin typeface="Arial Narrow" panose="020B0606020202030204" pitchFamily="34" charset="0"/>
              <a:cs typeface="Arial" pitchFamily="34" charset="0"/>
            </a:endParaRPr>
          </a:p>
          <a:p>
            <a:pPr marL="0" marR="0" indent="0" algn="ctr" defTabSz="91440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anose="020B0606020202030204" pitchFamily="34" charset="0"/>
                <a:cs typeface="Arial" pitchFamily="34" charset="0"/>
              </a:rPr>
              <a:t>Ingresos de Fuentes Contributivas como Por Ciento </a:t>
            </a:r>
          </a:p>
          <a:p>
            <a:pPr marL="0" marR="0" indent="0" algn="ctr" defTabSz="91440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anose="020B0606020202030204" pitchFamily="34" charset="0"/>
                <a:cs typeface="Arial" pitchFamily="34" charset="0"/>
              </a:rPr>
              <a:t>de los Ingresos Fiscales</a:t>
            </a:r>
          </a:p>
          <a:p>
            <a:pPr marL="0" marR="0" indent="0" algn="ctr" defTabSz="91440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anose="020B0606020202030204" pitchFamily="34" charset="0"/>
              </a:rPr>
              <a:t>(1992-2011)</a:t>
            </a:r>
            <a:endParaRPr lang="en-US" sz="1200">
              <a:latin typeface="Arial Narrow" panose="020B0606020202030204" pitchFamily="34" charset="0"/>
            </a:endParaRPr>
          </a:p>
          <a:p>
            <a:pPr marL="0" marR="0" indent="0" algn="ctr" defTabSz="91440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200">
              <a:latin typeface="Arial" pitchFamily="34" charset="0"/>
              <a:cs typeface="Arial" pitchFamily="34" charset="0"/>
            </a:endParaRPr>
          </a:p>
        </c:rich>
      </c:tx>
      <c:layout>
        <c:manualLayout>
          <c:xMode val="edge"/>
          <c:yMode val="edge"/>
          <c:x val="0.159839179699568"/>
          <c:y val="0.0349895031490553"/>
        </c:manualLayout>
      </c:layout>
    </c:title>
    <c:plotArea>
      <c:layout/>
      <c:barChart>
        <c:barDir val="col"/>
        <c:grouping val="clustered"/>
        <c:ser>
          <c:idx val="0"/>
          <c:order val="0"/>
          <c:tx>
            <c:v>Puerto Rico</c:v>
          </c:tx>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3'!$B$5:$B$24</c:f>
              <c:numCache>
                <c:formatCode>0.0%</c:formatCode>
                <c:ptCount val="20"/>
                <c:pt idx="0">
                  <c:v>0.644840640793722</c:v>
                </c:pt>
                <c:pt idx="1">
                  <c:v>0.641952283763812</c:v>
                </c:pt>
                <c:pt idx="2">
                  <c:v>0.649619818493997</c:v>
                </c:pt>
                <c:pt idx="3">
                  <c:v>0.668422866002469</c:v>
                </c:pt>
                <c:pt idx="4">
                  <c:v>0.680176162336938</c:v>
                </c:pt>
                <c:pt idx="5">
                  <c:v>0.6858144623415</c:v>
                </c:pt>
                <c:pt idx="6">
                  <c:v>0.689864788802858</c:v>
                </c:pt>
                <c:pt idx="7">
                  <c:v>0.661303880571605</c:v>
                </c:pt>
                <c:pt idx="8">
                  <c:v>0.704800344419331</c:v>
                </c:pt>
                <c:pt idx="9">
                  <c:v>0.683451169129861</c:v>
                </c:pt>
                <c:pt idx="10">
                  <c:v>0.670958962537198</c:v>
                </c:pt>
                <c:pt idx="11">
                  <c:v>0.676095221719115</c:v>
                </c:pt>
                <c:pt idx="12">
                  <c:v>0.696649539095129</c:v>
                </c:pt>
                <c:pt idx="13">
                  <c:v>0.709767363262547</c:v>
                </c:pt>
                <c:pt idx="14">
                  <c:v>0.709384505278223</c:v>
                </c:pt>
                <c:pt idx="15">
                  <c:v>0.704202401372213</c:v>
                </c:pt>
                <c:pt idx="16">
                  <c:v>0.675044851413047</c:v>
                </c:pt>
                <c:pt idx="17">
                  <c:v>0.639960130482059</c:v>
                </c:pt>
                <c:pt idx="18">
                  <c:v>0.569174397254676</c:v>
                </c:pt>
                <c:pt idx="19">
                  <c:v>0.58394622881255</c:v>
                </c:pt>
              </c:numCache>
            </c:numRef>
          </c:val>
        </c:ser>
        <c:ser>
          <c:idx val="1"/>
          <c:order val="1"/>
          <c:tx>
            <c:v>Promedio Estados</c:v>
          </c:tx>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3'!$K$5:$K$24</c:f>
              <c:numCache>
                <c:formatCode>General</c:formatCode>
                <c:ptCount val="20"/>
                <c:pt idx="0">
                  <c:v>0.5206832</c:v>
                </c:pt>
                <c:pt idx="1">
                  <c:v>0.5222335</c:v>
                </c:pt>
                <c:pt idx="2">
                  <c:v>0.5191569</c:v>
                </c:pt>
                <c:pt idx="3">
                  <c:v>0.5187239</c:v>
                </c:pt>
                <c:pt idx="4">
                  <c:v>0.518036399999997</c:v>
                </c:pt>
                <c:pt idx="5">
                  <c:v>0.5210011</c:v>
                </c:pt>
                <c:pt idx="6">
                  <c:v>0.524547199999997</c:v>
                </c:pt>
                <c:pt idx="7">
                  <c:v>0.525105400000001</c:v>
                </c:pt>
                <c:pt idx="8">
                  <c:v>0.520502099999997</c:v>
                </c:pt>
                <c:pt idx="9">
                  <c:v>0.506564699999997</c:v>
                </c:pt>
                <c:pt idx="10">
                  <c:v>0.481416600000001</c:v>
                </c:pt>
                <c:pt idx="11">
                  <c:v>0.472876500000001</c:v>
                </c:pt>
                <c:pt idx="12">
                  <c:v>0.4746047</c:v>
                </c:pt>
                <c:pt idx="13">
                  <c:v>0.4842251</c:v>
                </c:pt>
                <c:pt idx="14">
                  <c:v>0.492315200000001</c:v>
                </c:pt>
                <c:pt idx="15">
                  <c:v>0.497479300000001</c:v>
                </c:pt>
                <c:pt idx="16">
                  <c:v>0.495961400000001</c:v>
                </c:pt>
                <c:pt idx="17">
                  <c:v>0.4606367</c:v>
                </c:pt>
                <c:pt idx="18">
                  <c:v>0.4297631</c:v>
                </c:pt>
                <c:pt idx="19">
                  <c:v>0.4412917</c:v>
                </c:pt>
              </c:numCache>
            </c:numRef>
          </c:val>
        </c:ser>
        <c:dLbls/>
        <c:axId val="875081032"/>
        <c:axId val="891239608"/>
      </c:barChart>
      <c:catAx>
        <c:axId val="875081032"/>
        <c:scaling>
          <c:orientation val="minMax"/>
        </c:scaling>
        <c:axPos val="b"/>
        <c:numFmt formatCode="General" sourceLinked="1"/>
        <c:tickLblPos val="nextTo"/>
        <c:txPr>
          <a:bodyPr/>
          <a:lstStyle/>
          <a:p>
            <a:pPr>
              <a:defRPr sz="800">
                <a:latin typeface="Arial Narrow" pitchFamily="34" charset="0"/>
              </a:defRPr>
            </a:pPr>
            <a:endParaRPr lang="en-US"/>
          </a:p>
        </c:txPr>
        <c:crossAx val="891239608"/>
        <c:crosses val="autoZero"/>
        <c:auto val="1"/>
        <c:lblAlgn val="ctr"/>
        <c:lblOffset val="100"/>
      </c:catAx>
      <c:valAx>
        <c:axId val="891239608"/>
        <c:scaling>
          <c:orientation val="minMax"/>
        </c:scaling>
        <c:axPos val="l"/>
        <c:majorGridlines/>
        <c:numFmt formatCode="0.0%" sourceLinked="1"/>
        <c:tickLblPos val="nextTo"/>
        <c:txPr>
          <a:bodyPr/>
          <a:lstStyle/>
          <a:p>
            <a:pPr>
              <a:defRPr sz="800">
                <a:latin typeface="Arial Narrow" pitchFamily="34" charset="0"/>
              </a:defRPr>
            </a:pPr>
            <a:endParaRPr lang="en-US"/>
          </a:p>
        </c:txPr>
        <c:crossAx val="875081032"/>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marL="0" marR="0" indent="0" algn="ctr" defTabSz="914400" rtl="0" eaLnBrk="1" fontAlgn="base"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latin typeface="Arial Narrow" pitchFamily="34" charset="0"/>
              </a:rPr>
              <a:t>Gráfica</a:t>
            </a:r>
            <a:r>
              <a:rPr lang="en-US" sz="1200" baseline="0">
                <a:latin typeface="Arial Narrow" pitchFamily="34" charset="0"/>
              </a:rPr>
              <a:t> 5</a:t>
            </a:r>
          </a:p>
          <a:p>
            <a:pPr marL="0" marR="0" indent="0" algn="ctr" defTabSz="914400" rtl="0" eaLnBrk="1" fontAlgn="base"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pitchFamily="34" charset="0"/>
                <a:cs typeface="Arial" pitchFamily="34" charset="0"/>
              </a:rPr>
              <a:t>Fuentes de Ingreso Contributivas como Por Ciento de los Ingresos Fiscales</a:t>
            </a:r>
          </a:p>
          <a:p>
            <a:pPr marL="0" marR="0" indent="0" algn="ctr" defTabSz="914400" rtl="0" eaLnBrk="1" fontAlgn="base"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aseline="0">
                <a:latin typeface="Arial Narrow" pitchFamily="34" charset="0"/>
              </a:rPr>
              <a:t>Promedio  Estados</a:t>
            </a:r>
          </a:p>
          <a:p>
            <a:pPr marL="0" marR="0" indent="0" algn="ctr" defTabSz="914400" rtl="0" eaLnBrk="1" fontAlgn="base"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itchFamily="34" charset="0"/>
              </a:rPr>
              <a:t>(1992-2011)</a:t>
            </a:r>
          </a:p>
          <a:p>
            <a:pPr marL="0" marR="0" indent="0" algn="ctr" defTabSz="914400" rtl="0" eaLnBrk="1" fontAlgn="base"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baseline="0"/>
          </a:p>
          <a:p>
            <a:pPr marL="0" marR="0" indent="0" algn="ctr" defTabSz="914400" rtl="0" eaLnBrk="1" fontAlgn="base"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0.114304461942257"/>
          <c:y val="0.0195421552205472"/>
        </c:manualLayout>
      </c:layout>
      <c:overlay val="1"/>
    </c:title>
    <c:plotArea>
      <c:layout>
        <c:manualLayout>
          <c:layoutTarget val="inner"/>
          <c:xMode val="edge"/>
          <c:yMode val="edge"/>
          <c:x val="0.0397677659292481"/>
          <c:y val="0.284327856147168"/>
          <c:w val="0.598364945039985"/>
          <c:h val="0.649403663058864"/>
        </c:manualLayout>
      </c:layout>
      <c:barChart>
        <c:barDir val="col"/>
        <c:grouping val="clustered"/>
        <c:varyColors val="1"/>
        <c:ser>
          <c:idx val="0"/>
          <c:order val="0"/>
          <c:tx>
            <c:strRef>
              <c:f>'grafica 3'!$M$4</c:f>
              <c:strCache>
                <c:ptCount val="1"/>
                <c:pt idx="0">
                  <c:v>Impuestos al Consumo como % del Ingreso Estatal</c:v>
                </c:pt>
              </c:strCache>
            </c:strRef>
          </c:tx>
          <c:invertIfNegative val="1"/>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3'!$M$5:$M$24</c:f>
              <c:numCache>
                <c:formatCode>0.0%</c:formatCode>
                <c:ptCount val="20"/>
                <c:pt idx="0">
                  <c:v>0.2622159</c:v>
                </c:pt>
                <c:pt idx="1">
                  <c:v>0.2604526</c:v>
                </c:pt>
                <c:pt idx="2">
                  <c:v>0.2612965</c:v>
                </c:pt>
                <c:pt idx="3">
                  <c:v>0.2604407</c:v>
                </c:pt>
                <c:pt idx="4">
                  <c:v>0.2589985</c:v>
                </c:pt>
                <c:pt idx="5">
                  <c:v>0.2575019</c:v>
                </c:pt>
                <c:pt idx="6">
                  <c:v>0.2567255</c:v>
                </c:pt>
                <c:pt idx="7">
                  <c:v>0.2564209</c:v>
                </c:pt>
                <c:pt idx="8">
                  <c:v>0.2506441</c:v>
                </c:pt>
                <c:pt idx="9">
                  <c:v>0.2415835</c:v>
                </c:pt>
                <c:pt idx="10">
                  <c:v>0.2402754</c:v>
                </c:pt>
                <c:pt idx="11">
                  <c:v>0.238094</c:v>
                </c:pt>
                <c:pt idx="12">
                  <c:v>0.237084</c:v>
                </c:pt>
                <c:pt idx="13">
                  <c:v>0.2337302</c:v>
                </c:pt>
                <c:pt idx="14">
                  <c:v>0.2319803</c:v>
                </c:pt>
                <c:pt idx="15">
                  <c:v>0.2317365</c:v>
                </c:pt>
                <c:pt idx="16">
                  <c:v>0.2289115</c:v>
                </c:pt>
                <c:pt idx="17">
                  <c:v>0.2202187</c:v>
                </c:pt>
                <c:pt idx="18">
                  <c:v>0.2088181</c:v>
                </c:pt>
                <c:pt idx="19">
                  <c:v>0.2107892</c:v>
                </c:pt>
              </c:numCache>
            </c:numRef>
          </c:val>
        </c:ser>
        <c:ser>
          <c:idx val="1"/>
          <c:order val="1"/>
          <c:tx>
            <c:strRef>
              <c:f>'grafica 3'!$N$4</c:f>
              <c:strCache>
                <c:ptCount val="1"/>
                <c:pt idx="0">
                  <c:v>Impuestos sobre Ingreso Individuos como % del  Ingreso Estatal</c:v>
                </c:pt>
              </c:strCache>
            </c:strRef>
          </c:tx>
          <c:invertIfNegative val="1"/>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3'!$N$5:$N$24</c:f>
              <c:numCache>
                <c:formatCode>0.0%</c:formatCode>
                <c:ptCount val="20"/>
                <c:pt idx="0">
                  <c:v>0.1544875</c:v>
                </c:pt>
                <c:pt idx="1">
                  <c:v>0.1557464</c:v>
                </c:pt>
                <c:pt idx="2">
                  <c:v>0.1535551</c:v>
                </c:pt>
                <c:pt idx="3">
                  <c:v>0.1529057</c:v>
                </c:pt>
                <c:pt idx="4">
                  <c:v>0.1563584</c:v>
                </c:pt>
                <c:pt idx="5">
                  <c:v>0.1610785</c:v>
                </c:pt>
                <c:pt idx="6">
                  <c:v>0.1679433</c:v>
                </c:pt>
                <c:pt idx="7">
                  <c:v>0.1693724</c:v>
                </c:pt>
                <c:pt idx="8">
                  <c:v>0.169237</c:v>
                </c:pt>
                <c:pt idx="9">
                  <c:v>0.1679705</c:v>
                </c:pt>
                <c:pt idx="10">
                  <c:v>0.152468</c:v>
                </c:pt>
                <c:pt idx="11">
                  <c:v>0.1454151</c:v>
                </c:pt>
                <c:pt idx="12">
                  <c:v>0.1455634</c:v>
                </c:pt>
                <c:pt idx="13">
                  <c:v>0.1517432</c:v>
                </c:pt>
                <c:pt idx="14">
                  <c:v>0.1546175</c:v>
                </c:pt>
                <c:pt idx="15">
                  <c:v>0.1599296</c:v>
                </c:pt>
                <c:pt idx="16">
                  <c:v>0.1606894</c:v>
                </c:pt>
                <c:pt idx="17">
                  <c:v>0.1434491</c:v>
                </c:pt>
                <c:pt idx="18">
                  <c:v>0.1295036</c:v>
                </c:pt>
                <c:pt idx="19">
                  <c:v>0.1354137</c:v>
                </c:pt>
              </c:numCache>
            </c:numRef>
          </c:val>
        </c:ser>
        <c:ser>
          <c:idx val="2"/>
          <c:order val="2"/>
          <c:tx>
            <c:strRef>
              <c:f>'grafica 3'!$O$4</c:f>
              <c:strCache>
                <c:ptCount val="1"/>
                <c:pt idx="0">
                  <c:v>Impuestos Corporativos como % del  Ingreso Estatal</c:v>
                </c:pt>
              </c:strCache>
            </c:strRef>
          </c:tx>
          <c:invertIfNegative val="1"/>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3'!$O$5:$O$24</c:f>
              <c:numCache>
                <c:formatCode>0.0%</c:formatCode>
                <c:ptCount val="20"/>
                <c:pt idx="0">
                  <c:v>0.0290577</c:v>
                </c:pt>
                <c:pt idx="1">
                  <c:v>0.0318324</c:v>
                </c:pt>
                <c:pt idx="2">
                  <c:v>0.0310446</c:v>
                </c:pt>
                <c:pt idx="3">
                  <c:v>0.0340976</c:v>
                </c:pt>
                <c:pt idx="4">
                  <c:v>0.0329507</c:v>
                </c:pt>
                <c:pt idx="5">
                  <c:v>0.0328606</c:v>
                </c:pt>
                <c:pt idx="6">
                  <c:v>0.0314443</c:v>
                </c:pt>
                <c:pt idx="7">
                  <c:v>0.0303103</c:v>
                </c:pt>
                <c:pt idx="8">
                  <c:v>0.0290455</c:v>
                </c:pt>
                <c:pt idx="9">
                  <c:v>0.0261923</c:v>
                </c:pt>
                <c:pt idx="10">
                  <c:v>0.0209375</c:v>
                </c:pt>
                <c:pt idx="11">
                  <c:v>0.0214388</c:v>
                </c:pt>
                <c:pt idx="12">
                  <c:v>0.0222225</c:v>
                </c:pt>
                <c:pt idx="13">
                  <c:v>0.0272641</c:v>
                </c:pt>
                <c:pt idx="14">
                  <c:v>0.0322310000000001</c:v>
                </c:pt>
                <c:pt idx="15">
                  <c:v>0.0333474</c:v>
                </c:pt>
                <c:pt idx="16">
                  <c:v>0.0301185</c:v>
                </c:pt>
                <c:pt idx="17">
                  <c:v>0.0233306</c:v>
                </c:pt>
                <c:pt idx="18">
                  <c:v>0.0208057</c:v>
                </c:pt>
                <c:pt idx="19">
                  <c:v>0.0227615</c:v>
                </c:pt>
              </c:numCache>
            </c:numRef>
          </c:val>
        </c:ser>
        <c:dLbls/>
        <c:axId val="878850248"/>
        <c:axId val="617986216"/>
      </c:barChart>
      <c:catAx>
        <c:axId val="878850248"/>
        <c:scaling>
          <c:orientation val="minMax"/>
        </c:scaling>
        <c:delete val="1"/>
        <c:axPos val="b"/>
        <c:numFmt formatCode="General" sourceLinked="1"/>
        <c:majorTickMark val="cross"/>
        <c:minorTickMark val="cross"/>
        <c:tickLblPos val="none"/>
        <c:crossAx val="617986216"/>
        <c:crosses val="autoZero"/>
        <c:auto val="1"/>
        <c:lblAlgn val="ctr"/>
        <c:lblOffset val="100"/>
        <c:noMultiLvlLbl val="1"/>
      </c:catAx>
      <c:valAx>
        <c:axId val="617986216"/>
        <c:scaling>
          <c:orientation val="minMax"/>
        </c:scaling>
        <c:delete val="1"/>
        <c:axPos val="l"/>
        <c:majorGridlines/>
        <c:numFmt formatCode="0.0%" sourceLinked="1"/>
        <c:majorTickMark val="cross"/>
        <c:minorTickMark val="cross"/>
        <c:tickLblPos val="none"/>
        <c:crossAx val="878850248"/>
        <c:crosses val="autoZero"/>
        <c:crossBetween val="between"/>
      </c:valAx>
    </c:plotArea>
    <c:legend>
      <c:legendPos val="r"/>
      <c:overlay val="1"/>
      <c:txPr>
        <a:bodyPr/>
        <a:lstStyle/>
        <a:p>
          <a:pPr>
            <a:defRPr sz="800">
              <a:latin typeface="Arial Narrow" pitchFamily="34" charset="0"/>
            </a:defRPr>
          </a:pPr>
          <a:endParaRPr lang="en-US"/>
        </a:p>
      </c:txPr>
    </c:legend>
    <c:plotVisOnly val="1"/>
    <c:dispBlanksAs val="gap"/>
    <c:showDLblsOverMax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anose="020B0606020202030204" pitchFamily="34" charset="0"/>
                <a:cs typeface="Arial" pitchFamily="34" charset="0"/>
              </a:rPr>
              <a:t>Gráfica 6</a:t>
            </a:r>
            <a:endParaRPr lang="en-US" sz="1200">
              <a:latin typeface="Arial Narrow" panose="020B0606020202030204"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anose="020B0606020202030204" pitchFamily="34" charset="0"/>
                <a:cs typeface="Arial" pitchFamily="34" charset="0"/>
              </a:rPr>
              <a:t>Fuentes de Ingreso Contributivas como Por Ciento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anose="020B0606020202030204" pitchFamily="34" charset="0"/>
                <a:cs typeface="Arial" pitchFamily="34" charset="0"/>
              </a:rPr>
              <a:t>de los Ingresos Fiscales</a:t>
            </a:r>
            <a:endParaRPr lang="en-US" sz="1200">
              <a:latin typeface="Arial Narrow" panose="020B0606020202030204"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latin typeface="Arial Narrow" panose="020B0606020202030204" pitchFamily="34" charset="0"/>
                <a:cs typeface="Arial" pitchFamily="34" charset="0"/>
              </a:rPr>
              <a:t>Puerto Rico (1992-2011)</a:t>
            </a:r>
            <a:endParaRPr lang="en-US" sz="1200">
              <a:latin typeface="Arial Narrow" panose="020B0606020202030204" pitchFamily="34" charset="0"/>
              <a:cs typeface="Arial" pitchFamily="34" charset="0"/>
            </a:endParaRPr>
          </a:p>
        </c:rich>
      </c:tx>
      <c:layout>
        <c:manualLayout>
          <c:xMode val="edge"/>
          <c:yMode val="edge"/>
          <c:x val="0.216071096376111"/>
          <c:y val="0.0198020783116397"/>
        </c:manualLayout>
      </c:layout>
    </c:title>
    <c:plotArea>
      <c:layout>
        <c:manualLayout>
          <c:layoutTarget val="inner"/>
          <c:xMode val="edge"/>
          <c:yMode val="edge"/>
          <c:x val="0.0727328820739514"/>
          <c:y val="0.272194011462853"/>
          <c:w val="0.899196942487452"/>
          <c:h val="0.489694413198351"/>
        </c:manualLayout>
      </c:layout>
      <c:barChart>
        <c:barDir val="col"/>
        <c:grouping val="clustered"/>
        <c:ser>
          <c:idx val="0"/>
          <c:order val="0"/>
          <c:tx>
            <c:strRef>
              <c:f>'grafica 3'!$M$4</c:f>
              <c:strCache>
                <c:ptCount val="1"/>
                <c:pt idx="0">
                  <c:v>Impuestos al Consumo como % del Ingreso Estatal</c:v>
                </c:pt>
              </c:strCache>
            </c:strRef>
          </c:tx>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3'!$D$5:$D$24</c:f>
              <c:numCache>
                <c:formatCode>0.0%</c:formatCode>
                <c:ptCount val="20"/>
                <c:pt idx="0">
                  <c:v>0.183193151936741</c:v>
                </c:pt>
                <c:pt idx="1">
                  <c:v>0.193398550214652</c:v>
                </c:pt>
                <c:pt idx="2">
                  <c:v>0.189477557027227</c:v>
                </c:pt>
                <c:pt idx="3">
                  <c:v>0.185736024577222</c:v>
                </c:pt>
                <c:pt idx="4">
                  <c:v>0.189109711227562</c:v>
                </c:pt>
                <c:pt idx="5">
                  <c:v>0.191825059974165</c:v>
                </c:pt>
                <c:pt idx="6">
                  <c:v>0.170371111583635</c:v>
                </c:pt>
                <c:pt idx="7">
                  <c:v>0.163394728721763</c:v>
                </c:pt>
                <c:pt idx="8">
                  <c:v>0.158626627919492</c:v>
                </c:pt>
                <c:pt idx="9">
                  <c:v>0.150102219004217</c:v>
                </c:pt>
                <c:pt idx="10">
                  <c:v>0.151201876694661</c:v>
                </c:pt>
                <c:pt idx="11">
                  <c:v>0.159024474121626</c:v>
                </c:pt>
                <c:pt idx="12">
                  <c:v>0.165223331986222</c:v>
                </c:pt>
                <c:pt idx="13">
                  <c:v>0.171783172797086</c:v>
                </c:pt>
                <c:pt idx="14">
                  <c:v>0.150196815172661</c:v>
                </c:pt>
                <c:pt idx="15">
                  <c:v>0.148765008576331</c:v>
                </c:pt>
                <c:pt idx="16">
                  <c:v>0.161171998507913</c:v>
                </c:pt>
                <c:pt idx="17">
                  <c:v>0.14851395433128</c:v>
                </c:pt>
                <c:pt idx="18">
                  <c:v>0.11813567883516</c:v>
                </c:pt>
                <c:pt idx="19">
                  <c:v>0.168992898593178</c:v>
                </c:pt>
              </c:numCache>
            </c:numRef>
          </c:val>
        </c:ser>
        <c:ser>
          <c:idx val="1"/>
          <c:order val="1"/>
          <c:tx>
            <c:strRef>
              <c:f>'grafica 3'!$N$4</c:f>
              <c:strCache>
                <c:ptCount val="1"/>
                <c:pt idx="0">
                  <c:v>Impuestos sobre Ingreso Individuos como % del  Ingreso Estatal</c:v>
                </c:pt>
              </c:strCache>
            </c:strRef>
          </c:tx>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3'!$E$5:$E$24</c:f>
              <c:numCache>
                <c:formatCode>0.0%</c:formatCode>
                <c:ptCount val="20"/>
                <c:pt idx="0">
                  <c:v>0.209302325581396</c:v>
                </c:pt>
                <c:pt idx="1">
                  <c:v>0.218505876557112</c:v>
                </c:pt>
                <c:pt idx="2">
                  <c:v>0.216810767721364</c:v>
                </c:pt>
                <c:pt idx="3">
                  <c:v>0.22657842602429</c:v>
                </c:pt>
                <c:pt idx="4">
                  <c:v>0.238195450997882</c:v>
                </c:pt>
                <c:pt idx="5">
                  <c:v>0.240595260063797</c:v>
                </c:pt>
                <c:pt idx="6">
                  <c:v>0.253486597706038</c:v>
                </c:pt>
                <c:pt idx="7">
                  <c:v>0.23881422840787</c:v>
                </c:pt>
                <c:pt idx="8">
                  <c:v>0.253158971047252</c:v>
                </c:pt>
                <c:pt idx="9">
                  <c:v>0.240544742109971</c:v>
                </c:pt>
                <c:pt idx="10">
                  <c:v>0.248804216469824</c:v>
                </c:pt>
                <c:pt idx="11">
                  <c:v>0.264314781910933</c:v>
                </c:pt>
                <c:pt idx="12">
                  <c:v>0.261811288801648</c:v>
                </c:pt>
                <c:pt idx="13">
                  <c:v>0.270930734711504</c:v>
                </c:pt>
                <c:pt idx="14">
                  <c:v>0.276230094829129</c:v>
                </c:pt>
                <c:pt idx="15">
                  <c:v>0.26343910806175</c:v>
                </c:pt>
                <c:pt idx="16">
                  <c:v>0.245066344565431</c:v>
                </c:pt>
                <c:pt idx="17">
                  <c:v>0.239969191736137</c:v>
                </c:pt>
                <c:pt idx="18">
                  <c:v>0.207952149197009</c:v>
                </c:pt>
                <c:pt idx="19">
                  <c:v>0.173077988805586</c:v>
                </c:pt>
              </c:numCache>
            </c:numRef>
          </c:val>
        </c:ser>
        <c:ser>
          <c:idx val="2"/>
          <c:order val="2"/>
          <c:tx>
            <c:strRef>
              <c:f>'grafica 3'!$O$4</c:f>
              <c:strCache>
                <c:ptCount val="1"/>
                <c:pt idx="0">
                  <c:v>Impuestos Corporativos como % del  Ingreso Estatal</c:v>
                </c:pt>
              </c:strCache>
            </c:strRef>
          </c:tx>
          <c:cat>
            <c:numRef>
              <c:f>'grafica 3'!$A$5:$A$24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 3'!$F$5:$F$24</c:f>
              <c:numCache>
                <c:formatCode>0.0%</c:formatCode>
                <c:ptCount val="20"/>
                <c:pt idx="0">
                  <c:v>0.192555155629324</c:v>
                </c:pt>
                <c:pt idx="1">
                  <c:v>0.173727918924625</c:v>
                </c:pt>
                <c:pt idx="2">
                  <c:v>0.17217010056414</c:v>
                </c:pt>
                <c:pt idx="3">
                  <c:v>0.190473456028023</c:v>
                </c:pt>
                <c:pt idx="4">
                  <c:v>0.19062883264578</c:v>
                </c:pt>
                <c:pt idx="5">
                  <c:v>0.193182716895579</c:v>
                </c:pt>
                <c:pt idx="6">
                  <c:v>0.194498993108107</c:v>
                </c:pt>
                <c:pt idx="7">
                  <c:v>0.180057671231419</c:v>
                </c:pt>
                <c:pt idx="8">
                  <c:v>0.194467764503283</c:v>
                </c:pt>
                <c:pt idx="9">
                  <c:v>0.184750202308446</c:v>
                </c:pt>
                <c:pt idx="10">
                  <c:v>0.176082298341644</c:v>
                </c:pt>
                <c:pt idx="11">
                  <c:v>0.171834699375251</c:v>
                </c:pt>
                <c:pt idx="12">
                  <c:v>0.177299232145951</c:v>
                </c:pt>
                <c:pt idx="13">
                  <c:v>0.176805798081075</c:v>
                </c:pt>
                <c:pt idx="14">
                  <c:v>0.16959205582394</c:v>
                </c:pt>
                <c:pt idx="15">
                  <c:v>0.172032590051458</c:v>
                </c:pt>
                <c:pt idx="16">
                  <c:v>0.139217009787379</c:v>
                </c:pt>
                <c:pt idx="17">
                  <c:v>0.124845958680682</c:v>
                </c:pt>
                <c:pt idx="18">
                  <c:v>0.13502136769269</c:v>
                </c:pt>
                <c:pt idx="19">
                  <c:v>0.132789182427779</c:v>
                </c:pt>
              </c:numCache>
            </c:numRef>
          </c:val>
        </c:ser>
        <c:dLbls/>
        <c:axId val="879384184"/>
        <c:axId val="575561880"/>
      </c:barChart>
      <c:catAx>
        <c:axId val="879384184"/>
        <c:scaling>
          <c:orientation val="minMax"/>
        </c:scaling>
        <c:axPos val="b"/>
        <c:numFmt formatCode="General" sourceLinked="1"/>
        <c:tickLblPos val="nextTo"/>
        <c:txPr>
          <a:bodyPr/>
          <a:lstStyle/>
          <a:p>
            <a:pPr>
              <a:defRPr sz="800">
                <a:latin typeface="Arial Narrow" pitchFamily="34" charset="0"/>
              </a:defRPr>
            </a:pPr>
            <a:endParaRPr lang="en-US"/>
          </a:p>
        </c:txPr>
        <c:crossAx val="575561880"/>
        <c:crosses val="autoZero"/>
        <c:auto val="1"/>
        <c:lblAlgn val="ctr"/>
        <c:lblOffset val="100"/>
      </c:catAx>
      <c:valAx>
        <c:axId val="575561880"/>
        <c:scaling>
          <c:orientation val="minMax"/>
        </c:scaling>
        <c:axPos val="l"/>
        <c:majorGridlines/>
        <c:numFmt formatCode="0.0%" sourceLinked="1"/>
        <c:tickLblPos val="nextTo"/>
        <c:txPr>
          <a:bodyPr/>
          <a:lstStyle/>
          <a:p>
            <a:pPr>
              <a:defRPr sz="800">
                <a:latin typeface="Arial Narrow" pitchFamily="34" charset="0"/>
              </a:defRPr>
            </a:pPr>
            <a:endParaRPr lang="en-US"/>
          </a:p>
        </c:txPr>
        <c:crossAx val="879384184"/>
        <c:crosses val="autoZero"/>
        <c:crossBetween val="between"/>
      </c:valAx>
    </c:plotArea>
    <c:legend>
      <c:legendPos val="b"/>
      <c:txPr>
        <a:bodyPr/>
        <a:lstStyle/>
        <a:p>
          <a:pPr>
            <a:defRPr sz="800">
              <a:latin typeface="Arial Narrow" pitchFamily="34" charset="0"/>
            </a:defRPr>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200">
                <a:latin typeface="Arial Narrow" panose="020B0606020202030204" pitchFamily="34" charset="0"/>
                <a:cs typeface="Arial" pitchFamily="34" charset="0"/>
              </a:rPr>
              <a:t>Gráfica 7</a:t>
            </a:r>
          </a:p>
          <a:p>
            <a:pPr>
              <a:defRPr/>
            </a:pPr>
            <a:r>
              <a:rPr lang="en-US" sz="1200">
                <a:latin typeface="Arial Narrow" panose="020B0606020202030204" pitchFamily="34" charset="0"/>
                <a:cs typeface="Arial" pitchFamily="34" charset="0"/>
              </a:rPr>
              <a:t>Impuestos Estatales per Cápita</a:t>
            </a:r>
          </a:p>
          <a:p>
            <a:pPr>
              <a:defRPr/>
            </a:pPr>
            <a:r>
              <a:rPr lang="en-US" sz="1200">
                <a:latin typeface="Arial Narrow" panose="020B0606020202030204" pitchFamily="34" charset="0"/>
                <a:cs typeface="Arial" pitchFamily="34" charset="0"/>
              </a:rPr>
              <a:t>1992-2011</a:t>
            </a:r>
          </a:p>
        </c:rich>
      </c:tx>
    </c:title>
    <c:plotArea>
      <c:layout/>
      <c:barChart>
        <c:barDir val="col"/>
        <c:grouping val="clustered"/>
        <c:ser>
          <c:idx val="7"/>
          <c:order val="0"/>
          <c:tx>
            <c:v>Puerto Rico</c:v>
          </c:tx>
          <c:spPr>
            <a:solidFill>
              <a:schemeClr val="accent1">
                <a:lumMod val="75000"/>
              </a:schemeClr>
            </a:solidFill>
            <a:ln>
              <a:solidFill>
                <a:schemeClr val="tx2">
                  <a:lumMod val="60000"/>
                  <a:lumOff val="40000"/>
                </a:schemeClr>
              </a:solidFill>
            </a:ln>
          </c:spPr>
          <c:cat>
            <c:numRef>
              <c:f>grafica7!$A$5:$A$24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grafica7!$B$5:$B$24</c:f>
              <c:numCache>
                <c:formatCode>0.0</c:formatCode>
                <c:ptCount val="20"/>
                <c:pt idx="0">
                  <c:v>967.5560765303081</c:v>
                </c:pt>
                <c:pt idx="1">
                  <c:v>1013.405274756958</c:v>
                </c:pt>
                <c:pt idx="2">
                  <c:v>1166.62220530029</c:v>
                </c:pt>
                <c:pt idx="3">
                  <c:v>1270.017484186495</c:v>
                </c:pt>
                <c:pt idx="4">
                  <c:v>1317.645635832056</c:v>
                </c:pt>
                <c:pt idx="5">
                  <c:v>1390.41713182039</c:v>
                </c:pt>
                <c:pt idx="6">
                  <c:v>1462.867800689368</c:v>
                </c:pt>
                <c:pt idx="7">
                  <c:v>1639.586017061721</c:v>
                </c:pt>
                <c:pt idx="8">
                  <c:v>1720.817282436825</c:v>
                </c:pt>
                <c:pt idx="9">
                  <c:v>1682.627118144216</c:v>
                </c:pt>
                <c:pt idx="10">
                  <c:v>1729.021030490777</c:v>
                </c:pt>
                <c:pt idx="11">
                  <c:v>1850.376140749373</c:v>
                </c:pt>
                <c:pt idx="12">
                  <c:v>1892.075145175607</c:v>
                </c:pt>
                <c:pt idx="13">
                  <c:v>1977.003859711516</c:v>
                </c:pt>
                <c:pt idx="14">
                  <c:v>2079.439056268517</c:v>
                </c:pt>
                <c:pt idx="15">
                  <c:v>2164.14703390484</c:v>
                </c:pt>
                <c:pt idx="16">
                  <c:v>2015.042429864495</c:v>
                </c:pt>
                <c:pt idx="17">
                  <c:v>1883.039632190577</c:v>
                </c:pt>
                <c:pt idx="18">
                  <c:v>1902.554517401133</c:v>
                </c:pt>
                <c:pt idx="19">
                  <c:v>1985.82033818176</c:v>
                </c:pt>
              </c:numCache>
            </c:numRef>
          </c:val>
        </c:ser>
        <c:ser>
          <c:idx val="8"/>
          <c:order val="1"/>
          <c:tx>
            <c:v>Promedio Estados</c:v>
          </c:tx>
          <c:spPr>
            <a:solidFill>
              <a:schemeClr val="accent2"/>
            </a:solidFill>
            <a:ln>
              <a:solidFill>
                <a:schemeClr val="accent2"/>
              </a:solidFill>
            </a:ln>
          </c:spPr>
          <c:cat>
            <c:numRef>
              <c:f>grafica7!$A$5:$A$24</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grafica7!$I$6:$I$25</c:f>
              <c:numCache>
                <c:formatCode>General</c:formatCode>
                <c:ptCount val="20"/>
                <c:pt idx="0">
                  <c:v>1305.283</c:v>
                </c:pt>
                <c:pt idx="1">
                  <c:v>1404.786</c:v>
                </c:pt>
                <c:pt idx="2">
                  <c:v>1434.246</c:v>
                </c:pt>
                <c:pt idx="3">
                  <c:v>1518.742</c:v>
                </c:pt>
                <c:pt idx="4">
                  <c:v>1554.797</c:v>
                </c:pt>
                <c:pt idx="5">
                  <c:v>1630.914</c:v>
                </c:pt>
                <c:pt idx="6">
                  <c:v>1714.776</c:v>
                </c:pt>
                <c:pt idx="7">
                  <c:v>1776.847</c:v>
                </c:pt>
                <c:pt idx="8">
                  <c:v>1902.237</c:v>
                </c:pt>
                <c:pt idx="9">
                  <c:v>1946.608</c:v>
                </c:pt>
                <c:pt idx="10">
                  <c:v>1865.413</c:v>
                </c:pt>
                <c:pt idx="11">
                  <c:v>1908.595</c:v>
                </c:pt>
                <c:pt idx="12">
                  <c:v>2045.226</c:v>
                </c:pt>
                <c:pt idx="13">
                  <c:v>2248.648</c:v>
                </c:pt>
                <c:pt idx="14">
                  <c:v>2455.595</c:v>
                </c:pt>
                <c:pt idx="15">
                  <c:v>2599.458</c:v>
                </c:pt>
                <c:pt idx="16">
                  <c:v>2795.668</c:v>
                </c:pt>
                <c:pt idx="17">
                  <c:v>2516.238</c:v>
                </c:pt>
                <c:pt idx="18">
                  <c:v>2426.465</c:v>
                </c:pt>
                <c:pt idx="19">
                  <c:v>2641.473000000002</c:v>
                </c:pt>
              </c:numCache>
            </c:numRef>
          </c:val>
        </c:ser>
        <c:dLbls/>
        <c:axId val="75867080"/>
        <c:axId val="879403848"/>
      </c:barChart>
      <c:catAx>
        <c:axId val="75867080"/>
        <c:scaling>
          <c:orientation val="minMax"/>
        </c:scaling>
        <c:axPos val="b"/>
        <c:numFmt formatCode="General" sourceLinked="1"/>
        <c:tickLblPos val="nextTo"/>
        <c:txPr>
          <a:bodyPr/>
          <a:lstStyle/>
          <a:p>
            <a:pPr>
              <a:defRPr sz="800">
                <a:latin typeface="Arial Narrow" pitchFamily="34" charset="0"/>
              </a:defRPr>
            </a:pPr>
            <a:endParaRPr lang="en-US"/>
          </a:p>
        </c:txPr>
        <c:crossAx val="879403848"/>
        <c:crosses val="autoZero"/>
        <c:auto val="1"/>
        <c:lblAlgn val="ctr"/>
        <c:lblOffset val="100"/>
      </c:catAx>
      <c:valAx>
        <c:axId val="879403848"/>
        <c:scaling>
          <c:orientation val="minMax"/>
        </c:scaling>
        <c:axPos val="l"/>
        <c:majorGridlines/>
        <c:numFmt formatCode="0.0" sourceLinked="1"/>
        <c:tickLblPos val="nextTo"/>
        <c:txPr>
          <a:bodyPr/>
          <a:lstStyle/>
          <a:p>
            <a:pPr>
              <a:defRPr sz="800">
                <a:latin typeface="Arial Narrow" pitchFamily="34" charset="0"/>
              </a:defRPr>
            </a:pPr>
            <a:endParaRPr lang="en-US"/>
          </a:p>
        </c:txPr>
        <c:crossAx val="75867080"/>
        <c:crosses val="autoZero"/>
        <c:crossBetween val="between"/>
      </c:valAx>
    </c:plotArea>
    <c:legend>
      <c:legendPos val="b"/>
      <c:txPr>
        <a:bodyPr/>
        <a:lstStyle/>
        <a:p>
          <a:pPr>
            <a:defRPr sz="800">
              <a:latin typeface="Arial Narrow" pitchFamily="34" charset="0"/>
            </a:defRPr>
          </a:pPr>
          <a:endParaRPr lang="en-US"/>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100" b="1" i="0" baseline="0">
                <a:latin typeface="Arial Narrow" panose="020B0606020202030204" pitchFamily="34" charset="0"/>
                <a:cs typeface="Arial" pitchFamily="34" charset="0"/>
              </a:rPr>
              <a:t>Gráfica 8</a:t>
            </a:r>
          </a:p>
          <a:p>
            <a:pPr>
              <a:defRPr/>
            </a:pPr>
            <a:r>
              <a:rPr lang="en-US" sz="1100" b="1" i="0" baseline="0">
                <a:latin typeface="Arial Narrow" panose="020B0606020202030204" pitchFamily="34" charset="0"/>
                <a:cs typeface="Arial" pitchFamily="34" charset="0"/>
              </a:rPr>
              <a:t>Impuestos Estatales como Porciento del Producto Nacional Bruto</a:t>
            </a:r>
            <a:endParaRPr lang="en-US" sz="1100">
              <a:latin typeface="Arial Narrow" panose="020B0606020202030204" pitchFamily="34" charset="0"/>
              <a:cs typeface="Arial" pitchFamily="34" charset="0"/>
            </a:endParaRPr>
          </a:p>
          <a:p>
            <a:pPr>
              <a:defRPr/>
            </a:pPr>
            <a:r>
              <a:rPr lang="en-US" sz="1100" b="1" i="0" baseline="0">
                <a:latin typeface="Arial Narrow" panose="020B0606020202030204" pitchFamily="34" charset="0"/>
                <a:cs typeface="Arial" pitchFamily="34" charset="0"/>
              </a:rPr>
              <a:t>1992-2011</a:t>
            </a:r>
          </a:p>
        </c:rich>
      </c:tx>
    </c:title>
    <c:plotArea>
      <c:layout/>
      <c:barChart>
        <c:barDir val="col"/>
        <c:grouping val="clustered"/>
        <c:ser>
          <c:idx val="0"/>
          <c:order val="0"/>
          <c:tx>
            <c:strRef>
              <c:f>grafica8!$C$2</c:f>
              <c:strCache>
                <c:ptCount val="1"/>
                <c:pt idx="0">
                  <c:v>Impuestos Puerto Rico /PNB</c:v>
                </c:pt>
              </c:strCache>
            </c:strRef>
          </c:tx>
          <c:cat>
            <c:numRef>
              <c:f>grafica8!$A$3:$A$22</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grafica8!$C$3:$C$22</c:f>
              <c:numCache>
                <c:formatCode>0.0%</c:formatCode>
                <c:ptCount val="20"/>
                <c:pt idx="0">
                  <c:v>0.145916426859207</c:v>
                </c:pt>
                <c:pt idx="1">
                  <c:v>0.145172050524775</c:v>
                </c:pt>
                <c:pt idx="2">
                  <c:v>0.159063629618372</c:v>
                </c:pt>
                <c:pt idx="3">
                  <c:v>0.163645556679228</c:v>
                </c:pt>
                <c:pt idx="4">
                  <c:v>0.160767133695344</c:v>
                </c:pt>
                <c:pt idx="5">
                  <c:v>0.160870893115746</c:v>
                </c:pt>
                <c:pt idx="6">
                  <c:v>0.157086204422601</c:v>
                </c:pt>
                <c:pt idx="7">
                  <c:v>0.162351431786812</c:v>
                </c:pt>
                <c:pt idx="8">
                  <c:v>0.158100562368454</c:v>
                </c:pt>
                <c:pt idx="9">
                  <c:v>0.145725358089867</c:v>
                </c:pt>
                <c:pt idx="10">
                  <c:v>0.146589880519153</c:v>
                </c:pt>
                <c:pt idx="11" formatCode="0%">
                  <c:v>0.14906457163423</c:v>
                </c:pt>
                <c:pt idx="12" formatCode="0%">
                  <c:v>0.142776317037573</c:v>
                </c:pt>
                <c:pt idx="13" formatCode="0%">
                  <c:v>0.140650490145647</c:v>
                </c:pt>
                <c:pt idx="14" formatCode="0%">
                  <c:v>0.139770471634809</c:v>
                </c:pt>
                <c:pt idx="15" formatCode="0%">
                  <c:v>0.137952464091399</c:v>
                </c:pt>
                <c:pt idx="16" formatCode="0%">
                  <c:v>0.123255964428542</c:v>
                </c:pt>
                <c:pt idx="17" formatCode="0%">
                  <c:v>0.112824505240997</c:v>
                </c:pt>
                <c:pt idx="18" formatCode="0%">
                  <c:v>0.112575413300106</c:v>
                </c:pt>
                <c:pt idx="19" formatCode="0%">
                  <c:v>0.115059102566454</c:v>
                </c:pt>
              </c:numCache>
            </c:numRef>
          </c:val>
        </c:ser>
        <c:ser>
          <c:idx val="1"/>
          <c:order val="1"/>
          <c:tx>
            <c:strRef>
              <c:f>grafica8!$D$2</c:f>
              <c:strCache>
                <c:ptCount val="1"/>
                <c:pt idx="0">
                  <c:v>Impuestos PR /PIB</c:v>
                </c:pt>
              </c:strCache>
            </c:strRef>
          </c:tx>
          <c:cat>
            <c:numRef>
              <c:f>grafica8!$A$3:$A$22</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grafica8!$D$3:$D$22</c:f>
              <c:numCache>
                <c:formatCode>0.0%</c:formatCode>
                <c:ptCount val="20"/>
                <c:pt idx="0">
                  <c:v>0.0998457137263383</c:v>
                </c:pt>
                <c:pt idx="1">
                  <c:v>0.0988179117878834</c:v>
                </c:pt>
                <c:pt idx="2">
                  <c:v>0.106765753025337</c:v>
                </c:pt>
                <c:pt idx="3">
                  <c:v>0.109176820467382</c:v>
                </c:pt>
                <c:pt idx="4">
                  <c:v>0.107638070626622</c:v>
                </c:pt>
                <c:pt idx="5">
                  <c:v>0.1079750926385</c:v>
                </c:pt>
                <c:pt idx="6">
                  <c:v>0.101973861862414</c:v>
                </c:pt>
                <c:pt idx="7">
                  <c:v>0.107449818341516</c:v>
                </c:pt>
                <c:pt idx="8">
                  <c:v>0.106128167066736</c:v>
                </c:pt>
                <c:pt idx="9">
                  <c:v>0.0927444901794042</c:v>
                </c:pt>
                <c:pt idx="10">
                  <c:v>0.0922462367737926</c:v>
                </c:pt>
                <c:pt idx="11">
                  <c:v>0.0945843177931512</c:v>
                </c:pt>
                <c:pt idx="12">
                  <c:v>0.0914033068908448</c:v>
                </c:pt>
                <c:pt idx="13">
                  <c:v>0.091298558882867</c:v>
                </c:pt>
                <c:pt idx="14">
                  <c:v>0.0920349499051664</c:v>
                </c:pt>
                <c:pt idx="15">
                  <c:v>0.0928798383589392</c:v>
                </c:pt>
                <c:pt idx="16">
                  <c:v>0.0820748517334964</c:v>
                </c:pt>
                <c:pt idx="17">
                  <c:v>0.0740548801752907</c:v>
                </c:pt>
                <c:pt idx="18">
                  <c:v>0.0730725591633939</c:v>
                </c:pt>
                <c:pt idx="19">
                  <c:v>0.0746883893769821</c:v>
                </c:pt>
              </c:numCache>
            </c:numRef>
          </c:val>
        </c:ser>
        <c:ser>
          <c:idx val="2"/>
          <c:order val="2"/>
          <c:tx>
            <c:strRef>
              <c:f>grafica8!$J$2</c:f>
              <c:strCache>
                <c:ptCount val="1"/>
                <c:pt idx="0">
                  <c:v>Impuestos/GDP (Promedio Estados)</c:v>
                </c:pt>
              </c:strCache>
            </c:strRef>
          </c:tx>
          <c:cat>
            <c:numRef>
              <c:f>grafica8!$A$3:$A$22</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grafica8!$J$4:$J$23</c:f>
              <c:numCache>
                <c:formatCode>0.0%</c:formatCode>
                <c:ptCount val="20"/>
                <c:pt idx="0">
                  <c:v>0.0557837000000001</c:v>
                </c:pt>
                <c:pt idx="1">
                  <c:v>0.0577242</c:v>
                </c:pt>
                <c:pt idx="2">
                  <c:v>0.0561143</c:v>
                </c:pt>
                <c:pt idx="3">
                  <c:v>0.0568186000000003</c:v>
                </c:pt>
                <c:pt idx="4">
                  <c:v>0.0556751</c:v>
                </c:pt>
                <c:pt idx="5">
                  <c:v>0.0557333</c:v>
                </c:pt>
                <c:pt idx="6">
                  <c:v>0.0572130000000001</c:v>
                </c:pt>
                <c:pt idx="7">
                  <c:v>0.0567367000000001</c:v>
                </c:pt>
                <c:pt idx="8">
                  <c:v>0.0577001</c:v>
                </c:pt>
                <c:pt idx="9">
                  <c:v>0.0573978000000003</c:v>
                </c:pt>
                <c:pt idx="10">
                  <c:v>0.0536189</c:v>
                </c:pt>
                <c:pt idx="11">
                  <c:v>0.0525038</c:v>
                </c:pt>
                <c:pt idx="12">
                  <c:v>0.0531654</c:v>
                </c:pt>
                <c:pt idx="13">
                  <c:v>0.0553952</c:v>
                </c:pt>
                <c:pt idx="14">
                  <c:v>0.0574924000000004</c:v>
                </c:pt>
                <c:pt idx="15">
                  <c:v>0.058297</c:v>
                </c:pt>
                <c:pt idx="16">
                  <c:v>0.0603212</c:v>
                </c:pt>
                <c:pt idx="17">
                  <c:v>0.0565617</c:v>
                </c:pt>
                <c:pt idx="18">
                  <c:v>0.0528777</c:v>
                </c:pt>
                <c:pt idx="19">
                  <c:v>0.055267</c:v>
                </c:pt>
              </c:numCache>
            </c:numRef>
          </c:val>
        </c:ser>
        <c:dLbls/>
        <c:axId val="571110760"/>
        <c:axId val="879140136"/>
      </c:barChart>
      <c:catAx>
        <c:axId val="571110760"/>
        <c:scaling>
          <c:orientation val="minMax"/>
        </c:scaling>
        <c:axPos val="b"/>
        <c:numFmt formatCode="General" sourceLinked="1"/>
        <c:tickLblPos val="nextTo"/>
        <c:txPr>
          <a:bodyPr/>
          <a:lstStyle/>
          <a:p>
            <a:pPr>
              <a:defRPr sz="800">
                <a:latin typeface="Arial Narrow" pitchFamily="34" charset="0"/>
              </a:defRPr>
            </a:pPr>
            <a:endParaRPr lang="en-US"/>
          </a:p>
        </c:txPr>
        <c:crossAx val="879140136"/>
        <c:crosses val="autoZero"/>
        <c:auto val="1"/>
        <c:lblAlgn val="ctr"/>
        <c:lblOffset val="100"/>
      </c:catAx>
      <c:valAx>
        <c:axId val="879140136"/>
        <c:scaling>
          <c:orientation val="minMax"/>
        </c:scaling>
        <c:axPos val="l"/>
        <c:majorGridlines/>
        <c:numFmt formatCode="0.0%" sourceLinked="1"/>
        <c:tickLblPos val="nextTo"/>
        <c:txPr>
          <a:bodyPr/>
          <a:lstStyle/>
          <a:p>
            <a:pPr>
              <a:defRPr sz="800">
                <a:latin typeface="Arial Narrow" pitchFamily="34" charset="0"/>
              </a:defRPr>
            </a:pPr>
            <a:endParaRPr lang="en-US"/>
          </a:p>
        </c:txPr>
        <c:crossAx val="571110760"/>
        <c:crosses val="autoZero"/>
        <c:crossBetween val="between"/>
      </c:valAx>
    </c:plotArea>
    <c:legend>
      <c:legendPos val="b"/>
      <c:txPr>
        <a:bodyPr/>
        <a:lstStyle/>
        <a:p>
          <a:pPr>
            <a:defRPr sz="800">
              <a:latin typeface="Arial Narrow" pitchFamily="34" charset="0"/>
            </a:defRPr>
          </a:pPr>
          <a:endParaRPr lang="en-US"/>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sz="1200">
                <a:latin typeface="Arial Narrow" panose="020B0606020202030204" pitchFamily="34" charset="0"/>
                <a:cs typeface="Arial" pitchFamily="34" charset="0"/>
              </a:rPr>
              <a:t>Gráfica</a:t>
            </a:r>
            <a:r>
              <a:rPr lang="en-US" sz="1200" baseline="0">
                <a:latin typeface="Arial Narrow" panose="020B0606020202030204" pitchFamily="34" charset="0"/>
                <a:cs typeface="Arial" pitchFamily="34" charset="0"/>
              </a:rPr>
              <a:t> 9</a:t>
            </a:r>
          </a:p>
          <a:p>
            <a:pPr>
              <a:defRPr/>
            </a:pPr>
            <a:r>
              <a:rPr lang="en-US" sz="1200">
                <a:latin typeface="Arial Narrow" panose="020B0606020202030204" pitchFamily="34" charset="0"/>
                <a:cs typeface="Arial" pitchFamily="34" charset="0"/>
              </a:rPr>
              <a:t>Impuestos per Cápita entre Ingreso Personal</a:t>
            </a:r>
            <a:r>
              <a:rPr lang="en-US" sz="1200" baseline="0">
                <a:latin typeface="Arial Narrow" panose="020B0606020202030204" pitchFamily="34" charset="0"/>
                <a:cs typeface="Arial" pitchFamily="34" charset="0"/>
              </a:rPr>
              <a:t> per Cápita</a:t>
            </a:r>
          </a:p>
          <a:p>
            <a:pPr>
              <a:defRPr/>
            </a:pPr>
            <a:r>
              <a:rPr lang="en-US" sz="1200" baseline="0">
                <a:latin typeface="Arial Narrow" panose="020B0606020202030204" pitchFamily="34" charset="0"/>
                <a:cs typeface="Arial" pitchFamily="34" charset="0"/>
              </a:rPr>
              <a:t>1992-2011</a:t>
            </a:r>
            <a:endParaRPr lang="en-US" sz="1200">
              <a:latin typeface="Arial Narrow" panose="020B0606020202030204" pitchFamily="34" charset="0"/>
              <a:cs typeface="Arial" pitchFamily="34" charset="0"/>
            </a:endParaRPr>
          </a:p>
        </c:rich>
      </c:tx>
      <c:layout>
        <c:manualLayout>
          <c:xMode val="edge"/>
          <c:yMode val="edge"/>
          <c:x val="0.181909841242029"/>
          <c:y val="0.0405373508639289"/>
        </c:manualLayout>
      </c:layout>
      <c:overlay val="1"/>
    </c:title>
    <c:plotArea>
      <c:layout>
        <c:manualLayout>
          <c:layoutTarget val="inner"/>
          <c:xMode val="edge"/>
          <c:yMode val="edge"/>
          <c:x val="0.0277777777777778"/>
          <c:y val="0.272668253624757"/>
          <c:w val="0.914141414141414"/>
          <c:h val="0.5931915218392"/>
        </c:manualLayout>
      </c:layout>
      <c:barChart>
        <c:barDir val="col"/>
        <c:grouping val="clustered"/>
        <c:varyColors val="1"/>
        <c:ser>
          <c:idx val="0"/>
          <c:order val="0"/>
          <c:tx>
            <c:v>Puerto Rico</c:v>
          </c:tx>
          <c:invertIfNegative val="1"/>
          <c:cat>
            <c:numRef>
              <c:f>grafica8!$A$3:$A$22</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grafica8!$F$3:$F$22</c:f>
              <c:numCache>
                <c:formatCode>General</c:formatCode>
                <c:ptCount val="20"/>
                <c:pt idx="0">
                  <c:v>0.150451885636808</c:v>
                </c:pt>
                <c:pt idx="1">
                  <c:v>0.147705185068788</c:v>
                </c:pt>
                <c:pt idx="2">
                  <c:v>0.163004360109025</c:v>
                </c:pt>
                <c:pt idx="3">
                  <c:v>0.170061259264394</c:v>
                </c:pt>
                <c:pt idx="4">
                  <c:v>0.163155725090646</c:v>
                </c:pt>
                <c:pt idx="5">
                  <c:v>0.159287104115064</c:v>
                </c:pt>
                <c:pt idx="6">
                  <c:v>0.160613504687019</c:v>
                </c:pt>
                <c:pt idx="7">
                  <c:v>0.169746973502611</c:v>
                </c:pt>
                <c:pt idx="8">
                  <c:v>0.168641442810352</c:v>
                </c:pt>
                <c:pt idx="9">
                  <c:v>0.156785978209487</c:v>
                </c:pt>
                <c:pt idx="10">
                  <c:v>0.158320760964269</c:v>
                </c:pt>
                <c:pt idx="11">
                  <c:v>0.156480011902696</c:v>
                </c:pt>
                <c:pt idx="12">
                  <c:v>0.155100839837332</c:v>
                </c:pt>
                <c:pt idx="13">
                  <c:v>0.151424927980355</c:v>
                </c:pt>
                <c:pt idx="14">
                  <c:v>0.152596980719785</c:v>
                </c:pt>
                <c:pt idx="15">
                  <c:v>0.154251392295428</c:v>
                </c:pt>
                <c:pt idx="16">
                  <c:v>0.132962219060673</c:v>
                </c:pt>
                <c:pt idx="17">
                  <c:v>0.119641631119549</c:v>
                </c:pt>
                <c:pt idx="18">
                  <c:v>0.118332785010644</c:v>
                </c:pt>
                <c:pt idx="19">
                  <c:v>0.119548512322061</c:v>
                </c:pt>
              </c:numCache>
            </c:numRef>
          </c:val>
        </c:ser>
        <c:ser>
          <c:idx val="1"/>
          <c:order val="1"/>
          <c:tx>
            <c:v>Promedio Estados</c:v>
          </c:tx>
          <c:invertIfNegative val="1"/>
          <c:cat>
            <c:numRef>
              <c:f>grafica8!$A$3:$A$22</c:f>
              <c:numCache>
                <c:formatCode>General</c:formatCode>
                <c:ptCount val="20"/>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numCache>
            </c:numRef>
          </c:cat>
          <c:val>
            <c:numRef>
              <c:f>grafica8!$K$4:$K$23</c:f>
              <c:numCache>
                <c:formatCode>0.0%</c:formatCode>
                <c:ptCount val="20"/>
                <c:pt idx="0">
                  <c:v>0.0655818</c:v>
                </c:pt>
                <c:pt idx="1">
                  <c:v>0.0684341</c:v>
                </c:pt>
                <c:pt idx="2">
                  <c:v>0.067106</c:v>
                </c:pt>
                <c:pt idx="3">
                  <c:v>0.0682053</c:v>
                </c:pt>
                <c:pt idx="4">
                  <c:v>0.0665224</c:v>
                </c:pt>
                <c:pt idx="5">
                  <c:v>0.0668842</c:v>
                </c:pt>
                <c:pt idx="6">
                  <c:v>0.0662597</c:v>
                </c:pt>
                <c:pt idx="7">
                  <c:v>0.0662574</c:v>
                </c:pt>
                <c:pt idx="8">
                  <c:v>0.0663906</c:v>
                </c:pt>
                <c:pt idx="9">
                  <c:v>0.064879</c:v>
                </c:pt>
                <c:pt idx="10">
                  <c:v>0.0613803</c:v>
                </c:pt>
                <c:pt idx="11">
                  <c:v>0.0607843</c:v>
                </c:pt>
                <c:pt idx="12">
                  <c:v>0.0619561</c:v>
                </c:pt>
                <c:pt idx="13">
                  <c:v>0.065177</c:v>
                </c:pt>
                <c:pt idx="14">
                  <c:v>0.0670604</c:v>
                </c:pt>
                <c:pt idx="15">
                  <c:v>0.0677459</c:v>
                </c:pt>
                <c:pt idx="16">
                  <c:v>0.0697724000000003</c:v>
                </c:pt>
                <c:pt idx="17">
                  <c:v>0.0650917</c:v>
                </c:pt>
                <c:pt idx="18">
                  <c:v>0.0614551</c:v>
                </c:pt>
                <c:pt idx="19">
                  <c:v>0.0632191</c:v>
                </c:pt>
              </c:numCache>
            </c:numRef>
          </c:val>
        </c:ser>
        <c:dLbls/>
        <c:axId val="75850248"/>
        <c:axId val="879157352"/>
      </c:barChart>
      <c:catAx>
        <c:axId val="75850248"/>
        <c:scaling>
          <c:orientation val="minMax"/>
        </c:scaling>
        <c:delete val="1"/>
        <c:axPos val="b"/>
        <c:numFmt formatCode="General" sourceLinked="1"/>
        <c:majorTickMark val="cross"/>
        <c:minorTickMark val="cross"/>
        <c:tickLblPos val="none"/>
        <c:crossAx val="879157352"/>
        <c:crosses val="autoZero"/>
        <c:auto val="1"/>
        <c:lblAlgn val="ctr"/>
        <c:lblOffset val="100"/>
        <c:noMultiLvlLbl val="1"/>
      </c:catAx>
      <c:valAx>
        <c:axId val="879157352"/>
        <c:scaling>
          <c:orientation val="minMax"/>
        </c:scaling>
        <c:delete val="1"/>
        <c:axPos val="l"/>
        <c:majorGridlines/>
        <c:numFmt formatCode="General" sourceLinked="1"/>
        <c:majorTickMark val="cross"/>
        <c:minorTickMark val="cross"/>
        <c:tickLblPos val="none"/>
        <c:crossAx val="75850248"/>
        <c:crosses val="autoZero"/>
        <c:crossBetween val="between"/>
      </c:valAx>
    </c:plotArea>
    <c:legend>
      <c:legendPos val="b"/>
      <c:overlay val="1"/>
      <c:txPr>
        <a:bodyPr/>
        <a:lstStyle/>
        <a:p>
          <a:pPr>
            <a:defRPr sz="800">
              <a:latin typeface="Arial Narrow" pitchFamily="34" charset="0"/>
            </a:defRPr>
          </a:pPr>
          <a:endParaRPr lang="en-US"/>
        </a:p>
      </c:txPr>
    </c:legend>
    <c:plotVisOnly val="1"/>
    <c:dispBlanksAs val="gap"/>
    <c:showDLblsOverMax val="1"/>
  </c:chart>
  <c:spPr>
    <a:ln cap="sq">
      <a:bevel/>
    </a:ln>
  </c:spPr>
  <c:externalData r:id="rId2">
    <c:autoUpdate val="1"/>
  </c:externalData>
</c:chartSpace>
</file>

<file path=word/drawings/drawing1.xml><?xml version="1.0" encoding="utf-8"?>
<c:userShapes xmlns:c="http://schemas.openxmlformats.org/drawingml/2006/chart">
  <cdr:relSizeAnchor xmlns:cdr="http://schemas.openxmlformats.org/drawingml/2006/chartDrawing">
    <cdr:from>
      <cdr:x>0.10625</cdr:x>
      <cdr:y>0.02778</cdr:y>
    </cdr:from>
    <cdr:to>
      <cdr:x>0.9375</cdr:x>
      <cdr:y>0.10069</cdr:y>
    </cdr:to>
    <cdr:sp macro="" textlink="">
      <cdr:nvSpPr>
        <cdr:cNvPr id="2" name="TextBox 1"/>
        <cdr:cNvSpPr txBox="1"/>
      </cdr:nvSpPr>
      <cdr:spPr>
        <a:xfrm xmlns:a="http://schemas.openxmlformats.org/drawingml/2006/main">
          <a:off x="485775" y="76200"/>
          <a:ext cx="38004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Tasa de crecimiento de Puerto Rico y otros Estados</a:t>
          </a:r>
        </a:p>
      </cdr:txBody>
    </cdr:sp>
  </cdr:relSizeAnchor>
  <cdr:relSizeAnchor xmlns:cdr="http://schemas.openxmlformats.org/drawingml/2006/chartDrawing">
    <cdr:from>
      <cdr:x>0.01042</cdr:x>
      <cdr:y>0.89236</cdr:y>
    </cdr:from>
    <cdr:to>
      <cdr:x>0.99167</cdr:x>
      <cdr:y>0.98958</cdr:y>
    </cdr:to>
    <cdr:sp macro="" textlink="">
      <cdr:nvSpPr>
        <cdr:cNvPr id="3" name="TextBox 2"/>
        <cdr:cNvSpPr txBox="1"/>
      </cdr:nvSpPr>
      <cdr:spPr>
        <a:xfrm xmlns:a="http://schemas.openxmlformats.org/drawingml/2006/main">
          <a:off x="47625" y="2447925"/>
          <a:ext cx="4486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Fuente: Junta de Planificación de Puerto Rico y Bureau of Economic Analysis </a:t>
          </a:r>
        </a:p>
      </cdr:txBody>
    </cdr:sp>
  </cdr:relSizeAnchor>
</c:userShapes>
</file>

<file path=word/drawings/drawing2.xml><?xml version="1.0" encoding="utf-8"?>
<c:userShapes xmlns:c="http://schemas.openxmlformats.org/drawingml/2006/chart">
  <cdr:relSizeAnchor xmlns:cdr="http://schemas.openxmlformats.org/drawingml/2006/chartDrawing">
    <cdr:from>
      <cdr:x>0.10625</cdr:x>
      <cdr:y>0.02778</cdr:y>
    </cdr:from>
    <cdr:to>
      <cdr:x>0.9375</cdr:x>
      <cdr:y>0.10069</cdr:y>
    </cdr:to>
    <cdr:sp macro="" textlink="">
      <cdr:nvSpPr>
        <cdr:cNvPr id="2" name="TextBox 1"/>
        <cdr:cNvSpPr txBox="1"/>
      </cdr:nvSpPr>
      <cdr:spPr>
        <a:xfrm xmlns:a="http://schemas.openxmlformats.org/drawingml/2006/main">
          <a:off x="485775" y="76200"/>
          <a:ext cx="38004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Tasa de crecimiento de Puerto Rico, Florida y Hawaii</a:t>
          </a:r>
        </a:p>
      </cdr:txBody>
    </cdr:sp>
  </cdr:relSizeAnchor>
  <cdr:relSizeAnchor xmlns:cdr="http://schemas.openxmlformats.org/drawingml/2006/chartDrawing">
    <cdr:from>
      <cdr:x>0.01042</cdr:x>
      <cdr:y>0.89236</cdr:y>
    </cdr:from>
    <cdr:to>
      <cdr:x>0.99167</cdr:x>
      <cdr:y>0.98958</cdr:y>
    </cdr:to>
    <cdr:sp macro="" textlink="">
      <cdr:nvSpPr>
        <cdr:cNvPr id="3" name="TextBox 2"/>
        <cdr:cNvSpPr txBox="1"/>
      </cdr:nvSpPr>
      <cdr:spPr>
        <a:xfrm xmlns:a="http://schemas.openxmlformats.org/drawingml/2006/main">
          <a:off x="47625" y="2447925"/>
          <a:ext cx="4486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Fuente: Junta de Planificación de Puerto Rico y Bureau of Economic Analysis </a:t>
          </a:r>
        </a:p>
      </cdr:txBody>
    </cdr:sp>
  </cdr:relSizeAnchor>
</c:userShapes>
</file>

<file path=word/drawings/drawing3.xml><?xml version="1.0" encoding="utf-8"?>
<c:userShapes xmlns:c="http://schemas.openxmlformats.org/drawingml/2006/chart">
  <cdr:relSizeAnchor xmlns:cdr="http://schemas.openxmlformats.org/drawingml/2006/chartDrawing">
    <cdr:from>
      <cdr:x>0.01875</cdr:x>
      <cdr:y>0.01736</cdr:y>
    </cdr:from>
    <cdr:to>
      <cdr:x>0.99792</cdr:x>
      <cdr:y>0.18403</cdr:y>
    </cdr:to>
    <cdr:sp macro="" textlink="">
      <cdr:nvSpPr>
        <cdr:cNvPr id="2" name="TextBox 1"/>
        <cdr:cNvSpPr txBox="1"/>
      </cdr:nvSpPr>
      <cdr:spPr>
        <a:xfrm xmlns:a="http://schemas.openxmlformats.org/drawingml/2006/main">
          <a:off x="85725" y="47624"/>
          <a:ext cx="4476750" cy="4572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Tasa de crecimiento del ingreso personal disponible per cápita para Puerto Rico y Estados Unidos</a:t>
          </a:r>
        </a:p>
      </cdr:txBody>
    </cdr:sp>
  </cdr:relSizeAnchor>
  <cdr:relSizeAnchor xmlns:cdr="http://schemas.openxmlformats.org/drawingml/2006/chartDrawing">
    <cdr:from>
      <cdr:x>0.02917</cdr:x>
      <cdr:y>0.90625</cdr:y>
    </cdr:from>
    <cdr:to>
      <cdr:x>0.97708</cdr:x>
      <cdr:y>0.99653</cdr:y>
    </cdr:to>
    <cdr:sp macro="" textlink="">
      <cdr:nvSpPr>
        <cdr:cNvPr id="3" name="TextBox 2"/>
        <cdr:cNvSpPr txBox="1"/>
      </cdr:nvSpPr>
      <cdr:spPr>
        <a:xfrm xmlns:a="http://schemas.openxmlformats.org/drawingml/2006/main">
          <a:off x="133350" y="2486025"/>
          <a:ext cx="4333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Fuente: Junta de Planificación de Puerto Rico y el Bureau of Economic Analysis</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0.97917</cdr:x>
      <cdr:y>0.16667</cdr:y>
    </cdr:to>
    <cdr:sp macro="" textlink="">
      <cdr:nvSpPr>
        <cdr:cNvPr id="2" name="TextBox 1"/>
        <cdr:cNvSpPr txBox="1"/>
      </cdr:nvSpPr>
      <cdr:spPr>
        <a:xfrm xmlns:a="http://schemas.openxmlformats.org/drawingml/2006/main">
          <a:off x="0" y="0"/>
          <a:ext cx="4476765" cy="4572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b="1"/>
            <a:t>Tasa de crecimiento del ingreso personal disponible per cápita para Puerto Rico y</a:t>
          </a:r>
          <a:r>
            <a:rPr lang="en-US" sz="1100" b="1" baseline="0"/>
            <a:t> algunos estados</a:t>
          </a:r>
          <a:endParaRPr lang="en-US" sz="1100" b="1"/>
        </a:p>
      </cdr:txBody>
    </cdr:sp>
  </cdr:relSizeAnchor>
  <cdr:relSizeAnchor xmlns:cdr="http://schemas.openxmlformats.org/drawingml/2006/chartDrawing">
    <cdr:from>
      <cdr:x>0.02083</cdr:x>
      <cdr:y>0.90972</cdr:y>
    </cdr:from>
    <cdr:to>
      <cdr:x>0.96875</cdr:x>
      <cdr:y>1</cdr:y>
    </cdr:to>
    <cdr:sp macro="" textlink="">
      <cdr:nvSpPr>
        <cdr:cNvPr id="3" name="TextBox 1"/>
        <cdr:cNvSpPr txBox="1"/>
      </cdr:nvSpPr>
      <cdr:spPr>
        <a:xfrm xmlns:a="http://schemas.openxmlformats.org/drawingml/2006/main">
          <a:off x="95250" y="2514600"/>
          <a:ext cx="43338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t>Fuente: Junta de Planificación de Puerto Rico y el Bureau of Economic Analysis</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0.97917</cdr:x>
      <cdr:y>0.16667</cdr:y>
    </cdr:to>
    <cdr:sp macro="" textlink="">
      <cdr:nvSpPr>
        <cdr:cNvPr id="2" name="TextBox 1"/>
        <cdr:cNvSpPr txBox="1"/>
      </cdr:nvSpPr>
      <cdr:spPr>
        <a:xfrm xmlns:a="http://schemas.openxmlformats.org/drawingml/2006/main">
          <a:off x="0" y="0"/>
          <a:ext cx="4476765" cy="4572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b="1"/>
            <a:t>Tasa de crecimiento del ingreso personal disponible per cápita para Puerto Rico,</a:t>
          </a:r>
          <a:r>
            <a:rPr lang="en-US" sz="1100" b="1" baseline="0"/>
            <a:t> Florida y Hawaii</a:t>
          </a:r>
          <a:endParaRPr lang="en-US" sz="1100" b="1"/>
        </a:p>
      </cdr:txBody>
    </cdr:sp>
  </cdr:relSizeAnchor>
  <cdr:relSizeAnchor xmlns:cdr="http://schemas.openxmlformats.org/drawingml/2006/chartDrawing">
    <cdr:from>
      <cdr:x>0.02083</cdr:x>
      <cdr:y>0.90972</cdr:y>
    </cdr:from>
    <cdr:to>
      <cdr:x>0.96875</cdr:x>
      <cdr:y>1</cdr:y>
    </cdr:to>
    <cdr:sp macro="" textlink="">
      <cdr:nvSpPr>
        <cdr:cNvPr id="3" name="TextBox 1"/>
        <cdr:cNvSpPr txBox="1"/>
      </cdr:nvSpPr>
      <cdr:spPr>
        <a:xfrm xmlns:a="http://schemas.openxmlformats.org/drawingml/2006/main">
          <a:off x="95250" y="2495550"/>
          <a:ext cx="43338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t>Fuente: Junta de Planificación de Puerto Rico y el Bureau of Economic Analysis</a:t>
          </a:r>
        </a:p>
      </cdr:txBody>
    </cdr:sp>
  </cdr:relSizeAnchor>
</c:userShapes>
</file>

<file path=word/drawings/drawing6.xml><?xml version="1.0" encoding="utf-8"?>
<c:userShapes xmlns:c="http://schemas.openxmlformats.org/drawingml/2006/chart">
  <cdr:relSizeAnchor xmlns:cdr="http://schemas.openxmlformats.org/drawingml/2006/chartDrawing">
    <cdr:from>
      <cdr:x>0.01875</cdr:x>
      <cdr:y>0.00694</cdr:y>
    </cdr:from>
    <cdr:to>
      <cdr:x>0.9875</cdr:x>
      <cdr:y>0.11458</cdr:y>
    </cdr:to>
    <cdr:sp macro="" textlink="">
      <cdr:nvSpPr>
        <cdr:cNvPr id="2" name="TextBox 1"/>
        <cdr:cNvSpPr txBox="1"/>
      </cdr:nvSpPr>
      <cdr:spPr>
        <a:xfrm xmlns:a="http://schemas.openxmlformats.org/drawingml/2006/main">
          <a:off x="85725" y="19050"/>
          <a:ext cx="44291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cdr:y>
    </cdr:from>
    <cdr:to>
      <cdr:x>0.97917</cdr:x>
      <cdr:y>0.16667</cdr:y>
    </cdr:to>
    <cdr:sp macro="" textlink="">
      <cdr:nvSpPr>
        <cdr:cNvPr id="3" name="TextBox 1"/>
        <cdr:cNvSpPr txBox="1"/>
      </cdr:nvSpPr>
      <cdr:spPr>
        <a:xfrm xmlns:a="http://schemas.openxmlformats.org/drawingml/2006/main">
          <a:off x="0" y="0"/>
          <a:ext cx="4476765" cy="4572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b="1"/>
            <a:t>Tasa de crecimiento de la razón del ingreso personal disponible per cápita respecto a Esta</a:t>
          </a:r>
          <a:r>
            <a:rPr lang="en-US" sz="1100" b="1" baseline="0"/>
            <a:t>dos Unidos</a:t>
          </a:r>
          <a:endParaRPr lang="en-US" sz="1100" b="1"/>
        </a:p>
      </cdr:txBody>
    </cdr:sp>
  </cdr:relSizeAnchor>
  <cdr:relSizeAnchor xmlns:cdr="http://schemas.openxmlformats.org/drawingml/2006/chartDrawing">
    <cdr:from>
      <cdr:x>0.025</cdr:x>
      <cdr:y>0.90972</cdr:y>
    </cdr:from>
    <cdr:to>
      <cdr:x>0.97292</cdr:x>
      <cdr:y>1</cdr:y>
    </cdr:to>
    <cdr:sp macro="" textlink="">
      <cdr:nvSpPr>
        <cdr:cNvPr id="4" name="TextBox 1"/>
        <cdr:cNvSpPr txBox="1"/>
      </cdr:nvSpPr>
      <cdr:spPr>
        <a:xfrm xmlns:a="http://schemas.openxmlformats.org/drawingml/2006/main">
          <a:off x="114300" y="4105275"/>
          <a:ext cx="43338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t>Fuente: Junta de Planificación de Puerto Rico y el Bureau of Economic Analysis</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0B8F03DC1FD479693A539FB7B49B548"/>
        <w:category>
          <w:name w:val="General"/>
          <w:gallery w:val="placeholder"/>
        </w:category>
        <w:types>
          <w:type w:val="bbPlcHdr"/>
        </w:types>
        <w:behaviors>
          <w:behavior w:val="content"/>
        </w:behaviors>
        <w:guid w:val="{8715E599-D571-4846-85D1-CC588D9D0D87}"/>
      </w:docPartPr>
      <w:docPartBody>
        <w:p w:rsidR="00D37B59" w:rsidRDefault="00D37B59" w:rsidP="00D37B59">
          <w:pPr>
            <w:pStyle w:val="C0B8F03DC1FD479693A539FB7B49B548"/>
          </w:pPr>
          <w:r>
            <w:rPr>
              <w:rFonts w:asciiTheme="majorHAnsi" w:eastAsiaTheme="majorEastAsia" w:hAnsiTheme="majorHAnsi" w:cstheme="majorBidi"/>
              <w:sz w:val="72"/>
              <w:szCs w:val="72"/>
            </w:rPr>
            <w:t>[Type the document title]</w:t>
          </w:r>
        </w:p>
      </w:docPartBody>
    </w:docPart>
    <w:docPart>
      <w:docPartPr>
        <w:name w:val="A645EF96CF6F4FEEA9DCF9D3794638A5"/>
        <w:category>
          <w:name w:val="General"/>
          <w:gallery w:val="placeholder"/>
        </w:category>
        <w:types>
          <w:type w:val="bbPlcHdr"/>
        </w:types>
        <w:behaviors>
          <w:behavior w:val="content"/>
        </w:behaviors>
        <w:guid w:val="{9CB91C17-A36F-49C0-9C8E-E14406DE6988}"/>
      </w:docPartPr>
      <w:docPartBody>
        <w:p w:rsidR="00D37B59" w:rsidRDefault="00D37B59" w:rsidP="00D37B59">
          <w:pPr>
            <w:pStyle w:val="A645EF96CF6F4FEEA9DCF9D3794638A5"/>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charset w:val="00"/>
    <w:family w:val="roman"/>
    <w:pitch w:val="variable"/>
    <w:sig w:usb0="00008003" w:usb1="00000000" w:usb2="00000000" w:usb3="00000000" w:csb0="00000001" w:csb1="00000000"/>
  </w:font>
  <w:font w:name="SimSun">
    <w:altName w:val="宋体"/>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00"/>
    <w:family w:val="auto"/>
    <w:pitch w:val="variable"/>
    <w:sig w:usb0="00000003" w:usb1="00000000" w:usb2="00000000" w:usb3="00000000" w:csb0="00000001" w:csb1="00000000"/>
  </w:font>
  <w:font w:name="&gt;Æ&quot;®Êˇø•'12—">
    <w:altName w:val="Cambri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hyphenationZone w:val="425"/>
  <w:characterSpacingControl w:val="doNotCompress"/>
  <w:compat>
    <w:useFELayout/>
  </w:compat>
  <w:rsids>
    <w:rsidRoot w:val="00D37B59"/>
    <w:rsid w:val="00181267"/>
    <w:rsid w:val="00363F90"/>
    <w:rsid w:val="00D1652B"/>
    <w:rsid w:val="00D37B59"/>
    <w:rsid w:val="00E33765"/>
    <w:rsid w:val="00FD1CB8"/>
  </w:rsids>
  <m:mathPr>
    <m:mathFont m:val="+mn-e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76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0B8F03DC1FD479693A539FB7B49B548">
    <w:name w:val="C0B8F03DC1FD479693A539FB7B49B548"/>
    <w:rsid w:val="00D37B59"/>
  </w:style>
  <w:style w:type="paragraph" w:customStyle="1" w:styleId="A645EF96CF6F4FEEA9DCF9D3794638A5">
    <w:name w:val="A645EF96CF6F4FEEA9DCF9D3794638A5"/>
    <w:rsid w:val="00D37B59"/>
  </w:style>
  <w:style w:type="paragraph" w:customStyle="1" w:styleId="A1034992335D459F842552B1B6265579">
    <w:name w:val="A1034992335D459F842552B1B6265579"/>
    <w:rsid w:val="00D37B59"/>
  </w:style>
  <w:style w:type="paragraph" w:customStyle="1" w:styleId="873EBDD615704903A1414A7F3409F290">
    <w:name w:val="873EBDD615704903A1414A7F3409F290"/>
    <w:rsid w:val="00D37B59"/>
  </w:style>
  <w:style w:type="paragraph" w:customStyle="1" w:styleId="FF38C072B9B348238E7912732C6F9BB2">
    <w:name w:val="FF38C072B9B348238E7912732C6F9BB2"/>
    <w:rsid w:val="00E33765"/>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04A7C-6450-AA46-8A9E-55834919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Pages>
  <Words>100020</Words>
  <Characters>570116</Characters>
  <Application>Microsoft Macintosh Word</Application>
  <DocSecurity>0</DocSecurity>
  <Lines>4750</Lines>
  <Paragraphs>1140</Paragraphs>
  <ScaleCrop>false</ScaleCrop>
  <HeadingPairs>
    <vt:vector size="2" baseType="variant">
      <vt:variant>
        <vt:lpstr>Title</vt:lpstr>
      </vt:variant>
      <vt:variant>
        <vt:i4>1</vt:i4>
      </vt:variant>
    </vt:vector>
  </HeadingPairs>
  <TitlesOfParts>
    <vt:vector size="1" baseType="lpstr">
      <vt:lpstr>Efectos sobre la Competitividad de Puerto Rico de Posibles Cambios en la Ley 600</vt:lpstr>
    </vt:vector>
  </TitlesOfParts>
  <Company>Universidad de Puerto Rico</Company>
  <LinksUpToDate>false</LinksUpToDate>
  <CharactersWithSpaces>700142</CharactersWithSpaces>
  <SharedDoc>false</SharedDoc>
  <HLinks>
    <vt:vector size="1410" baseType="variant">
      <vt:variant>
        <vt:i4>2424866</vt:i4>
      </vt:variant>
      <vt:variant>
        <vt:i4>978</vt:i4>
      </vt:variant>
      <vt:variant>
        <vt:i4>0</vt:i4>
      </vt:variant>
      <vt:variant>
        <vt:i4>5</vt:i4>
      </vt:variant>
      <vt:variant>
        <vt:lpwstr>http://www.nber.org/cycles/cyclesmain.html</vt:lpwstr>
      </vt:variant>
      <vt:variant>
        <vt:lpwstr>navDiv=4</vt:lpwstr>
      </vt:variant>
      <vt:variant>
        <vt:i4>852024</vt:i4>
      </vt:variant>
      <vt:variant>
        <vt:i4>975</vt:i4>
      </vt:variant>
      <vt:variant>
        <vt:i4>0</vt:i4>
      </vt:variant>
      <vt:variant>
        <vt:i4>5</vt:i4>
      </vt:variant>
      <vt:variant>
        <vt:lpwstr>http://www.enciclopediapr.org/esp/article.cfm?ref=13071108&amp;page=2</vt:lpwstr>
      </vt:variant>
      <vt:variant>
        <vt:lpwstr/>
      </vt:variant>
      <vt:variant>
        <vt:i4>4980833</vt:i4>
      </vt:variant>
      <vt:variant>
        <vt:i4>972</vt:i4>
      </vt:variant>
      <vt:variant>
        <vt:i4>0</vt:i4>
      </vt:variant>
      <vt:variant>
        <vt:i4>5</vt:i4>
      </vt:variant>
      <vt:variant>
        <vt:lpwstr>http://www.newyorkfed.org/research/current_issues/ci14-2/ci14-2.html</vt:lpwstr>
      </vt:variant>
      <vt:variant>
        <vt:lpwstr/>
      </vt:variant>
      <vt:variant>
        <vt:i4>655462</vt:i4>
      </vt:variant>
      <vt:variant>
        <vt:i4>969</vt:i4>
      </vt:variant>
      <vt:variant>
        <vt:i4>0</vt:i4>
      </vt:variant>
      <vt:variant>
        <vt:i4>5</vt:i4>
      </vt:variant>
      <vt:variant>
        <vt:lpwstr>http://easywebpr.com/josealameda/informes_gobernador/ciclos_economicos_informe_economico_gob_2006.pdf</vt:lpwstr>
      </vt:variant>
      <vt:variant>
        <vt:lpwstr/>
      </vt:variant>
      <vt:variant>
        <vt:i4>1441820</vt:i4>
      </vt:variant>
      <vt:variant>
        <vt:i4>966</vt:i4>
      </vt:variant>
      <vt:variant>
        <vt:i4>0</vt:i4>
      </vt:variant>
      <vt:variant>
        <vt:i4>5</vt:i4>
      </vt:variant>
      <vt:variant>
        <vt:lpwstr>http://imco.org.mx/wp-content/uploads/internacional/ICI2013-completo.pdf</vt:lpwstr>
      </vt:variant>
      <vt:variant>
        <vt:lpwstr/>
      </vt:variant>
      <vt:variant>
        <vt:i4>3538979</vt:i4>
      </vt:variant>
      <vt:variant>
        <vt:i4>963</vt:i4>
      </vt:variant>
      <vt:variant>
        <vt:i4>0</vt:i4>
      </vt:variant>
      <vt:variant>
        <vt:i4>5</vt:i4>
      </vt:variant>
      <vt:variant>
        <vt:lpwstr>http://imco.org.mx/indices</vt:lpwstr>
      </vt:variant>
      <vt:variant>
        <vt:lpwstr/>
      </vt:variant>
      <vt:variant>
        <vt:i4>2752569</vt:i4>
      </vt:variant>
      <vt:variant>
        <vt:i4>960</vt:i4>
      </vt:variant>
      <vt:variant>
        <vt:i4>0</vt:i4>
      </vt:variant>
      <vt:variant>
        <vt:i4>5</vt:i4>
      </vt:variant>
      <vt:variant>
        <vt:lpwstr>http://www.imd.org/uupload/IMD.WebSite/wcc/WCYResults/1/scoreboard.pdf</vt:lpwstr>
      </vt:variant>
      <vt:variant>
        <vt:lpwstr/>
      </vt:variant>
      <vt:variant>
        <vt:i4>3735667</vt:i4>
      </vt:variant>
      <vt:variant>
        <vt:i4>957</vt:i4>
      </vt:variant>
      <vt:variant>
        <vt:i4>0</vt:i4>
      </vt:variant>
      <vt:variant>
        <vt:i4>5</vt:i4>
      </vt:variant>
      <vt:variant>
        <vt:lpwstr>http://www.imd.org/uupload/imd.website/wcc/methodology.pdf</vt:lpwstr>
      </vt:variant>
      <vt:variant>
        <vt:lpwstr/>
      </vt:variant>
      <vt:variant>
        <vt:i4>5832727</vt:i4>
      </vt:variant>
      <vt:variant>
        <vt:i4>954</vt:i4>
      </vt:variant>
      <vt:variant>
        <vt:i4>0</vt:i4>
      </vt:variant>
      <vt:variant>
        <vt:i4>5</vt:i4>
      </vt:variant>
      <vt:variant>
        <vt:lpwstr>http://www.imd.org/wcc/research-methodology/</vt:lpwstr>
      </vt:variant>
      <vt:variant>
        <vt:lpwstr/>
      </vt:variant>
      <vt:variant>
        <vt:i4>3014734</vt:i4>
      </vt:variant>
      <vt:variant>
        <vt:i4>951</vt:i4>
      </vt:variant>
      <vt:variant>
        <vt:i4>0</vt:i4>
      </vt:variant>
      <vt:variant>
        <vt:i4>5</vt:i4>
      </vt:variant>
      <vt:variant>
        <vt:lpwstr>http://www.imd.org/</vt:lpwstr>
      </vt:variant>
      <vt:variant>
        <vt:lpwstr/>
      </vt:variant>
      <vt:variant>
        <vt:i4>3670120</vt:i4>
      </vt:variant>
      <vt:variant>
        <vt:i4>948</vt:i4>
      </vt:variant>
      <vt:variant>
        <vt:i4>0</vt:i4>
      </vt:variant>
      <vt:variant>
        <vt:i4>5</vt:i4>
      </vt:variant>
      <vt:variant>
        <vt:lpwstr>http://espanol.doingbusiness.org/data/exploreeconomies/puerto-rico</vt:lpwstr>
      </vt:variant>
      <vt:variant>
        <vt:lpwstr/>
      </vt:variant>
      <vt:variant>
        <vt:i4>5963846</vt:i4>
      </vt:variant>
      <vt:variant>
        <vt:i4>945</vt:i4>
      </vt:variant>
      <vt:variant>
        <vt:i4>0</vt:i4>
      </vt:variant>
      <vt:variant>
        <vt:i4>5</vt:i4>
      </vt:variant>
      <vt:variant>
        <vt:lpwstr>http://espanol.doingbusiness.org/methodology</vt:lpwstr>
      </vt:variant>
      <vt:variant>
        <vt:lpwstr/>
      </vt:variant>
      <vt:variant>
        <vt:i4>5505060</vt:i4>
      </vt:variant>
      <vt:variant>
        <vt:i4>942</vt:i4>
      </vt:variant>
      <vt:variant>
        <vt:i4>0</vt:i4>
      </vt:variant>
      <vt:variant>
        <vt:i4>5</vt:i4>
      </vt:variant>
      <vt:variant>
        <vt:lpwstr>http://espanol.doingbusiness.org/</vt:lpwstr>
      </vt:variant>
      <vt:variant>
        <vt:lpwstr/>
      </vt:variant>
      <vt:variant>
        <vt:i4>458776</vt:i4>
      </vt:variant>
      <vt:variant>
        <vt:i4>939</vt:i4>
      </vt:variant>
      <vt:variant>
        <vt:i4>0</vt:i4>
      </vt:variant>
      <vt:variant>
        <vt:i4>5</vt:i4>
      </vt:variant>
      <vt:variant>
        <vt:lpwstr>http://www3.weforum.org/docs/WEF_GlobalCompetitivenessReport_2013-14.pdf</vt:lpwstr>
      </vt:variant>
      <vt:variant>
        <vt:lpwstr/>
      </vt:variant>
      <vt:variant>
        <vt:i4>6357103</vt:i4>
      </vt:variant>
      <vt:variant>
        <vt:i4>936</vt:i4>
      </vt:variant>
      <vt:variant>
        <vt:i4>0</vt:i4>
      </vt:variant>
      <vt:variant>
        <vt:i4>5</vt:i4>
      </vt:variant>
      <vt:variant>
        <vt:lpwstr>http://www.eclac.org/publicaciones/xml/4/41914/RVE102Benzaquenetal.pdf</vt:lpwstr>
      </vt:variant>
      <vt:variant>
        <vt:lpwstr/>
      </vt:variant>
      <vt:variant>
        <vt:i4>4325482</vt:i4>
      </vt:variant>
      <vt:variant>
        <vt:i4>933</vt:i4>
      </vt:variant>
      <vt:variant>
        <vt:i4>0</vt:i4>
      </vt:variant>
      <vt:variant>
        <vt:i4>5</vt:i4>
      </vt:variant>
      <vt:variant>
        <vt:lpwstr>http://www.economia.gob.mx/comunidad-negocios/competitividad-normatividad/indices</vt:lpwstr>
      </vt:variant>
      <vt:variant>
        <vt:lpwstr/>
      </vt:variant>
      <vt:variant>
        <vt:i4>5963900</vt:i4>
      </vt:variant>
      <vt:variant>
        <vt:i4>930</vt:i4>
      </vt:variant>
      <vt:variant>
        <vt:i4>0</vt:i4>
      </vt:variant>
      <vt:variant>
        <vt:i4>5</vt:i4>
      </vt:variant>
      <vt:variant>
        <vt:lpwstr>http://www.consultorapsg.com.mx/competitividad mexico.pdf</vt:lpwstr>
      </vt:variant>
      <vt:variant>
        <vt:lpwstr/>
      </vt:variant>
      <vt:variant>
        <vt:i4>4980808</vt:i4>
      </vt:variant>
      <vt:variant>
        <vt:i4>927</vt:i4>
      </vt:variant>
      <vt:variant>
        <vt:i4>0</vt:i4>
      </vt:variant>
      <vt:variant>
        <vt:i4>5</vt:i4>
      </vt:variant>
      <vt:variant>
        <vt:lpwstr>http://siteresources.worldbank.org/INTEASTASIAPACIFIC/Resources/226262-1158536715202/EA_Renaissance_execsumm.pdf</vt:lpwstr>
      </vt:variant>
      <vt:variant>
        <vt:lpwstr/>
      </vt:variant>
      <vt:variant>
        <vt:i4>4980808</vt:i4>
      </vt:variant>
      <vt:variant>
        <vt:i4>924</vt:i4>
      </vt:variant>
      <vt:variant>
        <vt:i4>0</vt:i4>
      </vt:variant>
      <vt:variant>
        <vt:i4>5</vt:i4>
      </vt:variant>
      <vt:variant>
        <vt:lpwstr>http://siteresources.worldbank.org/INTEASTASIAPACIFIC/Resources/226262-1158536715202/EA_Renaissance_execsumm.pdf</vt:lpwstr>
      </vt:variant>
      <vt:variant>
        <vt:lpwstr/>
      </vt:variant>
      <vt:variant>
        <vt:i4>1441820</vt:i4>
      </vt:variant>
      <vt:variant>
        <vt:i4>921</vt:i4>
      </vt:variant>
      <vt:variant>
        <vt:i4>0</vt:i4>
      </vt:variant>
      <vt:variant>
        <vt:i4>5</vt:i4>
      </vt:variant>
      <vt:variant>
        <vt:lpwstr>http://imco.org.mx/wp-content/uploads/internacional/ICI2013-completo.pdf</vt:lpwstr>
      </vt:variant>
      <vt:variant>
        <vt:lpwstr/>
      </vt:variant>
      <vt:variant>
        <vt:i4>3538979</vt:i4>
      </vt:variant>
      <vt:variant>
        <vt:i4>918</vt:i4>
      </vt:variant>
      <vt:variant>
        <vt:i4>0</vt:i4>
      </vt:variant>
      <vt:variant>
        <vt:i4>5</vt:i4>
      </vt:variant>
      <vt:variant>
        <vt:lpwstr>http://imco.org.mx/indices</vt:lpwstr>
      </vt:variant>
      <vt:variant>
        <vt:lpwstr/>
      </vt:variant>
      <vt:variant>
        <vt:i4>2752569</vt:i4>
      </vt:variant>
      <vt:variant>
        <vt:i4>915</vt:i4>
      </vt:variant>
      <vt:variant>
        <vt:i4>0</vt:i4>
      </vt:variant>
      <vt:variant>
        <vt:i4>5</vt:i4>
      </vt:variant>
      <vt:variant>
        <vt:lpwstr>http://www.imd.org/uupload/IMD.WebSite/wcc/WCYResults/1/scoreboard.pdf</vt:lpwstr>
      </vt:variant>
      <vt:variant>
        <vt:lpwstr/>
      </vt:variant>
      <vt:variant>
        <vt:i4>3735667</vt:i4>
      </vt:variant>
      <vt:variant>
        <vt:i4>912</vt:i4>
      </vt:variant>
      <vt:variant>
        <vt:i4>0</vt:i4>
      </vt:variant>
      <vt:variant>
        <vt:i4>5</vt:i4>
      </vt:variant>
      <vt:variant>
        <vt:lpwstr>http://www.imd.org/uupload/imd.website/wcc/methodology.pdf</vt:lpwstr>
      </vt:variant>
      <vt:variant>
        <vt:lpwstr/>
      </vt:variant>
      <vt:variant>
        <vt:i4>5832727</vt:i4>
      </vt:variant>
      <vt:variant>
        <vt:i4>909</vt:i4>
      </vt:variant>
      <vt:variant>
        <vt:i4>0</vt:i4>
      </vt:variant>
      <vt:variant>
        <vt:i4>5</vt:i4>
      </vt:variant>
      <vt:variant>
        <vt:lpwstr>http://www.imd.org/wcc/research-methodology/</vt:lpwstr>
      </vt:variant>
      <vt:variant>
        <vt:lpwstr/>
      </vt:variant>
      <vt:variant>
        <vt:i4>3014734</vt:i4>
      </vt:variant>
      <vt:variant>
        <vt:i4>906</vt:i4>
      </vt:variant>
      <vt:variant>
        <vt:i4>0</vt:i4>
      </vt:variant>
      <vt:variant>
        <vt:i4>5</vt:i4>
      </vt:variant>
      <vt:variant>
        <vt:lpwstr>http://www.imd.org/</vt:lpwstr>
      </vt:variant>
      <vt:variant>
        <vt:lpwstr/>
      </vt:variant>
      <vt:variant>
        <vt:i4>3670120</vt:i4>
      </vt:variant>
      <vt:variant>
        <vt:i4>903</vt:i4>
      </vt:variant>
      <vt:variant>
        <vt:i4>0</vt:i4>
      </vt:variant>
      <vt:variant>
        <vt:i4>5</vt:i4>
      </vt:variant>
      <vt:variant>
        <vt:lpwstr>http://espanol.doingbusiness.org/data/exploreeconomies/puerto-rico</vt:lpwstr>
      </vt:variant>
      <vt:variant>
        <vt:lpwstr/>
      </vt:variant>
      <vt:variant>
        <vt:i4>5963846</vt:i4>
      </vt:variant>
      <vt:variant>
        <vt:i4>900</vt:i4>
      </vt:variant>
      <vt:variant>
        <vt:i4>0</vt:i4>
      </vt:variant>
      <vt:variant>
        <vt:i4>5</vt:i4>
      </vt:variant>
      <vt:variant>
        <vt:lpwstr>http://espanol.doingbusiness.org/methodology</vt:lpwstr>
      </vt:variant>
      <vt:variant>
        <vt:lpwstr/>
      </vt:variant>
      <vt:variant>
        <vt:i4>5505060</vt:i4>
      </vt:variant>
      <vt:variant>
        <vt:i4>897</vt:i4>
      </vt:variant>
      <vt:variant>
        <vt:i4>0</vt:i4>
      </vt:variant>
      <vt:variant>
        <vt:i4>5</vt:i4>
      </vt:variant>
      <vt:variant>
        <vt:lpwstr>http://espanol.doingbusiness.org/</vt:lpwstr>
      </vt:variant>
      <vt:variant>
        <vt:lpwstr/>
      </vt:variant>
      <vt:variant>
        <vt:i4>458776</vt:i4>
      </vt:variant>
      <vt:variant>
        <vt:i4>894</vt:i4>
      </vt:variant>
      <vt:variant>
        <vt:i4>0</vt:i4>
      </vt:variant>
      <vt:variant>
        <vt:i4>5</vt:i4>
      </vt:variant>
      <vt:variant>
        <vt:lpwstr>http://www3.weforum.org/docs/WEF_GlobalCompetitivenessReport_2013-14.pdf</vt:lpwstr>
      </vt:variant>
      <vt:variant>
        <vt:lpwstr/>
      </vt:variant>
      <vt:variant>
        <vt:i4>983110</vt:i4>
      </vt:variant>
      <vt:variant>
        <vt:i4>879</vt:i4>
      </vt:variant>
      <vt:variant>
        <vt:i4>0</vt:i4>
      </vt:variant>
      <vt:variant>
        <vt:i4>5</vt:i4>
      </vt:variant>
      <vt:variant>
        <vt:lpwstr>https://www.cia.gov/library/publications/the-world-factbook/geos/ci.html</vt:lpwstr>
      </vt:variant>
      <vt:variant>
        <vt:lpwstr/>
      </vt:variant>
      <vt:variant>
        <vt:i4>1704010</vt:i4>
      </vt:variant>
      <vt:variant>
        <vt:i4>876</vt:i4>
      </vt:variant>
      <vt:variant>
        <vt:i4>0</vt:i4>
      </vt:variant>
      <vt:variant>
        <vt:i4>5</vt:i4>
      </vt:variant>
      <vt:variant>
        <vt:lpwstr>https://www.cia.gov/library/publications/the-world-factbook/geos/ve.html</vt:lpwstr>
      </vt:variant>
      <vt:variant>
        <vt:lpwstr/>
      </vt:variant>
      <vt:variant>
        <vt:i4>65623</vt:i4>
      </vt:variant>
      <vt:variant>
        <vt:i4>873</vt:i4>
      </vt:variant>
      <vt:variant>
        <vt:i4>0</vt:i4>
      </vt:variant>
      <vt:variant>
        <vt:i4>5</vt:i4>
      </vt:variant>
      <vt:variant>
        <vt:lpwstr>https://www.cia.gov/library/publications/the-world-factbook/geos/mx.html</vt:lpwstr>
      </vt:variant>
      <vt:variant>
        <vt:lpwstr/>
      </vt:variant>
      <vt:variant>
        <vt:i4>524381</vt:i4>
      </vt:variant>
      <vt:variant>
        <vt:i4>870</vt:i4>
      </vt:variant>
      <vt:variant>
        <vt:i4>0</vt:i4>
      </vt:variant>
      <vt:variant>
        <vt:i4>5</vt:i4>
      </vt:variant>
      <vt:variant>
        <vt:lpwstr>https://www.cia.gov/library/publications/the-world-factbook/geos/dr.html</vt:lpwstr>
      </vt:variant>
      <vt:variant>
        <vt:lpwstr/>
      </vt:variant>
      <vt:variant>
        <vt:i4>852061</vt:i4>
      </vt:variant>
      <vt:variant>
        <vt:i4>867</vt:i4>
      </vt:variant>
      <vt:variant>
        <vt:i4>0</vt:i4>
      </vt:variant>
      <vt:variant>
        <vt:i4>5</vt:i4>
      </vt:variant>
      <vt:variant>
        <vt:lpwstr>https://www.cia.gov/library/publications/the-world-factbook/geos/ar.html</vt:lpwstr>
      </vt:variant>
      <vt:variant>
        <vt:lpwstr/>
      </vt:variant>
      <vt:variant>
        <vt:i4>983132</vt:i4>
      </vt:variant>
      <vt:variant>
        <vt:i4>864</vt:i4>
      </vt:variant>
      <vt:variant>
        <vt:i4>0</vt:i4>
      </vt:variant>
      <vt:variant>
        <vt:i4>5</vt:i4>
      </vt:variant>
      <vt:variant>
        <vt:lpwstr>https://www.cia.gov/library/publications/the-world-factbook/geos/cs.html</vt:lpwstr>
      </vt:variant>
      <vt:variant>
        <vt:lpwstr/>
      </vt:variant>
      <vt:variant>
        <vt:i4>1638492</vt:i4>
      </vt:variant>
      <vt:variant>
        <vt:i4>861</vt:i4>
      </vt:variant>
      <vt:variant>
        <vt:i4>0</vt:i4>
      </vt:variant>
      <vt:variant>
        <vt:i4>5</vt:i4>
      </vt:variant>
      <vt:variant>
        <vt:lpwstr>https://www.cia.gov/library/publications/the-world-factbook/geos/us.html</vt:lpwstr>
      </vt:variant>
      <vt:variant>
        <vt:lpwstr/>
      </vt:variant>
      <vt:variant>
        <vt:i4>983118</vt:i4>
      </vt:variant>
      <vt:variant>
        <vt:i4>858</vt:i4>
      </vt:variant>
      <vt:variant>
        <vt:i4>0</vt:i4>
      </vt:variant>
      <vt:variant>
        <vt:i4>5</vt:i4>
      </vt:variant>
      <vt:variant>
        <vt:lpwstr>https://www.cia.gov/library/publications/the-world-factbook/geos/ca.html</vt:lpwstr>
      </vt:variant>
      <vt:variant>
        <vt:lpwstr/>
      </vt:variant>
      <vt:variant>
        <vt:i4>1638468</vt:i4>
      </vt:variant>
      <vt:variant>
        <vt:i4>855</vt:i4>
      </vt:variant>
      <vt:variant>
        <vt:i4>0</vt:i4>
      </vt:variant>
      <vt:variant>
        <vt:i4>5</vt:i4>
      </vt:variant>
      <vt:variant>
        <vt:lpwstr>https://www.cia.gov/library/publications/the-world-factbook/geos/uk.html</vt:lpwstr>
      </vt:variant>
      <vt:variant>
        <vt:lpwstr/>
      </vt:variant>
      <vt:variant>
        <vt:i4>852044</vt:i4>
      </vt:variant>
      <vt:variant>
        <vt:i4>852</vt:i4>
      </vt:variant>
      <vt:variant>
        <vt:i4>0</vt:i4>
      </vt:variant>
      <vt:variant>
        <vt:i4>5</vt:i4>
      </vt:variant>
      <vt:variant>
        <vt:lpwstr>https://www.cia.gov/library/publications/the-world-factbook/geos/ac.html</vt:lpwstr>
      </vt:variant>
      <vt:variant>
        <vt:lpwstr/>
      </vt:variant>
      <vt:variant>
        <vt:i4>655453</vt:i4>
      </vt:variant>
      <vt:variant>
        <vt:i4>849</vt:i4>
      </vt:variant>
      <vt:variant>
        <vt:i4>0</vt:i4>
      </vt:variant>
      <vt:variant>
        <vt:i4>5</vt:i4>
      </vt:variant>
      <vt:variant>
        <vt:lpwstr>https://www.cia.gov/library/publications/the-world-factbook/geos/fr.html</vt:lpwstr>
      </vt:variant>
      <vt:variant>
        <vt:lpwstr/>
      </vt:variant>
      <vt:variant>
        <vt:i4>1966174</vt:i4>
      </vt:variant>
      <vt:variant>
        <vt:i4>846</vt:i4>
      </vt:variant>
      <vt:variant>
        <vt:i4>0</vt:i4>
      </vt:variant>
      <vt:variant>
        <vt:i4>5</vt:i4>
      </vt:variant>
      <vt:variant>
        <vt:lpwstr>https://www.cia.gov/library/publications/the-world-factbook/geos/rq.html</vt:lpwstr>
      </vt:variant>
      <vt:variant>
        <vt:lpwstr/>
      </vt:variant>
      <vt:variant>
        <vt:i4>917578</vt:i4>
      </vt:variant>
      <vt:variant>
        <vt:i4>843</vt:i4>
      </vt:variant>
      <vt:variant>
        <vt:i4>0</vt:i4>
      </vt:variant>
      <vt:variant>
        <vt:i4>5</vt:i4>
      </vt:variant>
      <vt:variant>
        <vt:lpwstr>https://www.cia.gov/library/publications/the-world-factbook/geos/be.html</vt:lpwstr>
      </vt:variant>
      <vt:variant>
        <vt:lpwstr/>
      </vt:variant>
      <vt:variant>
        <vt:i4>2031706</vt:i4>
      </vt:variant>
      <vt:variant>
        <vt:i4>840</vt:i4>
      </vt:variant>
      <vt:variant>
        <vt:i4>0</vt:i4>
      </vt:variant>
      <vt:variant>
        <vt:i4>5</vt:i4>
      </vt:variant>
      <vt:variant>
        <vt:lpwstr>https://www.cia.gov/library/publications/the-world-factbook/geos/su.html</vt:lpwstr>
      </vt:variant>
      <vt:variant>
        <vt:lpwstr/>
      </vt:variant>
      <vt:variant>
        <vt:i4>720965</vt:i4>
      </vt:variant>
      <vt:variant>
        <vt:i4>837</vt:i4>
      </vt:variant>
      <vt:variant>
        <vt:i4>0</vt:i4>
      </vt:variant>
      <vt:variant>
        <vt:i4>5</vt:i4>
      </vt:variant>
      <vt:variant>
        <vt:lpwstr>https://www.cia.gov/library/publications/the-world-factbook/geos/gj.html</vt:lpwstr>
      </vt:variant>
      <vt:variant>
        <vt:lpwstr/>
      </vt:variant>
      <vt:variant>
        <vt:i4>2031681</vt:i4>
      </vt:variant>
      <vt:variant>
        <vt:i4>834</vt:i4>
      </vt:variant>
      <vt:variant>
        <vt:i4>0</vt:i4>
      </vt:variant>
      <vt:variant>
        <vt:i4>5</vt:i4>
      </vt:variant>
      <vt:variant>
        <vt:lpwstr>https://www.cia.gov/library/publications/the-world-factbook/geos/sn.html</vt:lpwstr>
      </vt:variant>
      <vt:variant>
        <vt:lpwstr/>
      </vt:variant>
      <vt:variant>
        <vt:i4>393282</vt:i4>
      </vt:variant>
      <vt:variant>
        <vt:i4>831</vt:i4>
      </vt:variant>
      <vt:variant>
        <vt:i4>0</vt:i4>
      </vt:variant>
      <vt:variant>
        <vt:i4>5</vt:i4>
      </vt:variant>
      <vt:variant>
        <vt:lpwstr>https://www.cia.gov/library/publications/the-world-factbook/geos/jm.html</vt:lpwstr>
      </vt:variant>
      <vt:variant>
        <vt:lpwstr/>
      </vt:variant>
      <vt:variant>
        <vt:i4>2031692</vt:i4>
      </vt:variant>
      <vt:variant>
        <vt:i4>828</vt:i4>
      </vt:variant>
      <vt:variant>
        <vt:i4>0</vt:i4>
      </vt:variant>
      <vt:variant>
        <vt:i4>5</vt:i4>
      </vt:variant>
      <vt:variant>
        <vt:lpwstr>https://www.cia.gov/library/publications/the-world-factbook/geos/sc.html</vt:lpwstr>
      </vt:variant>
      <vt:variant>
        <vt:lpwstr/>
      </vt:variant>
      <vt:variant>
        <vt:i4>720989</vt:i4>
      </vt:variant>
      <vt:variant>
        <vt:i4>825</vt:i4>
      </vt:variant>
      <vt:variant>
        <vt:i4>0</vt:i4>
      </vt:variant>
      <vt:variant>
        <vt:i4>5</vt:i4>
      </vt:variant>
      <vt:variant>
        <vt:lpwstr>https://www.cia.gov/library/publications/the-world-factbook/geos/gr.html</vt:lpwstr>
      </vt:variant>
      <vt:variant>
        <vt:lpwstr/>
      </vt:variant>
      <vt:variant>
        <vt:i4>393294</vt:i4>
      </vt:variant>
      <vt:variant>
        <vt:i4>822</vt:i4>
      </vt:variant>
      <vt:variant>
        <vt:i4>0</vt:i4>
      </vt:variant>
      <vt:variant>
        <vt:i4>5</vt:i4>
      </vt:variant>
      <vt:variant>
        <vt:lpwstr>https://www.cia.gov/library/publications/the-world-factbook/geos/ja.html</vt:lpwstr>
      </vt:variant>
      <vt:variant>
        <vt:lpwstr/>
      </vt:variant>
      <vt:variant>
        <vt:i4>1441862</vt:i4>
      </vt:variant>
      <vt:variant>
        <vt:i4>819</vt:i4>
      </vt:variant>
      <vt:variant>
        <vt:i4>0</vt:i4>
      </vt:variant>
      <vt:variant>
        <vt:i4>5</vt:i4>
      </vt:variant>
      <vt:variant>
        <vt:lpwstr>https://www.cia.gov/library/publications/the-world-factbook/geos/zi.html</vt:lpwstr>
      </vt:variant>
      <vt:variant>
        <vt:lpwstr/>
      </vt:variant>
      <vt:variant>
        <vt:i4>7012382</vt:i4>
      </vt:variant>
      <vt:variant>
        <vt:i4>816</vt:i4>
      </vt:variant>
      <vt:variant>
        <vt:i4>0</vt:i4>
      </vt:variant>
      <vt:variant>
        <vt:i4>5</vt:i4>
      </vt:variant>
      <vt:variant>
        <vt:lpwstr>http://www.forbes.com/sites/jakezamansky/2013/12/02/is-puerto-rico-too-big-to-fail/</vt:lpwstr>
      </vt:variant>
      <vt:variant>
        <vt:lpwstr/>
      </vt:variant>
      <vt:variant>
        <vt:i4>4653163</vt:i4>
      </vt:variant>
      <vt:variant>
        <vt:i4>813</vt:i4>
      </vt:variant>
      <vt:variant>
        <vt:i4>0</vt:i4>
      </vt:variant>
      <vt:variant>
        <vt:i4>5</vt:i4>
      </vt:variant>
      <vt:variant>
        <vt:lpwstr>http://www.senate.gov/reference/resources/pdf/RS20725.pdf</vt:lpwstr>
      </vt:variant>
      <vt:variant>
        <vt:lpwstr/>
      </vt:variant>
      <vt:variant>
        <vt:i4>7077998</vt:i4>
      </vt:variant>
      <vt:variant>
        <vt:i4>810</vt:i4>
      </vt:variant>
      <vt:variant>
        <vt:i4>0</vt:i4>
      </vt:variant>
      <vt:variant>
        <vt:i4>5</vt:i4>
      </vt:variant>
      <vt:variant>
        <vt:lpwstr>http://online.wsj.com/news/articles/SB10001424052702303442704579363160047845626?mg=reno64-wsj&amp;url=http%3A%2F%2Fonline.wsj.com%2Farticle%2FSB10001424052702303442704579363160047845626.html</vt:lpwstr>
      </vt:variant>
      <vt:variant>
        <vt:lpwstr/>
      </vt:variant>
      <vt:variant>
        <vt:i4>720953</vt:i4>
      </vt:variant>
      <vt:variant>
        <vt:i4>807</vt:i4>
      </vt:variant>
      <vt:variant>
        <vt:i4>0</vt:i4>
      </vt:variant>
      <vt:variant>
        <vt:i4>5</vt:i4>
      </vt:variant>
      <vt:variant>
        <vt:lpwstr>http://www.businessweek.com/articles/2013-10-14/tea-partys-house-seats-might-not-be-all-that-safe</vt:lpwstr>
      </vt:variant>
      <vt:variant>
        <vt:lpwstr/>
      </vt:variant>
      <vt:variant>
        <vt:i4>7340099</vt:i4>
      </vt:variant>
      <vt:variant>
        <vt:i4>804</vt:i4>
      </vt:variant>
      <vt:variant>
        <vt:i4>0</vt:i4>
      </vt:variant>
      <vt:variant>
        <vt:i4>5</vt:i4>
      </vt:variant>
      <vt:variant>
        <vt:lpwstr>http://www.washingtonpost.com/opinions/puerto-ricos-sinking-economy-needs-help/2013</vt:lpwstr>
      </vt:variant>
      <vt:variant>
        <vt:lpwstr/>
      </vt:variant>
      <vt:variant>
        <vt:i4>6291498</vt:i4>
      </vt:variant>
      <vt:variant>
        <vt:i4>801</vt:i4>
      </vt:variant>
      <vt:variant>
        <vt:i4>0</vt:i4>
      </vt:variant>
      <vt:variant>
        <vt:i4>5</vt:i4>
      </vt:variant>
      <vt:variant>
        <vt:lpwstr>http://www.policymic.com/articles/25257/immigration-reform-2013-poll-shows-surprising-consenus</vt:lpwstr>
      </vt:variant>
      <vt:variant>
        <vt:lpwstr/>
      </vt:variant>
      <vt:variant>
        <vt:i4>3276912</vt:i4>
      </vt:variant>
      <vt:variant>
        <vt:i4>798</vt:i4>
      </vt:variant>
      <vt:variant>
        <vt:i4>0</vt:i4>
      </vt:variant>
      <vt:variant>
        <vt:i4>5</vt:i4>
      </vt:variant>
      <vt:variant>
        <vt:lpwstr>http://globalvoicesonline.org/2013/08/12/intense-debate-over-changes-in-puerto-ricos-political-status/</vt:lpwstr>
      </vt:variant>
      <vt:variant>
        <vt:lpwstr/>
      </vt:variant>
      <vt:variant>
        <vt:i4>5177386</vt:i4>
      </vt:variant>
      <vt:variant>
        <vt:i4>795</vt:i4>
      </vt:variant>
      <vt:variant>
        <vt:i4>0</vt:i4>
      </vt:variant>
      <vt:variant>
        <vt:i4>5</vt:i4>
      </vt:variant>
      <vt:variant>
        <vt:lpwstr>http://velazquez.house.gov/newsroom/floor-statements/2006-floor-statements/statement-03-28-06-fbi-pr.html</vt:lpwstr>
      </vt:variant>
      <vt:variant>
        <vt:lpwstr/>
      </vt:variant>
      <vt:variant>
        <vt:i4>3997811</vt:i4>
      </vt:variant>
      <vt:variant>
        <vt:i4>792</vt:i4>
      </vt:variant>
      <vt:variant>
        <vt:i4>0</vt:i4>
      </vt:variant>
      <vt:variant>
        <vt:i4>5</vt:i4>
      </vt:variant>
      <vt:variant>
        <vt:lpwstr>http://www.justice.gov/jmd/2014justification/pdf/ojp-justification.pdf</vt:lpwstr>
      </vt:variant>
      <vt:variant>
        <vt:lpwstr/>
      </vt:variant>
      <vt:variant>
        <vt:i4>6619235</vt:i4>
      </vt:variant>
      <vt:variant>
        <vt:i4>789</vt:i4>
      </vt:variant>
      <vt:variant>
        <vt:i4>0</vt:i4>
      </vt:variant>
      <vt:variant>
        <vt:i4>5</vt:i4>
      </vt:variant>
      <vt:variant>
        <vt:lpwstr>http://www.elnuevoherald.com/2013/12/04/v-print/1629975/de-mal-en-peor-la-economia-de.html</vt:lpwstr>
      </vt:variant>
      <vt:variant>
        <vt:lpwstr/>
      </vt:variant>
      <vt:variant>
        <vt:i4>7471199</vt:i4>
      </vt:variant>
      <vt:variant>
        <vt:i4>786</vt:i4>
      </vt:variant>
      <vt:variant>
        <vt:i4>0</vt:i4>
      </vt:variant>
      <vt:variant>
        <vt:i4>5</vt:i4>
      </vt:variant>
      <vt:variant>
        <vt:lpwstr>http://www.economist.com/blogs/economist-explains/2013/10/economist-explains-15</vt:lpwstr>
      </vt:variant>
      <vt:variant>
        <vt:lpwstr/>
      </vt:variant>
      <vt:variant>
        <vt:i4>1114202</vt:i4>
      </vt:variant>
      <vt:variant>
        <vt:i4>783</vt:i4>
      </vt:variant>
      <vt:variant>
        <vt:i4>0</vt:i4>
      </vt:variant>
      <vt:variant>
        <vt:i4>5</vt:i4>
      </vt:variant>
      <vt:variant>
        <vt:lpwstr>http://ann.sagepub.com/content/285/1.toc</vt:lpwstr>
      </vt:variant>
      <vt:variant>
        <vt:lpwstr/>
      </vt:variant>
      <vt:variant>
        <vt:i4>5963839</vt:i4>
      </vt:variant>
      <vt:variant>
        <vt:i4>780</vt:i4>
      </vt:variant>
      <vt:variant>
        <vt:i4>0</vt:i4>
      </vt:variant>
      <vt:variant>
        <vt:i4>5</vt:i4>
      </vt:variant>
      <vt:variant>
        <vt:lpwstr>http://www.thedailyshow.com/watch/wed-march-6-2013/the-51st-state</vt:lpwstr>
      </vt:variant>
      <vt:variant>
        <vt:lpwstr/>
      </vt:variant>
      <vt:variant>
        <vt:i4>4259929</vt:i4>
      </vt:variant>
      <vt:variant>
        <vt:i4>777</vt:i4>
      </vt:variant>
      <vt:variant>
        <vt:i4>0</vt:i4>
      </vt:variant>
      <vt:variant>
        <vt:i4>5</vt:i4>
      </vt:variant>
      <vt:variant>
        <vt:lpwstr>http://thomas.loc.gov/cgi-bin/query/z?c109:S.2304.IS</vt:lpwstr>
      </vt:variant>
      <vt:variant>
        <vt:lpwstr/>
      </vt:variant>
      <vt:variant>
        <vt:i4>7733296</vt:i4>
      </vt:variant>
      <vt:variant>
        <vt:i4>774</vt:i4>
      </vt:variant>
      <vt:variant>
        <vt:i4>0</vt:i4>
      </vt:variant>
      <vt:variant>
        <vt:i4>5</vt:i4>
      </vt:variant>
      <vt:variant>
        <vt:lpwstr>mailto:column@caribbeanbusinesspr.com</vt:lpwstr>
      </vt:variant>
      <vt:variant>
        <vt:lpwstr/>
      </vt:variant>
      <vt:variant>
        <vt:i4>3670099</vt:i4>
      </vt:variant>
      <vt:variant>
        <vt:i4>771</vt:i4>
      </vt:variant>
      <vt:variant>
        <vt:i4>0</vt:i4>
      </vt:variant>
      <vt:variant>
        <vt:i4>5</vt:i4>
      </vt:variant>
      <vt:variant>
        <vt:lpwstr>http://www.eclac.org/mujer/publicaciones/sinsigla/xml/3/6823/romany.pdf</vt:lpwstr>
      </vt:variant>
      <vt:variant>
        <vt:lpwstr/>
      </vt:variant>
      <vt:variant>
        <vt:i4>3670102</vt:i4>
      </vt:variant>
      <vt:variant>
        <vt:i4>768</vt:i4>
      </vt:variant>
      <vt:variant>
        <vt:i4>0</vt:i4>
      </vt:variant>
      <vt:variant>
        <vt:i4>5</vt:i4>
      </vt:variant>
      <vt:variant>
        <vt:lpwstr>http://www.primerahora.com/XStatic/primerahora/docs/.../onuabogados.doc</vt:lpwstr>
      </vt:variant>
      <vt:variant>
        <vt:lpwstr/>
      </vt:variant>
      <vt:variant>
        <vt:i4>5701694</vt:i4>
      </vt:variant>
      <vt:variant>
        <vt:i4>765</vt:i4>
      </vt:variant>
      <vt:variant>
        <vt:i4>0</vt:i4>
      </vt:variant>
      <vt:variant>
        <vt:i4>5</vt:i4>
      </vt:variant>
      <vt:variant>
        <vt:lpwstr>http://www.primerahora.com/juezfederalgustavogelpiofrececonferenciasobrelosterritoriosdeestadosunidos-484265.html</vt:lpwstr>
      </vt:variant>
      <vt:variant>
        <vt:lpwstr/>
      </vt:variant>
      <vt:variant>
        <vt:i4>65536</vt:i4>
      </vt:variant>
      <vt:variant>
        <vt:i4>762</vt:i4>
      </vt:variant>
      <vt:variant>
        <vt:i4>0</vt:i4>
      </vt:variant>
      <vt:variant>
        <vt:i4>5</vt:i4>
      </vt:variant>
      <vt:variant>
        <vt:lpwstr>http://copronu.blogspot.com/2009/06/ponencia-ante-el-comite-especial-de.html</vt:lpwstr>
      </vt:variant>
      <vt:variant>
        <vt:lpwstr/>
      </vt:variant>
      <vt:variant>
        <vt:i4>5898250</vt:i4>
      </vt:variant>
      <vt:variant>
        <vt:i4>759</vt:i4>
      </vt:variant>
      <vt:variant>
        <vt:i4>0</vt:i4>
      </vt:variant>
      <vt:variant>
        <vt:i4>5</vt:i4>
      </vt:variant>
      <vt:variant>
        <vt:lpwstr>http://www.huffingtonpost.com/2013/10/09/congress-approval-rating_n_4069899.html</vt:lpwstr>
      </vt:variant>
      <vt:variant>
        <vt:lpwstr/>
      </vt:variant>
      <vt:variant>
        <vt:i4>2293882</vt:i4>
      </vt:variant>
      <vt:variant>
        <vt:i4>756</vt:i4>
      </vt:variant>
      <vt:variant>
        <vt:i4>0</vt:i4>
      </vt:variant>
      <vt:variant>
        <vt:i4>5</vt:i4>
      </vt:variant>
      <vt:variant>
        <vt:lpwstr>http://www.justice.gov/opa/documents/2007-report-by-the-president-task-force-on-puerto-rico-status.pdf</vt:lpwstr>
      </vt:variant>
      <vt:variant>
        <vt:lpwstr/>
      </vt:variant>
      <vt:variant>
        <vt:i4>7012383</vt:i4>
      </vt:variant>
      <vt:variant>
        <vt:i4>753</vt:i4>
      </vt:variant>
      <vt:variant>
        <vt:i4>0</vt:i4>
      </vt:variant>
      <vt:variant>
        <vt:i4>5</vt:i4>
      </vt:variant>
      <vt:variant>
        <vt:lpwstr>http://www.pewtrusts.org/our_work_report_detail.aspx?id=85899504616&amp;category=296</vt:lpwstr>
      </vt:variant>
      <vt:variant>
        <vt:lpwstr/>
      </vt:variant>
      <vt:variant>
        <vt:i4>7209083</vt:i4>
      </vt:variant>
      <vt:variant>
        <vt:i4>750</vt:i4>
      </vt:variant>
      <vt:variant>
        <vt:i4>0</vt:i4>
      </vt:variant>
      <vt:variant>
        <vt:i4>5</vt:i4>
      </vt:variant>
      <vt:variant>
        <vt:lpwstr>http://www2.ohchr.org/spanish/law/ccpr.htm</vt:lpwstr>
      </vt:variant>
      <vt:variant>
        <vt:lpwstr/>
      </vt:variant>
      <vt:variant>
        <vt:i4>5373967</vt:i4>
      </vt:variant>
      <vt:variant>
        <vt:i4>747</vt:i4>
      </vt:variant>
      <vt:variant>
        <vt:i4>0</vt:i4>
      </vt:variant>
      <vt:variant>
        <vt:i4>5</vt:i4>
      </vt:variant>
      <vt:variant>
        <vt:lpwstr>http://www.oslpr.org</vt:lpwstr>
      </vt:variant>
      <vt:variant>
        <vt:lpwstr/>
      </vt:variant>
      <vt:variant>
        <vt:i4>4456484</vt:i4>
      </vt:variant>
      <vt:variant>
        <vt:i4>744</vt:i4>
      </vt:variant>
      <vt:variant>
        <vt:i4>0</vt:i4>
      </vt:variant>
      <vt:variant>
        <vt:i4>5</vt:i4>
      </vt:variant>
      <vt:variant>
        <vt:lpwstr>http://redalyc.uaemex.mx/pdf/377/37719209.pdf</vt:lpwstr>
      </vt:variant>
      <vt:variant>
        <vt:lpwstr/>
      </vt:variant>
      <vt:variant>
        <vt:i4>5373986</vt:i4>
      </vt:variant>
      <vt:variant>
        <vt:i4>741</vt:i4>
      </vt:variant>
      <vt:variant>
        <vt:i4>0</vt:i4>
      </vt:variant>
      <vt:variant>
        <vt:i4>5</vt:i4>
      </vt:variant>
      <vt:variant>
        <vt:lpwstr>http://www.fundculturadepaz.org/spa/DOCUMENTOS/Conferencias/2009/Discurso_Obama_ElCairo_040609.pdf</vt:lpwstr>
      </vt:variant>
      <vt:variant>
        <vt:lpwstr/>
      </vt:variant>
      <vt:variant>
        <vt:i4>7733318</vt:i4>
      </vt:variant>
      <vt:variant>
        <vt:i4>738</vt:i4>
      </vt:variant>
      <vt:variant>
        <vt:i4>0</vt:i4>
      </vt:variant>
      <vt:variant>
        <vt:i4>5</vt:i4>
      </vt:variant>
      <vt:variant>
        <vt:lpwstr>http://daccess-ods.un.org/TMP/4771684.40818787.html</vt:lpwstr>
      </vt:variant>
      <vt:variant>
        <vt:lpwstr/>
      </vt:variant>
      <vt:variant>
        <vt:i4>6160509</vt:i4>
      </vt:variant>
      <vt:variant>
        <vt:i4>735</vt:i4>
      </vt:variant>
      <vt:variant>
        <vt:i4>0</vt:i4>
      </vt:variant>
      <vt:variant>
        <vt:i4>5</vt:i4>
      </vt:variant>
      <vt:variant>
        <vt:lpwstr>http://www.un.org/es/decolonization/declaration.shtml</vt:lpwstr>
      </vt:variant>
      <vt:variant>
        <vt:lpwstr/>
      </vt:variant>
      <vt:variant>
        <vt:i4>4784139</vt:i4>
      </vt:variant>
      <vt:variant>
        <vt:i4>732</vt:i4>
      </vt:variant>
      <vt:variant>
        <vt:i4>0</vt:i4>
      </vt:variant>
      <vt:variant>
        <vt:i4>5</vt:i4>
      </vt:variant>
      <vt:variant>
        <vt:lpwstr>http://www.cbsnews.com/news/tea-party-supporters-who-they-are-and-what-they-believe/</vt:lpwstr>
      </vt:variant>
      <vt:variant>
        <vt:lpwstr/>
      </vt:variant>
      <vt:variant>
        <vt:i4>655423</vt:i4>
      </vt:variant>
      <vt:variant>
        <vt:i4>729</vt:i4>
      </vt:variant>
      <vt:variant>
        <vt:i4>0</vt:i4>
      </vt:variant>
      <vt:variant>
        <vt:i4>5</vt:i4>
      </vt:variant>
      <vt:variant>
        <vt:lpwstr>http://www.redalyc.org/src/inicio/ArtPdfRed.jsp?iCve=243316417001</vt:lpwstr>
      </vt:variant>
      <vt:variant>
        <vt:lpwstr/>
      </vt:variant>
      <vt:variant>
        <vt:i4>2031668</vt:i4>
      </vt:variant>
      <vt:variant>
        <vt:i4>726</vt:i4>
      </vt:variant>
      <vt:variant>
        <vt:i4>0</vt:i4>
      </vt:variant>
      <vt:variant>
        <vt:i4>5</vt:i4>
      </vt:variant>
      <vt:variant>
        <vt:lpwstr>http://www.houstonpress.com/2013-03-21/news/puerto-rico-blowback/</vt:lpwstr>
      </vt:variant>
      <vt:variant>
        <vt:lpwstr/>
      </vt:variant>
      <vt:variant>
        <vt:i4>3080236</vt:i4>
      </vt:variant>
      <vt:variant>
        <vt:i4>723</vt:i4>
      </vt:variant>
      <vt:variant>
        <vt:i4>0</vt:i4>
      </vt:variant>
      <vt:variant>
        <vt:i4>5</vt:i4>
      </vt:variant>
      <vt:variant>
        <vt:lpwstr>http://www.forbes.com/sites/larrymcdonald/2014/01/03/puerto-rico-default-to-re-price-the-3-7-trillion-municipal-bond-market-in-2014/6/</vt:lpwstr>
      </vt:variant>
      <vt:variant>
        <vt:lpwstr/>
      </vt:variant>
      <vt:variant>
        <vt:i4>458782</vt:i4>
      </vt:variant>
      <vt:variant>
        <vt:i4>720</vt:i4>
      </vt:variant>
      <vt:variant>
        <vt:i4>0</vt:i4>
      </vt:variant>
      <vt:variant>
        <vt:i4>5</vt:i4>
      </vt:variant>
      <vt:variant>
        <vt:lpwstr>http://www.law.umn.edu/constcom/v17n2.ht</vt:lpwstr>
      </vt:variant>
      <vt:variant>
        <vt:lpwstr/>
      </vt:variant>
      <vt:variant>
        <vt:i4>6946820</vt:i4>
      </vt:variant>
      <vt:variant>
        <vt:i4>717</vt:i4>
      </vt:variant>
      <vt:variant>
        <vt:i4>0</vt:i4>
      </vt:variant>
      <vt:variant>
        <vt:i4>5</vt:i4>
      </vt:variant>
      <vt:variant>
        <vt:lpwstr>http://www.bu.edu/law/central/jd/organizations/journals/bulr/volume89n2/documents/LAWSO.pdf</vt:lpwstr>
      </vt:variant>
      <vt:variant>
        <vt:lpwstr/>
      </vt:variant>
      <vt:variant>
        <vt:i4>6160393</vt:i4>
      </vt:variant>
      <vt:variant>
        <vt:i4>714</vt:i4>
      </vt:variant>
      <vt:variant>
        <vt:i4>0</vt:i4>
      </vt:variant>
      <vt:variant>
        <vt:i4>5</vt:i4>
      </vt:variant>
      <vt:variant>
        <vt:lpwstr>http://www.washingtonpost.com/blogs/worldviews/wp/2012/11/07/why-does-puerto-rico-want-statehood-anyway/</vt:lpwstr>
      </vt:variant>
      <vt:variant>
        <vt:lpwstr/>
      </vt:variant>
      <vt:variant>
        <vt:i4>262255</vt:i4>
      </vt:variant>
      <vt:variant>
        <vt:i4>711</vt:i4>
      </vt:variant>
      <vt:variant>
        <vt:i4>0</vt:i4>
      </vt:variant>
      <vt:variant>
        <vt:i4>5</vt:i4>
      </vt:variant>
      <vt:variant>
        <vt:lpwstr>http://www.foreignpolicy.com/articles/2004/03/01/the_hispanic_challenge</vt:lpwstr>
      </vt:variant>
      <vt:variant>
        <vt:lpwstr/>
      </vt:variant>
      <vt:variant>
        <vt:i4>720903</vt:i4>
      </vt:variant>
      <vt:variant>
        <vt:i4>708</vt:i4>
      </vt:variant>
      <vt:variant>
        <vt:i4>0</vt:i4>
      </vt:variant>
      <vt:variant>
        <vt:i4>5</vt:i4>
      </vt:variant>
      <vt:variant>
        <vt:lpwstr>http://thehill.com/opinion/columnists/david-hill/8308-puerto-rico-deserves-more-attention</vt:lpwstr>
      </vt:variant>
      <vt:variant>
        <vt:lpwstr>ixzz2eyXKV4Nf</vt:lpwstr>
      </vt:variant>
      <vt:variant>
        <vt:i4>5111902</vt:i4>
      </vt:variant>
      <vt:variant>
        <vt:i4>705</vt:i4>
      </vt:variant>
      <vt:variant>
        <vt:i4>0</vt:i4>
      </vt:variant>
      <vt:variant>
        <vt:i4>5</vt:i4>
      </vt:variant>
      <vt:variant>
        <vt:lpwstr>http://www.standardandpoors.com/ratingdirect</vt:lpwstr>
      </vt:variant>
      <vt:variant>
        <vt:lpwstr/>
      </vt:variant>
      <vt:variant>
        <vt:i4>524408</vt:i4>
      </vt:variant>
      <vt:variant>
        <vt:i4>702</vt:i4>
      </vt:variant>
      <vt:variant>
        <vt:i4>0</vt:i4>
      </vt:variant>
      <vt:variant>
        <vt:i4>5</vt:i4>
      </vt:variant>
      <vt:variant>
        <vt:lpwstr>https://www.govtrack.us/congress/bills/113/hr2000</vt:lpwstr>
      </vt:variant>
      <vt:variant>
        <vt:lpwstr/>
      </vt:variant>
      <vt:variant>
        <vt:i4>196612</vt:i4>
      </vt:variant>
      <vt:variant>
        <vt:i4>699</vt:i4>
      </vt:variant>
      <vt:variant>
        <vt:i4>0</vt:i4>
      </vt:variant>
      <vt:variant>
        <vt:i4>5</vt:i4>
      </vt:variant>
      <vt:variant>
        <vt:lpwstr>http://www.usatoday.com/story/news/world/2013/11/06/puerto-rico-economic-crisis/3314639/</vt:lpwstr>
      </vt:variant>
      <vt:variant>
        <vt:lpwstr/>
      </vt:variant>
      <vt:variant>
        <vt:i4>7798845</vt:i4>
      </vt:variant>
      <vt:variant>
        <vt:i4>696</vt:i4>
      </vt:variant>
      <vt:variant>
        <vt:i4>0</vt:i4>
      </vt:variant>
      <vt:variant>
        <vt:i4>5</vt:i4>
      </vt:variant>
      <vt:variant>
        <vt:lpwstr>http://www.house.gov/fortuno/pdf/Legislation/OpeningRmks-03-22-07.html</vt:lpwstr>
      </vt:variant>
      <vt:variant>
        <vt:lpwstr/>
      </vt:variant>
      <vt:variant>
        <vt:i4>2359380</vt:i4>
      </vt:variant>
      <vt:variant>
        <vt:i4>693</vt:i4>
      </vt:variant>
      <vt:variant>
        <vt:i4>0</vt:i4>
      </vt:variant>
      <vt:variant>
        <vt:i4>5</vt:i4>
      </vt:variant>
      <vt:variant>
        <vt:lpwstr>http://www.presidency.ucsb.edu/ws/?pid=5538</vt:lpwstr>
      </vt:variant>
      <vt:variant>
        <vt:lpwstr/>
      </vt:variant>
      <vt:variant>
        <vt:i4>1310822</vt:i4>
      </vt:variant>
      <vt:variant>
        <vt:i4>690</vt:i4>
      </vt:variant>
      <vt:variant>
        <vt:i4>0</vt:i4>
      </vt:variant>
      <vt:variant>
        <vt:i4>5</vt:i4>
      </vt:variant>
      <vt:variant>
        <vt:lpwstr>http://www.washingtonpost.com/politics/in-race-for-campaign-funds-from-billionaires-romney-outpaces-obama/2011/12/01/gIQAxQLsXO_story.html</vt:lpwstr>
      </vt:variant>
      <vt:variant>
        <vt:lpwstr/>
      </vt:variant>
      <vt:variant>
        <vt:i4>6750251</vt:i4>
      </vt:variant>
      <vt:variant>
        <vt:i4>687</vt:i4>
      </vt:variant>
      <vt:variant>
        <vt:i4>0</vt:i4>
      </vt:variant>
      <vt:variant>
        <vt:i4>5</vt:i4>
      </vt:variant>
      <vt:variant>
        <vt:lpwstr>http://www.bloomberg.com/news/2013-10-22/how-wall-street-fed-puerto-rico-s-70-billion-borrowing-binge.html</vt:lpwstr>
      </vt:variant>
      <vt:variant>
        <vt:lpwstr/>
      </vt:variant>
      <vt:variant>
        <vt:i4>5767254</vt:i4>
      </vt:variant>
      <vt:variant>
        <vt:i4>684</vt:i4>
      </vt:variant>
      <vt:variant>
        <vt:i4>0</vt:i4>
      </vt:variant>
      <vt:variant>
        <vt:i4>5</vt:i4>
      </vt:variant>
      <vt:variant>
        <vt:lpwstr>http://www.elnuevodia.com/Xstatic/endi/template/imprimir.aspx?id=1386509&amp;t=3</vt:lpwstr>
      </vt:variant>
      <vt:variant>
        <vt:lpwstr/>
      </vt:variant>
      <vt:variant>
        <vt:i4>5505071</vt:i4>
      </vt:variant>
      <vt:variant>
        <vt:i4>681</vt:i4>
      </vt:variant>
      <vt:variant>
        <vt:i4>0</vt:i4>
      </vt:variant>
      <vt:variant>
        <vt:i4>5</vt:i4>
      </vt:variant>
      <vt:variant>
        <vt:lpwstr>http://usatoday30.usatoday.com/news/nation/story/2012-03-11/puerto-rico-economy-brain-drain-exodus/53490820/1</vt:lpwstr>
      </vt:variant>
      <vt:variant>
        <vt:lpwstr/>
      </vt:variant>
      <vt:variant>
        <vt:i4>4456511</vt:i4>
      </vt:variant>
      <vt:variant>
        <vt:i4>678</vt:i4>
      </vt:variant>
      <vt:variant>
        <vt:i4>0</vt:i4>
      </vt:variant>
      <vt:variant>
        <vt:i4>5</vt:i4>
      </vt:variant>
      <vt:variant>
        <vt:lpwstr>http://yalelawjournal.org/the-yale-law-journal-pocket-part/constitutional-law/two-puerto-rican-senators-stay-home</vt:lpwstr>
      </vt:variant>
      <vt:variant>
        <vt:lpwstr/>
      </vt:variant>
      <vt:variant>
        <vt:i4>5701670</vt:i4>
      </vt:variant>
      <vt:variant>
        <vt:i4>675</vt:i4>
      </vt:variant>
      <vt:variant>
        <vt:i4>0</vt:i4>
      </vt:variant>
      <vt:variant>
        <vt:i4>5</vt:i4>
      </vt:variant>
      <vt:variant>
        <vt:lpwstr>http://www.elnuevodia.com/blog-atrasadoelinformesobrelaestadidad-1639328.html</vt:lpwstr>
      </vt:variant>
      <vt:variant>
        <vt:lpwstr/>
      </vt:variant>
      <vt:variant>
        <vt:i4>6029411</vt:i4>
      </vt:variant>
      <vt:variant>
        <vt:i4>672</vt:i4>
      </vt:variant>
      <vt:variant>
        <vt:i4>0</vt:i4>
      </vt:variant>
      <vt:variant>
        <vt:i4>5</vt:i4>
      </vt:variant>
      <vt:variant>
        <vt:lpwstr>http://www.elnuevodia.com/conmasboricuasafueraqueadentro-1606985.html</vt:lpwstr>
      </vt:variant>
      <vt:variant>
        <vt:lpwstr/>
      </vt:variant>
      <vt:variant>
        <vt:i4>3407911</vt:i4>
      </vt:variant>
      <vt:variant>
        <vt:i4>669</vt:i4>
      </vt:variant>
      <vt:variant>
        <vt:i4>0</vt:i4>
      </vt:variant>
      <vt:variant>
        <vt:i4>5</vt:i4>
      </vt:variant>
      <vt:variant>
        <vt:lpwstr>http://www.huellasdeeua.com.ar</vt:lpwstr>
      </vt:variant>
      <vt:variant>
        <vt:lpwstr/>
      </vt:variant>
      <vt:variant>
        <vt:i4>7667759</vt:i4>
      </vt:variant>
      <vt:variant>
        <vt:i4>666</vt:i4>
      </vt:variant>
      <vt:variant>
        <vt:i4>0</vt:i4>
      </vt:variant>
      <vt:variant>
        <vt:i4>5</vt:i4>
      </vt:variant>
      <vt:variant>
        <vt:lpwstr>http://www.elnuevodia.com/creenqueasambleaconstitucionalpuederompereltranquedelstatus-1576869.html</vt:lpwstr>
      </vt:variant>
      <vt:variant>
        <vt:lpwstr/>
      </vt:variant>
      <vt:variant>
        <vt:i4>8192048</vt:i4>
      </vt:variant>
      <vt:variant>
        <vt:i4>663</vt:i4>
      </vt:variant>
      <vt:variant>
        <vt:i4>0</vt:i4>
      </vt:variant>
      <vt:variant>
        <vt:i4>5</vt:i4>
      </vt:variant>
      <vt:variant>
        <vt:lpwstr>http://www.fas.org/sgp/crs/row/RL32933.pdf</vt:lpwstr>
      </vt:variant>
      <vt:variant>
        <vt:lpwstr/>
      </vt:variant>
      <vt:variant>
        <vt:i4>1835063</vt:i4>
      </vt:variant>
      <vt:variant>
        <vt:i4>660</vt:i4>
      </vt:variant>
      <vt:variant>
        <vt:i4>0</vt:i4>
      </vt:variant>
      <vt:variant>
        <vt:i4>5</vt:i4>
      </vt:variant>
      <vt:variant>
        <vt:lpwstr>http://www.fas.org/sgp/crs/row/R42765.pdf</vt:lpwstr>
      </vt:variant>
      <vt:variant>
        <vt:lpwstr/>
      </vt:variant>
      <vt:variant>
        <vt:i4>3801090</vt:i4>
      </vt:variant>
      <vt:variant>
        <vt:i4>657</vt:i4>
      </vt:variant>
      <vt:variant>
        <vt:i4>0</vt:i4>
      </vt:variant>
      <vt:variant>
        <vt:i4>5</vt:i4>
      </vt:variant>
      <vt:variant>
        <vt:lpwstr>http://cis.uprrp.edu/documents/6franciscocatala.pdf</vt:lpwstr>
      </vt:variant>
      <vt:variant>
        <vt:lpwstr/>
      </vt:variant>
      <vt:variant>
        <vt:i4>7471125</vt:i4>
      </vt:variant>
      <vt:variant>
        <vt:i4>654</vt:i4>
      </vt:variant>
      <vt:variant>
        <vt:i4>0</vt:i4>
      </vt:variant>
      <vt:variant>
        <vt:i4>5</vt:i4>
      </vt:variant>
      <vt:variant>
        <vt:lpwstr>http://edition.cnn.com/2012/11/07/politics/election-puerto-rico</vt:lpwstr>
      </vt:variant>
      <vt:variant>
        <vt:lpwstr/>
      </vt:variant>
      <vt:variant>
        <vt:i4>3276912</vt:i4>
      </vt:variant>
      <vt:variant>
        <vt:i4>651</vt:i4>
      </vt:variant>
      <vt:variant>
        <vt:i4>0</vt:i4>
      </vt:variant>
      <vt:variant>
        <vt:i4>5</vt:i4>
      </vt:variant>
      <vt:variant>
        <vt:lpwstr>http://globalvoicesonline.org/2013/08/12/intense-debate-over-changes-in-puerto-ricos-political-status/</vt:lpwstr>
      </vt:variant>
      <vt:variant>
        <vt:lpwstr/>
      </vt:variant>
      <vt:variant>
        <vt:i4>4784199</vt:i4>
      </vt:variant>
      <vt:variant>
        <vt:i4>648</vt:i4>
      </vt:variant>
      <vt:variant>
        <vt:i4>0</vt:i4>
      </vt:variant>
      <vt:variant>
        <vt:i4>5</vt:i4>
      </vt:variant>
      <vt:variant>
        <vt:lpwstr>http://caribbeanbusinesspr.com/news/carrion-takes-aim-at-economist-report-91700.html</vt:lpwstr>
      </vt:variant>
      <vt:variant>
        <vt:lpwstr/>
      </vt:variant>
      <vt:variant>
        <vt:i4>7274573</vt:i4>
      </vt:variant>
      <vt:variant>
        <vt:i4>645</vt:i4>
      </vt:variant>
      <vt:variant>
        <vt:i4>0</vt:i4>
      </vt:variant>
      <vt:variant>
        <vt:i4>5</vt:i4>
      </vt:variant>
      <vt:variant>
        <vt:lpwstr>http://www.caribbeanbusinesspr.com/news/pr-status-plebiscite-in-obama-budget-83109.html</vt:lpwstr>
      </vt:variant>
      <vt:variant>
        <vt:lpwstr/>
      </vt:variant>
      <vt:variant>
        <vt:i4>3276814</vt:i4>
      </vt:variant>
      <vt:variant>
        <vt:i4>642</vt:i4>
      </vt:variant>
      <vt:variant>
        <vt:i4>0</vt:i4>
      </vt:variant>
      <vt:variant>
        <vt:i4>5</vt:i4>
      </vt:variant>
      <vt:variant>
        <vt:lpwstr>http://online.wsj.com/news/articles/SB10001424052702304173704579262390542968318</vt:lpwstr>
      </vt:variant>
      <vt:variant>
        <vt:lpwstr/>
      </vt:variant>
      <vt:variant>
        <vt:i4>6422531</vt:i4>
      </vt:variant>
      <vt:variant>
        <vt:i4>639</vt:i4>
      </vt:variant>
      <vt:variant>
        <vt:i4>0</vt:i4>
      </vt:variant>
      <vt:variant>
        <vt:i4>5</vt:i4>
      </vt:variant>
      <vt:variant>
        <vt:lpwstr>http://www.voxxi.com/puerto-rican-statehood-pressure-congress/</vt:lpwstr>
      </vt:variant>
      <vt:variant>
        <vt:lpwstr>ixzz2fFnp5Bn3</vt:lpwstr>
      </vt:variant>
      <vt:variant>
        <vt:i4>7208968</vt:i4>
      </vt:variant>
      <vt:variant>
        <vt:i4>636</vt:i4>
      </vt:variant>
      <vt:variant>
        <vt:i4>0</vt:i4>
      </vt:variant>
      <vt:variant>
        <vt:i4>5</vt:i4>
      </vt:variant>
      <vt:variant>
        <vt:lpwstr>http://www.nytimes.com/1997/11/02/books/island-paradox.html</vt:lpwstr>
      </vt:variant>
      <vt:variant>
        <vt:lpwstr/>
      </vt:variant>
      <vt:variant>
        <vt:i4>1179671</vt:i4>
      </vt:variant>
      <vt:variant>
        <vt:i4>633</vt:i4>
      </vt:variant>
      <vt:variant>
        <vt:i4>0</vt:i4>
      </vt:variant>
      <vt:variant>
        <vt:i4>5</vt:i4>
      </vt:variant>
      <vt:variant>
        <vt:lpwstr>http://www.presidentialelection.com/state_of_the_union/1989_state_of_the_union_address.htm</vt:lpwstr>
      </vt:variant>
      <vt:variant>
        <vt:lpwstr/>
      </vt:variant>
      <vt:variant>
        <vt:i4>8126524</vt:i4>
      </vt:variant>
      <vt:variant>
        <vt:i4>630</vt:i4>
      </vt:variant>
      <vt:variant>
        <vt:i4>0</vt:i4>
      </vt:variant>
      <vt:variant>
        <vt:i4>5</vt:i4>
      </vt:variant>
      <vt:variant>
        <vt:lpwstr>http://www.policymic.com/articles/59033/out-of-5-000-bills-in-every-congress-guess-how-many-become-law</vt:lpwstr>
      </vt:variant>
      <vt:variant>
        <vt:lpwstr/>
      </vt:variant>
      <vt:variant>
        <vt:i4>5374079</vt:i4>
      </vt:variant>
      <vt:variant>
        <vt:i4>627</vt:i4>
      </vt:variant>
      <vt:variant>
        <vt:i4>0</vt:i4>
      </vt:variant>
      <vt:variant>
        <vt:i4>5</vt:i4>
      </vt:variant>
      <vt:variant>
        <vt:lpwstr>http://www.huffin.gtonpost.com/sarah-binder/113th-congress_b_2426574.html</vt:lpwstr>
      </vt:variant>
      <vt:variant>
        <vt:lpwstr/>
      </vt:variant>
      <vt:variant>
        <vt:i4>8192048</vt:i4>
      </vt:variant>
      <vt:variant>
        <vt:i4>624</vt:i4>
      </vt:variant>
      <vt:variant>
        <vt:i4>0</vt:i4>
      </vt:variant>
      <vt:variant>
        <vt:i4>5</vt:i4>
      </vt:variant>
      <vt:variant>
        <vt:lpwstr>http://www.fas.org/sgp/crs/row/RL32933.pdf</vt:lpwstr>
      </vt:variant>
      <vt:variant>
        <vt:lpwstr/>
      </vt:variant>
      <vt:variant>
        <vt:i4>2424862</vt:i4>
      </vt:variant>
      <vt:variant>
        <vt:i4>621</vt:i4>
      </vt:variant>
      <vt:variant>
        <vt:i4>0</vt:i4>
      </vt:variant>
      <vt:variant>
        <vt:i4>5</vt:i4>
      </vt:variant>
      <vt:variant>
        <vt:lpwstr>http://www.newsmax.com/US/Puerto-Rico-statehood-crisis/2013/12/02/id/539531</vt:lpwstr>
      </vt:variant>
      <vt:variant>
        <vt:lpwstr/>
      </vt:variant>
      <vt:variant>
        <vt:i4>4522021</vt:i4>
      </vt:variant>
      <vt:variant>
        <vt:i4>618</vt:i4>
      </vt:variant>
      <vt:variant>
        <vt:i4>0</vt:i4>
      </vt:variant>
      <vt:variant>
        <vt:i4>5</vt:i4>
      </vt:variant>
      <vt:variant>
        <vt:lpwstr>http://prfaa.pr.gov/espanol/noticias/wp-content/uploads/2013/05/Resolucion-Concurrente-24.pdf</vt:lpwstr>
      </vt:variant>
      <vt:variant>
        <vt:lpwstr/>
      </vt:variant>
      <vt:variant>
        <vt:i4>1507397</vt:i4>
      </vt:variant>
      <vt:variant>
        <vt:i4>615</vt:i4>
      </vt:variant>
      <vt:variant>
        <vt:i4>0</vt:i4>
      </vt:variant>
      <vt:variant>
        <vt:i4>5</vt:i4>
      </vt:variant>
      <vt:variant>
        <vt:lpwstr>http://www.huffingtonpost.com/nan-aron/congressional-gridlock_b_2443098.html</vt:lpwstr>
      </vt:variant>
      <vt:variant>
        <vt:lpwstr/>
      </vt:variant>
      <vt:variant>
        <vt:i4>1703947</vt:i4>
      </vt:variant>
      <vt:variant>
        <vt:i4>608</vt:i4>
      </vt:variant>
      <vt:variant>
        <vt:i4>0</vt:i4>
      </vt:variant>
      <vt:variant>
        <vt:i4>5</vt:i4>
      </vt:variant>
      <vt:variant>
        <vt:lpwstr/>
      </vt:variant>
      <vt:variant>
        <vt:lpwstr>_Toc382588785</vt:lpwstr>
      </vt:variant>
      <vt:variant>
        <vt:i4>1703946</vt:i4>
      </vt:variant>
      <vt:variant>
        <vt:i4>602</vt:i4>
      </vt:variant>
      <vt:variant>
        <vt:i4>0</vt:i4>
      </vt:variant>
      <vt:variant>
        <vt:i4>5</vt:i4>
      </vt:variant>
      <vt:variant>
        <vt:lpwstr/>
      </vt:variant>
      <vt:variant>
        <vt:lpwstr>_Toc382588784</vt:lpwstr>
      </vt:variant>
      <vt:variant>
        <vt:i4>1703949</vt:i4>
      </vt:variant>
      <vt:variant>
        <vt:i4>596</vt:i4>
      </vt:variant>
      <vt:variant>
        <vt:i4>0</vt:i4>
      </vt:variant>
      <vt:variant>
        <vt:i4>5</vt:i4>
      </vt:variant>
      <vt:variant>
        <vt:lpwstr/>
      </vt:variant>
      <vt:variant>
        <vt:lpwstr>_Toc382588783</vt:lpwstr>
      </vt:variant>
      <vt:variant>
        <vt:i4>1703948</vt:i4>
      </vt:variant>
      <vt:variant>
        <vt:i4>590</vt:i4>
      </vt:variant>
      <vt:variant>
        <vt:i4>0</vt:i4>
      </vt:variant>
      <vt:variant>
        <vt:i4>5</vt:i4>
      </vt:variant>
      <vt:variant>
        <vt:lpwstr/>
      </vt:variant>
      <vt:variant>
        <vt:lpwstr>_Toc382588782</vt:lpwstr>
      </vt:variant>
      <vt:variant>
        <vt:i4>1703951</vt:i4>
      </vt:variant>
      <vt:variant>
        <vt:i4>584</vt:i4>
      </vt:variant>
      <vt:variant>
        <vt:i4>0</vt:i4>
      </vt:variant>
      <vt:variant>
        <vt:i4>5</vt:i4>
      </vt:variant>
      <vt:variant>
        <vt:lpwstr/>
      </vt:variant>
      <vt:variant>
        <vt:lpwstr>_Toc382588781</vt:lpwstr>
      </vt:variant>
      <vt:variant>
        <vt:i4>1703950</vt:i4>
      </vt:variant>
      <vt:variant>
        <vt:i4>578</vt:i4>
      </vt:variant>
      <vt:variant>
        <vt:i4>0</vt:i4>
      </vt:variant>
      <vt:variant>
        <vt:i4>5</vt:i4>
      </vt:variant>
      <vt:variant>
        <vt:lpwstr/>
      </vt:variant>
      <vt:variant>
        <vt:lpwstr>_Toc382588780</vt:lpwstr>
      </vt:variant>
      <vt:variant>
        <vt:i4>1376263</vt:i4>
      </vt:variant>
      <vt:variant>
        <vt:i4>572</vt:i4>
      </vt:variant>
      <vt:variant>
        <vt:i4>0</vt:i4>
      </vt:variant>
      <vt:variant>
        <vt:i4>5</vt:i4>
      </vt:variant>
      <vt:variant>
        <vt:lpwstr/>
      </vt:variant>
      <vt:variant>
        <vt:lpwstr>_Toc382588779</vt:lpwstr>
      </vt:variant>
      <vt:variant>
        <vt:i4>1376262</vt:i4>
      </vt:variant>
      <vt:variant>
        <vt:i4>566</vt:i4>
      </vt:variant>
      <vt:variant>
        <vt:i4>0</vt:i4>
      </vt:variant>
      <vt:variant>
        <vt:i4>5</vt:i4>
      </vt:variant>
      <vt:variant>
        <vt:lpwstr/>
      </vt:variant>
      <vt:variant>
        <vt:lpwstr>_Toc382588778</vt:lpwstr>
      </vt:variant>
      <vt:variant>
        <vt:i4>1376265</vt:i4>
      </vt:variant>
      <vt:variant>
        <vt:i4>560</vt:i4>
      </vt:variant>
      <vt:variant>
        <vt:i4>0</vt:i4>
      </vt:variant>
      <vt:variant>
        <vt:i4>5</vt:i4>
      </vt:variant>
      <vt:variant>
        <vt:lpwstr/>
      </vt:variant>
      <vt:variant>
        <vt:lpwstr>_Toc382588777</vt:lpwstr>
      </vt:variant>
      <vt:variant>
        <vt:i4>1376264</vt:i4>
      </vt:variant>
      <vt:variant>
        <vt:i4>554</vt:i4>
      </vt:variant>
      <vt:variant>
        <vt:i4>0</vt:i4>
      </vt:variant>
      <vt:variant>
        <vt:i4>5</vt:i4>
      </vt:variant>
      <vt:variant>
        <vt:lpwstr/>
      </vt:variant>
      <vt:variant>
        <vt:lpwstr>_Toc382588776</vt:lpwstr>
      </vt:variant>
      <vt:variant>
        <vt:i4>1376267</vt:i4>
      </vt:variant>
      <vt:variant>
        <vt:i4>548</vt:i4>
      </vt:variant>
      <vt:variant>
        <vt:i4>0</vt:i4>
      </vt:variant>
      <vt:variant>
        <vt:i4>5</vt:i4>
      </vt:variant>
      <vt:variant>
        <vt:lpwstr/>
      </vt:variant>
      <vt:variant>
        <vt:lpwstr>_Toc382588775</vt:lpwstr>
      </vt:variant>
      <vt:variant>
        <vt:i4>1376266</vt:i4>
      </vt:variant>
      <vt:variant>
        <vt:i4>542</vt:i4>
      </vt:variant>
      <vt:variant>
        <vt:i4>0</vt:i4>
      </vt:variant>
      <vt:variant>
        <vt:i4>5</vt:i4>
      </vt:variant>
      <vt:variant>
        <vt:lpwstr/>
      </vt:variant>
      <vt:variant>
        <vt:lpwstr>_Toc382588774</vt:lpwstr>
      </vt:variant>
      <vt:variant>
        <vt:i4>1376269</vt:i4>
      </vt:variant>
      <vt:variant>
        <vt:i4>536</vt:i4>
      </vt:variant>
      <vt:variant>
        <vt:i4>0</vt:i4>
      </vt:variant>
      <vt:variant>
        <vt:i4>5</vt:i4>
      </vt:variant>
      <vt:variant>
        <vt:lpwstr/>
      </vt:variant>
      <vt:variant>
        <vt:lpwstr>_Toc382588773</vt:lpwstr>
      </vt:variant>
      <vt:variant>
        <vt:i4>1376268</vt:i4>
      </vt:variant>
      <vt:variant>
        <vt:i4>530</vt:i4>
      </vt:variant>
      <vt:variant>
        <vt:i4>0</vt:i4>
      </vt:variant>
      <vt:variant>
        <vt:i4>5</vt:i4>
      </vt:variant>
      <vt:variant>
        <vt:lpwstr/>
      </vt:variant>
      <vt:variant>
        <vt:lpwstr>_Toc382588772</vt:lpwstr>
      </vt:variant>
      <vt:variant>
        <vt:i4>1376271</vt:i4>
      </vt:variant>
      <vt:variant>
        <vt:i4>524</vt:i4>
      </vt:variant>
      <vt:variant>
        <vt:i4>0</vt:i4>
      </vt:variant>
      <vt:variant>
        <vt:i4>5</vt:i4>
      </vt:variant>
      <vt:variant>
        <vt:lpwstr/>
      </vt:variant>
      <vt:variant>
        <vt:lpwstr>_Toc382588771</vt:lpwstr>
      </vt:variant>
      <vt:variant>
        <vt:i4>1376270</vt:i4>
      </vt:variant>
      <vt:variant>
        <vt:i4>518</vt:i4>
      </vt:variant>
      <vt:variant>
        <vt:i4>0</vt:i4>
      </vt:variant>
      <vt:variant>
        <vt:i4>5</vt:i4>
      </vt:variant>
      <vt:variant>
        <vt:lpwstr/>
      </vt:variant>
      <vt:variant>
        <vt:lpwstr>_Toc382588770</vt:lpwstr>
      </vt:variant>
      <vt:variant>
        <vt:i4>1310727</vt:i4>
      </vt:variant>
      <vt:variant>
        <vt:i4>512</vt:i4>
      </vt:variant>
      <vt:variant>
        <vt:i4>0</vt:i4>
      </vt:variant>
      <vt:variant>
        <vt:i4>5</vt:i4>
      </vt:variant>
      <vt:variant>
        <vt:lpwstr/>
      </vt:variant>
      <vt:variant>
        <vt:lpwstr>_Toc382588769</vt:lpwstr>
      </vt:variant>
      <vt:variant>
        <vt:i4>1310726</vt:i4>
      </vt:variant>
      <vt:variant>
        <vt:i4>506</vt:i4>
      </vt:variant>
      <vt:variant>
        <vt:i4>0</vt:i4>
      </vt:variant>
      <vt:variant>
        <vt:i4>5</vt:i4>
      </vt:variant>
      <vt:variant>
        <vt:lpwstr/>
      </vt:variant>
      <vt:variant>
        <vt:lpwstr>_Toc382588768</vt:lpwstr>
      </vt:variant>
      <vt:variant>
        <vt:i4>1310729</vt:i4>
      </vt:variant>
      <vt:variant>
        <vt:i4>500</vt:i4>
      </vt:variant>
      <vt:variant>
        <vt:i4>0</vt:i4>
      </vt:variant>
      <vt:variant>
        <vt:i4>5</vt:i4>
      </vt:variant>
      <vt:variant>
        <vt:lpwstr/>
      </vt:variant>
      <vt:variant>
        <vt:lpwstr>_Toc382588767</vt:lpwstr>
      </vt:variant>
      <vt:variant>
        <vt:i4>1310728</vt:i4>
      </vt:variant>
      <vt:variant>
        <vt:i4>494</vt:i4>
      </vt:variant>
      <vt:variant>
        <vt:i4>0</vt:i4>
      </vt:variant>
      <vt:variant>
        <vt:i4>5</vt:i4>
      </vt:variant>
      <vt:variant>
        <vt:lpwstr/>
      </vt:variant>
      <vt:variant>
        <vt:lpwstr>_Toc382588766</vt:lpwstr>
      </vt:variant>
      <vt:variant>
        <vt:i4>1310731</vt:i4>
      </vt:variant>
      <vt:variant>
        <vt:i4>488</vt:i4>
      </vt:variant>
      <vt:variant>
        <vt:i4>0</vt:i4>
      </vt:variant>
      <vt:variant>
        <vt:i4>5</vt:i4>
      </vt:variant>
      <vt:variant>
        <vt:lpwstr/>
      </vt:variant>
      <vt:variant>
        <vt:lpwstr>_Toc382588765</vt:lpwstr>
      </vt:variant>
      <vt:variant>
        <vt:i4>1310730</vt:i4>
      </vt:variant>
      <vt:variant>
        <vt:i4>482</vt:i4>
      </vt:variant>
      <vt:variant>
        <vt:i4>0</vt:i4>
      </vt:variant>
      <vt:variant>
        <vt:i4>5</vt:i4>
      </vt:variant>
      <vt:variant>
        <vt:lpwstr/>
      </vt:variant>
      <vt:variant>
        <vt:lpwstr>_Toc382588764</vt:lpwstr>
      </vt:variant>
      <vt:variant>
        <vt:i4>1310733</vt:i4>
      </vt:variant>
      <vt:variant>
        <vt:i4>476</vt:i4>
      </vt:variant>
      <vt:variant>
        <vt:i4>0</vt:i4>
      </vt:variant>
      <vt:variant>
        <vt:i4>5</vt:i4>
      </vt:variant>
      <vt:variant>
        <vt:lpwstr/>
      </vt:variant>
      <vt:variant>
        <vt:lpwstr>_Toc382588763</vt:lpwstr>
      </vt:variant>
      <vt:variant>
        <vt:i4>1310732</vt:i4>
      </vt:variant>
      <vt:variant>
        <vt:i4>470</vt:i4>
      </vt:variant>
      <vt:variant>
        <vt:i4>0</vt:i4>
      </vt:variant>
      <vt:variant>
        <vt:i4>5</vt:i4>
      </vt:variant>
      <vt:variant>
        <vt:lpwstr/>
      </vt:variant>
      <vt:variant>
        <vt:lpwstr>_Toc382588762</vt:lpwstr>
      </vt:variant>
      <vt:variant>
        <vt:i4>1310735</vt:i4>
      </vt:variant>
      <vt:variant>
        <vt:i4>464</vt:i4>
      </vt:variant>
      <vt:variant>
        <vt:i4>0</vt:i4>
      </vt:variant>
      <vt:variant>
        <vt:i4>5</vt:i4>
      </vt:variant>
      <vt:variant>
        <vt:lpwstr/>
      </vt:variant>
      <vt:variant>
        <vt:lpwstr>_Toc382588761</vt:lpwstr>
      </vt:variant>
      <vt:variant>
        <vt:i4>1310734</vt:i4>
      </vt:variant>
      <vt:variant>
        <vt:i4>458</vt:i4>
      </vt:variant>
      <vt:variant>
        <vt:i4>0</vt:i4>
      </vt:variant>
      <vt:variant>
        <vt:i4>5</vt:i4>
      </vt:variant>
      <vt:variant>
        <vt:lpwstr/>
      </vt:variant>
      <vt:variant>
        <vt:lpwstr>_Toc382588760</vt:lpwstr>
      </vt:variant>
      <vt:variant>
        <vt:i4>1507335</vt:i4>
      </vt:variant>
      <vt:variant>
        <vt:i4>452</vt:i4>
      </vt:variant>
      <vt:variant>
        <vt:i4>0</vt:i4>
      </vt:variant>
      <vt:variant>
        <vt:i4>5</vt:i4>
      </vt:variant>
      <vt:variant>
        <vt:lpwstr/>
      </vt:variant>
      <vt:variant>
        <vt:lpwstr>_Toc382588759</vt:lpwstr>
      </vt:variant>
      <vt:variant>
        <vt:i4>1507334</vt:i4>
      </vt:variant>
      <vt:variant>
        <vt:i4>446</vt:i4>
      </vt:variant>
      <vt:variant>
        <vt:i4>0</vt:i4>
      </vt:variant>
      <vt:variant>
        <vt:i4>5</vt:i4>
      </vt:variant>
      <vt:variant>
        <vt:lpwstr/>
      </vt:variant>
      <vt:variant>
        <vt:lpwstr>_Toc382588758</vt:lpwstr>
      </vt:variant>
      <vt:variant>
        <vt:i4>1507337</vt:i4>
      </vt:variant>
      <vt:variant>
        <vt:i4>440</vt:i4>
      </vt:variant>
      <vt:variant>
        <vt:i4>0</vt:i4>
      </vt:variant>
      <vt:variant>
        <vt:i4>5</vt:i4>
      </vt:variant>
      <vt:variant>
        <vt:lpwstr/>
      </vt:variant>
      <vt:variant>
        <vt:lpwstr>_Toc382588757</vt:lpwstr>
      </vt:variant>
      <vt:variant>
        <vt:i4>1507336</vt:i4>
      </vt:variant>
      <vt:variant>
        <vt:i4>434</vt:i4>
      </vt:variant>
      <vt:variant>
        <vt:i4>0</vt:i4>
      </vt:variant>
      <vt:variant>
        <vt:i4>5</vt:i4>
      </vt:variant>
      <vt:variant>
        <vt:lpwstr/>
      </vt:variant>
      <vt:variant>
        <vt:lpwstr>_Toc382588756</vt:lpwstr>
      </vt:variant>
      <vt:variant>
        <vt:i4>1507339</vt:i4>
      </vt:variant>
      <vt:variant>
        <vt:i4>428</vt:i4>
      </vt:variant>
      <vt:variant>
        <vt:i4>0</vt:i4>
      </vt:variant>
      <vt:variant>
        <vt:i4>5</vt:i4>
      </vt:variant>
      <vt:variant>
        <vt:lpwstr/>
      </vt:variant>
      <vt:variant>
        <vt:lpwstr>_Toc382588755</vt:lpwstr>
      </vt:variant>
      <vt:variant>
        <vt:i4>1507338</vt:i4>
      </vt:variant>
      <vt:variant>
        <vt:i4>422</vt:i4>
      </vt:variant>
      <vt:variant>
        <vt:i4>0</vt:i4>
      </vt:variant>
      <vt:variant>
        <vt:i4>5</vt:i4>
      </vt:variant>
      <vt:variant>
        <vt:lpwstr/>
      </vt:variant>
      <vt:variant>
        <vt:lpwstr>_Toc382588754</vt:lpwstr>
      </vt:variant>
      <vt:variant>
        <vt:i4>1507341</vt:i4>
      </vt:variant>
      <vt:variant>
        <vt:i4>416</vt:i4>
      </vt:variant>
      <vt:variant>
        <vt:i4>0</vt:i4>
      </vt:variant>
      <vt:variant>
        <vt:i4>5</vt:i4>
      </vt:variant>
      <vt:variant>
        <vt:lpwstr/>
      </vt:variant>
      <vt:variant>
        <vt:lpwstr>_Toc382588753</vt:lpwstr>
      </vt:variant>
      <vt:variant>
        <vt:i4>1507340</vt:i4>
      </vt:variant>
      <vt:variant>
        <vt:i4>410</vt:i4>
      </vt:variant>
      <vt:variant>
        <vt:i4>0</vt:i4>
      </vt:variant>
      <vt:variant>
        <vt:i4>5</vt:i4>
      </vt:variant>
      <vt:variant>
        <vt:lpwstr/>
      </vt:variant>
      <vt:variant>
        <vt:lpwstr>_Toc382588752</vt:lpwstr>
      </vt:variant>
      <vt:variant>
        <vt:i4>1507343</vt:i4>
      </vt:variant>
      <vt:variant>
        <vt:i4>404</vt:i4>
      </vt:variant>
      <vt:variant>
        <vt:i4>0</vt:i4>
      </vt:variant>
      <vt:variant>
        <vt:i4>5</vt:i4>
      </vt:variant>
      <vt:variant>
        <vt:lpwstr/>
      </vt:variant>
      <vt:variant>
        <vt:lpwstr>_Toc382588751</vt:lpwstr>
      </vt:variant>
      <vt:variant>
        <vt:i4>1507342</vt:i4>
      </vt:variant>
      <vt:variant>
        <vt:i4>398</vt:i4>
      </vt:variant>
      <vt:variant>
        <vt:i4>0</vt:i4>
      </vt:variant>
      <vt:variant>
        <vt:i4>5</vt:i4>
      </vt:variant>
      <vt:variant>
        <vt:lpwstr/>
      </vt:variant>
      <vt:variant>
        <vt:lpwstr>_Toc382588750</vt:lpwstr>
      </vt:variant>
      <vt:variant>
        <vt:i4>1441799</vt:i4>
      </vt:variant>
      <vt:variant>
        <vt:i4>392</vt:i4>
      </vt:variant>
      <vt:variant>
        <vt:i4>0</vt:i4>
      </vt:variant>
      <vt:variant>
        <vt:i4>5</vt:i4>
      </vt:variant>
      <vt:variant>
        <vt:lpwstr/>
      </vt:variant>
      <vt:variant>
        <vt:lpwstr>_Toc382588749</vt:lpwstr>
      </vt:variant>
      <vt:variant>
        <vt:i4>1441798</vt:i4>
      </vt:variant>
      <vt:variant>
        <vt:i4>386</vt:i4>
      </vt:variant>
      <vt:variant>
        <vt:i4>0</vt:i4>
      </vt:variant>
      <vt:variant>
        <vt:i4>5</vt:i4>
      </vt:variant>
      <vt:variant>
        <vt:lpwstr/>
      </vt:variant>
      <vt:variant>
        <vt:lpwstr>_Toc382588748</vt:lpwstr>
      </vt:variant>
      <vt:variant>
        <vt:i4>1441801</vt:i4>
      </vt:variant>
      <vt:variant>
        <vt:i4>380</vt:i4>
      </vt:variant>
      <vt:variant>
        <vt:i4>0</vt:i4>
      </vt:variant>
      <vt:variant>
        <vt:i4>5</vt:i4>
      </vt:variant>
      <vt:variant>
        <vt:lpwstr/>
      </vt:variant>
      <vt:variant>
        <vt:lpwstr>_Toc382588747</vt:lpwstr>
      </vt:variant>
      <vt:variant>
        <vt:i4>1441800</vt:i4>
      </vt:variant>
      <vt:variant>
        <vt:i4>374</vt:i4>
      </vt:variant>
      <vt:variant>
        <vt:i4>0</vt:i4>
      </vt:variant>
      <vt:variant>
        <vt:i4>5</vt:i4>
      </vt:variant>
      <vt:variant>
        <vt:lpwstr/>
      </vt:variant>
      <vt:variant>
        <vt:lpwstr>_Toc382588746</vt:lpwstr>
      </vt:variant>
      <vt:variant>
        <vt:i4>1441803</vt:i4>
      </vt:variant>
      <vt:variant>
        <vt:i4>368</vt:i4>
      </vt:variant>
      <vt:variant>
        <vt:i4>0</vt:i4>
      </vt:variant>
      <vt:variant>
        <vt:i4>5</vt:i4>
      </vt:variant>
      <vt:variant>
        <vt:lpwstr/>
      </vt:variant>
      <vt:variant>
        <vt:lpwstr>_Toc382588745</vt:lpwstr>
      </vt:variant>
      <vt:variant>
        <vt:i4>1441802</vt:i4>
      </vt:variant>
      <vt:variant>
        <vt:i4>362</vt:i4>
      </vt:variant>
      <vt:variant>
        <vt:i4>0</vt:i4>
      </vt:variant>
      <vt:variant>
        <vt:i4>5</vt:i4>
      </vt:variant>
      <vt:variant>
        <vt:lpwstr/>
      </vt:variant>
      <vt:variant>
        <vt:lpwstr>_Toc382588744</vt:lpwstr>
      </vt:variant>
      <vt:variant>
        <vt:i4>1441805</vt:i4>
      </vt:variant>
      <vt:variant>
        <vt:i4>356</vt:i4>
      </vt:variant>
      <vt:variant>
        <vt:i4>0</vt:i4>
      </vt:variant>
      <vt:variant>
        <vt:i4>5</vt:i4>
      </vt:variant>
      <vt:variant>
        <vt:lpwstr/>
      </vt:variant>
      <vt:variant>
        <vt:lpwstr>_Toc382588743</vt:lpwstr>
      </vt:variant>
      <vt:variant>
        <vt:i4>1441804</vt:i4>
      </vt:variant>
      <vt:variant>
        <vt:i4>350</vt:i4>
      </vt:variant>
      <vt:variant>
        <vt:i4>0</vt:i4>
      </vt:variant>
      <vt:variant>
        <vt:i4>5</vt:i4>
      </vt:variant>
      <vt:variant>
        <vt:lpwstr/>
      </vt:variant>
      <vt:variant>
        <vt:lpwstr>_Toc382588742</vt:lpwstr>
      </vt:variant>
      <vt:variant>
        <vt:i4>1441807</vt:i4>
      </vt:variant>
      <vt:variant>
        <vt:i4>344</vt:i4>
      </vt:variant>
      <vt:variant>
        <vt:i4>0</vt:i4>
      </vt:variant>
      <vt:variant>
        <vt:i4>5</vt:i4>
      </vt:variant>
      <vt:variant>
        <vt:lpwstr/>
      </vt:variant>
      <vt:variant>
        <vt:lpwstr>_Toc382588741</vt:lpwstr>
      </vt:variant>
      <vt:variant>
        <vt:i4>1441806</vt:i4>
      </vt:variant>
      <vt:variant>
        <vt:i4>338</vt:i4>
      </vt:variant>
      <vt:variant>
        <vt:i4>0</vt:i4>
      </vt:variant>
      <vt:variant>
        <vt:i4>5</vt:i4>
      </vt:variant>
      <vt:variant>
        <vt:lpwstr/>
      </vt:variant>
      <vt:variant>
        <vt:lpwstr>_Toc382588740</vt:lpwstr>
      </vt:variant>
      <vt:variant>
        <vt:i4>1114119</vt:i4>
      </vt:variant>
      <vt:variant>
        <vt:i4>332</vt:i4>
      </vt:variant>
      <vt:variant>
        <vt:i4>0</vt:i4>
      </vt:variant>
      <vt:variant>
        <vt:i4>5</vt:i4>
      </vt:variant>
      <vt:variant>
        <vt:lpwstr/>
      </vt:variant>
      <vt:variant>
        <vt:lpwstr>_Toc382588739</vt:lpwstr>
      </vt:variant>
      <vt:variant>
        <vt:i4>1114118</vt:i4>
      </vt:variant>
      <vt:variant>
        <vt:i4>326</vt:i4>
      </vt:variant>
      <vt:variant>
        <vt:i4>0</vt:i4>
      </vt:variant>
      <vt:variant>
        <vt:i4>5</vt:i4>
      </vt:variant>
      <vt:variant>
        <vt:lpwstr/>
      </vt:variant>
      <vt:variant>
        <vt:lpwstr>_Toc382588738</vt:lpwstr>
      </vt:variant>
      <vt:variant>
        <vt:i4>1114121</vt:i4>
      </vt:variant>
      <vt:variant>
        <vt:i4>320</vt:i4>
      </vt:variant>
      <vt:variant>
        <vt:i4>0</vt:i4>
      </vt:variant>
      <vt:variant>
        <vt:i4>5</vt:i4>
      </vt:variant>
      <vt:variant>
        <vt:lpwstr/>
      </vt:variant>
      <vt:variant>
        <vt:lpwstr>_Toc382588737</vt:lpwstr>
      </vt:variant>
      <vt:variant>
        <vt:i4>1114120</vt:i4>
      </vt:variant>
      <vt:variant>
        <vt:i4>314</vt:i4>
      </vt:variant>
      <vt:variant>
        <vt:i4>0</vt:i4>
      </vt:variant>
      <vt:variant>
        <vt:i4>5</vt:i4>
      </vt:variant>
      <vt:variant>
        <vt:lpwstr/>
      </vt:variant>
      <vt:variant>
        <vt:lpwstr>_Toc382588736</vt:lpwstr>
      </vt:variant>
      <vt:variant>
        <vt:i4>1114123</vt:i4>
      </vt:variant>
      <vt:variant>
        <vt:i4>308</vt:i4>
      </vt:variant>
      <vt:variant>
        <vt:i4>0</vt:i4>
      </vt:variant>
      <vt:variant>
        <vt:i4>5</vt:i4>
      </vt:variant>
      <vt:variant>
        <vt:lpwstr/>
      </vt:variant>
      <vt:variant>
        <vt:lpwstr>_Toc382588735</vt:lpwstr>
      </vt:variant>
      <vt:variant>
        <vt:i4>1114122</vt:i4>
      </vt:variant>
      <vt:variant>
        <vt:i4>302</vt:i4>
      </vt:variant>
      <vt:variant>
        <vt:i4>0</vt:i4>
      </vt:variant>
      <vt:variant>
        <vt:i4>5</vt:i4>
      </vt:variant>
      <vt:variant>
        <vt:lpwstr/>
      </vt:variant>
      <vt:variant>
        <vt:lpwstr>_Toc382588734</vt:lpwstr>
      </vt:variant>
      <vt:variant>
        <vt:i4>1114125</vt:i4>
      </vt:variant>
      <vt:variant>
        <vt:i4>296</vt:i4>
      </vt:variant>
      <vt:variant>
        <vt:i4>0</vt:i4>
      </vt:variant>
      <vt:variant>
        <vt:i4>5</vt:i4>
      </vt:variant>
      <vt:variant>
        <vt:lpwstr/>
      </vt:variant>
      <vt:variant>
        <vt:lpwstr>_Toc382588733</vt:lpwstr>
      </vt:variant>
      <vt:variant>
        <vt:i4>1114124</vt:i4>
      </vt:variant>
      <vt:variant>
        <vt:i4>290</vt:i4>
      </vt:variant>
      <vt:variant>
        <vt:i4>0</vt:i4>
      </vt:variant>
      <vt:variant>
        <vt:i4>5</vt:i4>
      </vt:variant>
      <vt:variant>
        <vt:lpwstr/>
      </vt:variant>
      <vt:variant>
        <vt:lpwstr>_Toc382588732</vt:lpwstr>
      </vt:variant>
      <vt:variant>
        <vt:i4>1114127</vt:i4>
      </vt:variant>
      <vt:variant>
        <vt:i4>284</vt:i4>
      </vt:variant>
      <vt:variant>
        <vt:i4>0</vt:i4>
      </vt:variant>
      <vt:variant>
        <vt:i4>5</vt:i4>
      </vt:variant>
      <vt:variant>
        <vt:lpwstr/>
      </vt:variant>
      <vt:variant>
        <vt:lpwstr>_Toc382588731</vt:lpwstr>
      </vt:variant>
      <vt:variant>
        <vt:i4>1114126</vt:i4>
      </vt:variant>
      <vt:variant>
        <vt:i4>278</vt:i4>
      </vt:variant>
      <vt:variant>
        <vt:i4>0</vt:i4>
      </vt:variant>
      <vt:variant>
        <vt:i4>5</vt:i4>
      </vt:variant>
      <vt:variant>
        <vt:lpwstr/>
      </vt:variant>
      <vt:variant>
        <vt:lpwstr>_Toc382588730</vt:lpwstr>
      </vt:variant>
      <vt:variant>
        <vt:i4>1048583</vt:i4>
      </vt:variant>
      <vt:variant>
        <vt:i4>272</vt:i4>
      </vt:variant>
      <vt:variant>
        <vt:i4>0</vt:i4>
      </vt:variant>
      <vt:variant>
        <vt:i4>5</vt:i4>
      </vt:variant>
      <vt:variant>
        <vt:lpwstr/>
      </vt:variant>
      <vt:variant>
        <vt:lpwstr>_Toc382588729</vt:lpwstr>
      </vt:variant>
      <vt:variant>
        <vt:i4>1048582</vt:i4>
      </vt:variant>
      <vt:variant>
        <vt:i4>266</vt:i4>
      </vt:variant>
      <vt:variant>
        <vt:i4>0</vt:i4>
      </vt:variant>
      <vt:variant>
        <vt:i4>5</vt:i4>
      </vt:variant>
      <vt:variant>
        <vt:lpwstr/>
      </vt:variant>
      <vt:variant>
        <vt:lpwstr>_Toc382588728</vt:lpwstr>
      </vt:variant>
      <vt:variant>
        <vt:i4>1048585</vt:i4>
      </vt:variant>
      <vt:variant>
        <vt:i4>260</vt:i4>
      </vt:variant>
      <vt:variant>
        <vt:i4>0</vt:i4>
      </vt:variant>
      <vt:variant>
        <vt:i4>5</vt:i4>
      </vt:variant>
      <vt:variant>
        <vt:lpwstr/>
      </vt:variant>
      <vt:variant>
        <vt:lpwstr>_Toc382588727</vt:lpwstr>
      </vt:variant>
      <vt:variant>
        <vt:i4>1048584</vt:i4>
      </vt:variant>
      <vt:variant>
        <vt:i4>254</vt:i4>
      </vt:variant>
      <vt:variant>
        <vt:i4>0</vt:i4>
      </vt:variant>
      <vt:variant>
        <vt:i4>5</vt:i4>
      </vt:variant>
      <vt:variant>
        <vt:lpwstr/>
      </vt:variant>
      <vt:variant>
        <vt:lpwstr>_Toc382588726</vt:lpwstr>
      </vt:variant>
      <vt:variant>
        <vt:i4>1048587</vt:i4>
      </vt:variant>
      <vt:variant>
        <vt:i4>248</vt:i4>
      </vt:variant>
      <vt:variant>
        <vt:i4>0</vt:i4>
      </vt:variant>
      <vt:variant>
        <vt:i4>5</vt:i4>
      </vt:variant>
      <vt:variant>
        <vt:lpwstr/>
      </vt:variant>
      <vt:variant>
        <vt:lpwstr>_Toc382588725</vt:lpwstr>
      </vt:variant>
      <vt:variant>
        <vt:i4>1048586</vt:i4>
      </vt:variant>
      <vt:variant>
        <vt:i4>242</vt:i4>
      </vt:variant>
      <vt:variant>
        <vt:i4>0</vt:i4>
      </vt:variant>
      <vt:variant>
        <vt:i4>5</vt:i4>
      </vt:variant>
      <vt:variant>
        <vt:lpwstr/>
      </vt:variant>
      <vt:variant>
        <vt:lpwstr>_Toc382588724</vt:lpwstr>
      </vt:variant>
      <vt:variant>
        <vt:i4>1048589</vt:i4>
      </vt:variant>
      <vt:variant>
        <vt:i4>236</vt:i4>
      </vt:variant>
      <vt:variant>
        <vt:i4>0</vt:i4>
      </vt:variant>
      <vt:variant>
        <vt:i4>5</vt:i4>
      </vt:variant>
      <vt:variant>
        <vt:lpwstr/>
      </vt:variant>
      <vt:variant>
        <vt:lpwstr>_Toc382588723</vt:lpwstr>
      </vt:variant>
      <vt:variant>
        <vt:i4>1048588</vt:i4>
      </vt:variant>
      <vt:variant>
        <vt:i4>230</vt:i4>
      </vt:variant>
      <vt:variant>
        <vt:i4>0</vt:i4>
      </vt:variant>
      <vt:variant>
        <vt:i4>5</vt:i4>
      </vt:variant>
      <vt:variant>
        <vt:lpwstr/>
      </vt:variant>
      <vt:variant>
        <vt:lpwstr>_Toc382588722</vt:lpwstr>
      </vt:variant>
      <vt:variant>
        <vt:i4>1048590</vt:i4>
      </vt:variant>
      <vt:variant>
        <vt:i4>224</vt:i4>
      </vt:variant>
      <vt:variant>
        <vt:i4>0</vt:i4>
      </vt:variant>
      <vt:variant>
        <vt:i4>5</vt:i4>
      </vt:variant>
      <vt:variant>
        <vt:lpwstr/>
      </vt:variant>
      <vt:variant>
        <vt:lpwstr>_Toc382588720</vt:lpwstr>
      </vt:variant>
      <vt:variant>
        <vt:i4>1245191</vt:i4>
      </vt:variant>
      <vt:variant>
        <vt:i4>218</vt:i4>
      </vt:variant>
      <vt:variant>
        <vt:i4>0</vt:i4>
      </vt:variant>
      <vt:variant>
        <vt:i4>5</vt:i4>
      </vt:variant>
      <vt:variant>
        <vt:lpwstr/>
      </vt:variant>
      <vt:variant>
        <vt:lpwstr>_Toc382588719</vt:lpwstr>
      </vt:variant>
      <vt:variant>
        <vt:i4>1245190</vt:i4>
      </vt:variant>
      <vt:variant>
        <vt:i4>212</vt:i4>
      </vt:variant>
      <vt:variant>
        <vt:i4>0</vt:i4>
      </vt:variant>
      <vt:variant>
        <vt:i4>5</vt:i4>
      </vt:variant>
      <vt:variant>
        <vt:lpwstr/>
      </vt:variant>
      <vt:variant>
        <vt:lpwstr>_Toc382588718</vt:lpwstr>
      </vt:variant>
      <vt:variant>
        <vt:i4>1245193</vt:i4>
      </vt:variant>
      <vt:variant>
        <vt:i4>206</vt:i4>
      </vt:variant>
      <vt:variant>
        <vt:i4>0</vt:i4>
      </vt:variant>
      <vt:variant>
        <vt:i4>5</vt:i4>
      </vt:variant>
      <vt:variant>
        <vt:lpwstr/>
      </vt:variant>
      <vt:variant>
        <vt:lpwstr>_Toc382588717</vt:lpwstr>
      </vt:variant>
      <vt:variant>
        <vt:i4>1245192</vt:i4>
      </vt:variant>
      <vt:variant>
        <vt:i4>200</vt:i4>
      </vt:variant>
      <vt:variant>
        <vt:i4>0</vt:i4>
      </vt:variant>
      <vt:variant>
        <vt:i4>5</vt:i4>
      </vt:variant>
      <vt:variant>
        <vt:lpwstr/>
      </vt:variant>
      <vt:variant>
        <vt:lpwstr>_Toc382588716</vt:lpwstr>
      </vt:variant>
      <vt:variant>
        <vt:i4>1245195</vt:i4>
      </vt:variant>
      <vt:variant>
        <vt:i4>194</vt:i4>
      </vt:variant>
      <vt:variant>
        <vt:i4>0</vt:i4>
      </vt:variant>
      <vt:variant>
        <vt:i4>5</vt:i4>
      </vt:variant>
      <vt:variant>
        <vt:lpwstr/>
      </vt:variant>
      <vt:variant>
        <vt:lpwstr>_Toc382588715</vt:lpwstr>
      </vt:variant>
      <vt:variant>
        <vt:i4>1245194</vt:i4>
      </vt:variant>
      <vt:variant>
        <vt:i4>188</vt:i4>
      </vt:variant>
      <vt:variant>
        <vt:i4>0</vt:i4>
      </vt:variant>
      <vt:variant>
        <vt:i4>5</vt:i4>
      </vt:variant>
      <vt:variant>
        <vt:lpwstr/>
      </vt:variant>
      <vt:variant>
        <vt:lpwstr>_Toc382588714</vt:lpwstr>
      </vt:variant>
      <vt:variant>
        <vt:i4>1245197</vt:i4>
      </vt:variant>
      <vt:variant>
        <vt:i4>182</vt:i4>
      </vt:variant>
      <vt:variant>
        <vt:i4>0</vt:i4>
      </vt:variant>
      <vt:variant>
        <vt:i4>5</vt:i4>
      </vt:variant>
      <vt:variant>
        <vt:lpwstr/>
      </vt:variant>
      <vt:variant>
        <vt:lpwstr>_Toc382588713</vt:lpwstr>
      </vt:variant>
      <vt:variant>
        <vt:i4>1245199</vt:i4>
      </vt:variant>
      <vt:variant>
        <vt:i4>176</vt:i4>
      </vt:variant>
      <vt:variant>
        <vt:i4>0</vt:i4>
      </vt:variant>
      <vt:variant>
        <vt:i4>5</vt:i4>
      </vt:variant>
      <vt:variant>
        <vt:lpwstr/>
      </vt:variant>
      <vt:variant>
        <vt:lpwstr>_Toc382588711</vt:lpwstr>
      </vt:variant>
      <vt:variant>
        <vt:i4>1245198</vt:i4>
      </vt:variant>
      <vt:variant>
        <vt:i4>170</vt:i4>
      </vt:variant>
      <vt:variant>
        <vt:i4>0</vt:i4>
      </vt:variant>
      <vt:variant>
        <vt:i4>5</vt:i4>
      </vt:variant>
      <vt:variant>
        <vt:lpwstr/>
      </vt:variant>
      <vt:variant>
        <vt:lpwstr>_Toc382588710</vt:lpwstr>
      </vt:variant>
      <vt:variant>
        <vt:i4>1179655</vt:i4>
      </vt:variant>
      <vt:variant>
        <vt:i4>164</vt:i4>
      </vt:variant>
      <vt:variant>
        <vt:i4>0</vt:i4>
      </vt:variant>
      <vt:variant>
        <vt:i4>5</vt:i4>
      </vt:variant>
      <vt:variant>
        <vt:lpwstr/>
      </vt:variant>
      <vt:variant>
        <vt:lpwstr>_Toc382588709</vt:lpwstr>
      </vt:variant>
      <vt:variant>
        <vt:i4>1179654</vt:i4>
      </vt:variant>
      <vt:variant>
        <vt:i4>158</vt:i4>
      </vt:variant>
      <vt:variant>
        <vt:i4>0</vt:i4>
      </vt:variant>
      <vt:variant>
        <vt:i4>5</vt:i4>
      </vt:variant>
      <vt:variant>
        <vt:lpwstr/>
      </vt:variant>
      <vt:variant>
        <vt:lpwstr>_Toc382588708</vt:lpwstr>
      </vt:variant>
      <vt:variant>
        <vt:i4>1179657</vt:i4>
      </vt:variant>
      <vt:variant>
        <vt:i4>152</vt:i4>
      </vt:variant>
      <vt:variant>
        <vt:i4>0</vt:i4>
      </vt:variant>
      <vt:variant>
        <vt:i4>5</vt:i4>
      </vt:variant>
      <vt:variant>
        <vt:lpwstr/>
      </vt:variant>
      <vt:variant>
        <vt:lpwstr>_Toc382588707</vt:lpwstr>
      </vt:variant>
      <vt:variant>
        <vt:i4>1179656</vt:i4>
      </vt:variant>
      <vt:variant>
        <vt:i4>146</vt:i4>
      </vt:variant>
      <vt:variant>
        <vt:i4>0</vt:i4>
      </vt:variant>
      <vt:variant>
        <vt:i4>5</vt:i4>
      </vt:variant>
      <vt:variant>
        <vt:lpwstr/>
      </vt:variant>
      <vt:variant>
        <vt:lpwstr>_Toc382588706</vt:lpwstr>
      </vt:variant>
      <vt:variant>
        <vt:i4>1179659</vt:i4>
      </vt:variant>
      <vt:variant>
        <vt:i4>140</vt:i4>
      </vt:variant>
      <vt:variant>
        <vt:i4>0</vt:i4>
      </vt:variant>
      <vt:variant>
        <vt:i4>5</vt:i4>
      </vt:variant>
      <vt:variant>
        <vt:lpwstr/>
      </vt:variant>
      <vt:variant>
        <vt:lpwstr>_Toc382588705</vt:lpwstr>
      </vt:variant>
      <vt:variant>
        <vt:i4>1179658</vt:i4>
      </vt:variant>
      <vt:variant>
        <vt:i4>134</vt:i4>
      </vt:variant>
      <vt:variant>
        <vt:i4>0</vt:i4>
      </vt:variant>
      <vt:variant>
        <vt:i4>5</vt:i4>
      </vt:variant>
      <vt:variant>
        <vt:lpwstr/>
      </vt:variant>
      <vt:variant>
        <vt:lpwstr>_Toc382588704</vt:lpwstr>
      </vt:variant>
      <vt:variant>
        <vt:i4>1179661</vt:i4>
      </vt:variant>
      <vt:variant>
        <vt:i4>128</vt:i4>
      </vt:variant>
      <vt:variant>
        <vt:i4>0</vt:i4>
      </vt:variant>
      <vt:variant>
        <vt:i4>5</vt:i4>
      </vt:variant>
      <vt:variant>
        <vt:lpwstr/>
      </vt:variant>
      <vt:variant>
        <vt:lpwstr>_Toc382588703</vt:lpwstr>
      </vt:variant>
      <vt:variant>
        <vt:i4>1179660</vt:i4>
      </vt:variant>
      <vt:variant>
        <vt:i4>122</vt:i4>
      </vt:variant>
      <vt:variant>
        <vt:i4>0</vt:i4>
      </vt:variant>
      <vt:variant>
        <vt:i4>5</vt:i4>
      </vt:variant>
      <vt:variant>
        <vt:lpwstr/>
      </vt:variant>
      <vt:variant>
        <vt:lpwstr>_Toc382588702</vt:lpwstr>
      </vt:variant>
      <vt:variant>
        <vt:i4>1179663</vt:i4>
      </vt:variant>
      <vt:variant>
        <vt:i4>116</vt:i4>
      </vt:variant>
      <vt:variant>
        <vt:i4>0</vt:i4>
      </vt:variant>
      <vt:variant>
        <vt:i4>5</vt:i4>
      </vt:variant>
      <vt:variant>
        <vt:lpwstr/>
      </vt:variant>
      <vt:variant>
        <vt:lpwstr>_Toc382588701</vt:lpwstr>
      </vt:variant>
      <vt:variant>
        <vt:i4>1179662</vt:i4>
      </vt:variant>
      <vt:variant>
        <vt:i4>110</vt:i4>
      </vt:variant>
      <vt:variant>
        <vt:i4>0</vt:i4>
      </vt:variant>
      <vt:variant>
        <vt:i4>5</vt:i4>
      </vt:variant>
      <vt:variant>
        <vt:lpwstr/>
      </vt:variant>
      <vt:variant>
        <vt:lpwstr>_Toc382588700</vt:lpwstr>
      </vt:variant>
      <vt:variant>
        <vt:i4>1769478</vt:i4>
      </vt:variant>
      <vt:variant>
        <vt:i4>104</vt:i4>
      </vt:variant>
      <vt:variant>
        <vt:i4>0</vt:i4>
      </vt:variant>
      <vt:variant>
        <vt:i4>5</vt:i4>
      </vt:variant>
      <vt:variant>
        <vt:lpwstr/>
      </vt:variant>
      <vt:variant>
        <vt:lpwstr>_Toc382588699</vt:lpwstr>
      </vt:variant>
      <vt:variant>
        <vt:i4>1769479</vt:i4>
      </vt:variant>
      <vt:variant>
        <vt:i4>98</vt:i4>
      </vt:variant>
      <vt:variant>
        <vt:i4>0</vt:i4>
      </vt:variant>
      <vt:variant>
        <vt:i4>5</vt:i4>
      </vt:variant>
      <vt:variant>
        <vt:lpwstr/>
      </vt:variant>
      <vt:variant>
        <vt:lpwstr>_Toc382588698</vt:lpwstr>
      </vt:variant>
      <vt:variant>
        <vt:i4>1769480</vt:i4>
      </vt:variant>
      <vt:variant>
        <vt:i4>92</vt:i4>
      </vt:variant>
      <vt:variant>
        <vt:i4>0</vt:i4>
      </vt:variant>
      <vt:variant>
        <vt:i4>5</vt:i4>
      </vt:variant>
      <vt:variant>
        <vt:lpwstr/>
      </vt:variant>
      <vt:variant>
        <vt:lpwstr>_Toc382588697</vt:lpwstr>
      </vt:variant>
      <vt:variant>
        <vt:i4>1769481</vt:i4>
      </vt:variant>
      <vt:variant>
        <vt:i4>86</vt:i4>
      </vt:variant>
      <vt:variant>
        <vt:i4>0</vt:i4>
      </vt:variant>
      <vt:variant>
        <vt:i4>5</vt:i4>
      </vt:variant>
      <vt:variant>
        <vt:lpwstr/>
      </vt:variant>
      <vt:variant>
        <vt:lpwstr>_Toc382588696</vt:lpwstr>
      </vt:variant>
      <vt:variant>
        <vt:i4>1769482</vt:i4>
      </vt:variant>
      <vt:variant>
        <vt:i4>80</vt:i4>
      </vt:variant>
      <vt:variant>
        <vt:i4>0</vt:i4>
      </vt:variant>
      <vt:variant>
        <vt:i4>5</vt:i4>
      </vt:variant>
      <vt:variant>
        <vt:lpwstr/>
      </vt:variant>
      <vt:variant>
        <vt:lpwstr>_Toc382588695</vt:lpwstr>
      </vt:variant>
      <vt:variant>
        <vt:i4>1769483</vt:i4>
      </vt:variant>
      <vt:variant>
        <vt:i4>74</vt:i4>
      </vt:variant>
      <vt:variant>
        <vt:i4>0</vt:i4>
      </vt:variant>
      <vt:variant>
        <vt:i4>5</vt:i4>
      </vt:variant>
      <vt:variant>
        <vt:lpwstr/>
      </vt:variant>
      <vt:variant>
        <vt:lpwstr>_Toc382588694</vt:lpwstr>
      </vt:variant>
      <vt:variant>
        <vt:i4>1769484</vt:i4>
      </vt:variant>
      <vt:variant>
        <vt:i4>68</vt:i4>
      </vt:variant>
      <vt:variant>
        <vt:i4>0</vt:i4>
      </vt:variant>
      <vt:variant>
        <vt:i4>5</vt:i4>
      </vt:variant>
      <vt:variant>
        <vt:lpwstr/>
      </vt:variant>
      <vt:variant>
        <vt:lpwstr>_Toc382588693</vt:lpwstr>
      </vt:variant>
      <vt:variant>
        <vt:i4>1769485</vt:i4>
      </vt:variant>
      <vt:variant>
        <vt:i4>62</vt:i4>
      </vt:variant>
      <vt:variant>
        <vt:i4>0</vt:i4>
      </vt:variant>
      <vt:variant>
        <vt:i4>5</vt:i4>
      </vt:variant>
      <vt:variant>
        <vt:lpwstr/>
      </vt:variant>
      <vt:variant>
        <vt:lpwstr>_Toc382588692</vt:lpwstr>
      </vt:variant>
      <vt:variant>
        <vt:i4>1769486</vt:i4>
      </vt:variant>
      <vt:variant>
        <vt:i4>56</vt:i4>
      </vt:variant>
      <vt:variant>
        <vt:i4>0</vt:i4>
      </vt:variant>
      <vt:variant>
        <vt:i4>5</vt:i4>
      </vt:variant>
      <vt:variant>
        <vt:lpwstr/>
      </vt:variant>
      <vt:variant>
        <vt:lpwstr>_Toc382588691</vt:lpwstr>
      </vt:variant>
      <vt:variant>
        <vt:i4>1769487</vt:i4>
      </vt:variant>
      <vt:variant>
        <vt:i4>50</vt:i4>
      </vt:variant>
      <vt:variant>
        <vt:i4>0</vt:i4>
      </vt:variant>
      <vt:variant>
        <vt:i4>5</vt:i4>
      </vt:variant>
      <vt:variant>
        <vt:lpwstr/>
      </vt:variant>
      <vt:variant>
        <vt:lpwstr>_Toc382588690</vt:lpwstr>
      </vt:variant>
      <vt:variant>
        <vt:i4>1703942</vt:i4>
      </vt:variant>
      <vt:variant>
        <vt:i4>44</vt:i4>
      </vt:variant>
      <vt:variant>
        <vt:i4>0</vt:i4>
      </vt:variant>
      <vt:variant>
        <vt:i4>5</vt:i4>
      </vt:variant>
      <vt:variant>
        <vt:lpwstr/>
      </vt:variant>
      <vt:variant>
        <vt:lpwstr>_Toc382588689</vt:lpwstr>
      </vt:variant>
      <vt:variant>
        <vt:i4>1703943</vt:i4>
      </vt:variant>
      <vt:variant>
        <vt:i4>38</vt:i4>
      </vt:variant>
      <vt:variant>
        <vt:i4>0</vt:i4>
      </vt:variant>
      <vt:variant>
        <vt:i4>5</vt:i4>
      </vt:variant>
      <vt:variant>
        <vt:lpwstr/>
      </vt:variant>
      <vt:variant>
        <vt:lpwstr>_Toc382588688</vt:lpwstr>
      </vt:variant>
      <vt:variant>
        <vt:i4>1703944</vt:i4>
      </vt:variant>
      <vt:variant>
        <vt:i4>32</vt:i4>
      </vt:variant>
      <vt:variant>
        <vt:i4>0</vt:i4>
      </vt:variant>
      <vt:variant>
        <vt:i4>5</vt:i4>
      </vt:variant>
      <vt:variant>
        <vt:lpwstr/>
      </vt:variant>
      <vt:variant>
        <vt:lpwstr>_Toc382588687</vt:lpwstr>
      </vt:variant>
      <vt:variant>
        <vt:i4>1703945</vt:i4>
      </vt:variant>
      <vt:variant>
        <vt:i4>26</vt:i4>
      </vt:variant>
      <vt:variant>
        <vt:i4>0</vt:i4>
      </vt:variant>
      <vt:variant>
        <vt:i4>5</vt:i4>
      </vt:variant>
      <vt:variant>
        <vt:lpwstr/>
      </vt:variant>
      <vt:variant>
        <vt:lpwstr>_Toc382588686</vt:lpwstr>
      </vt:variant>
      <vt:variant>
        <vt:i4>1703946</vt:i4>
      </vt:variant>
      <vt:variant>
        <vt:i4>20</vt:i4>
      </vt:variant>
      <vt:variant>
        <vt:i4>0</vt:i4>
      </vt:variant>
      <vt:variant>
        <vt:i4>5</vt:i4>
      </vt:variant>
      <vt:variant>
        <vt:lpwstr/>
      </vt:variant>
      <vt:variant>
        <vt:lpwstr>_Toc382588685</vt:lpwstr>
      </vt:variant>
      <vt:variant>
        <vt:i4>1703947</vt:i4>
      </vt:variant>
      <vt:variant>
        <vt:i4>14</vt:i4>
      </vt:variant>
      <vt:variant>
        <vt:i4>0</vt:i4>
      </vt:variant>
      <vt:variant>
        <vt:i4>5</vt:i4>
      </vt:variant>
      <vt:variant>
        <vt:lpwstr/>
      </vt:variant>
      <vt:variant>
        <vt:lpwstr>_Toc382588684</vt:lpwstr>
      </vt:variant>
      <vt:variant>
        <vt:i4>1703948</vt:i4>
      </vt:variant>
      <vt:variant>
        <vt:i4>8</vt:i4>
      </vt:variant>
      <vt:variant>
        <vt:i4>0</vt:i4>
      </vt:variant>
      <vt:variant>
        <vt:i4>5</vt:i4>
      </vt:variant>
      <vt:variant>
        <vt:lpwstr/>
      </vt:variant>
      <vt:variant>
        <vt:lpwstr>_Toc382588683</vt:lpwstr>
      </vt:variant>
      <vt:variant>
        <vt:i4>1703949</vt:i4>
      </vt:variant>
      <vt:variant>
        <vt:i4>2</vt:i4>
      </vt:variant>
      <vt:variant>
        <vt:i4>0</vt:i4>
      </vt:variant>
      <vt:variant>
        <vt:i4>5</vt:i4>
      </vt:variant>
      <vt:variant>
        <vt:lpwstr/>
      </vt:variant>
      <vt:variant>
        <vt:lpwstr>_Toc382588682</vt:lpwstr>
      </vt:variant>
      <vt:variant>
        <vt:i4>5898331</vt:i4>
      </vt:variant>
      <vt:variant>
        <vt:i4>45</vt:i4>
      </vt:variant>
      <vt:variant>
        <vt:i4>0</vt:i4>
      </vt:variant>
      <vt:variant>
        <vt:i4>5</vt:i4>
      </vt:variant>
      <vt:variant>
        <vt:lpwstr>http://www.caricom.org/jsp/community/trinidad_tobago.jsp?menu=community</vt:lpwstr>
      </vt:variant>
      <vt:variant>
        <vt:lpwstr/>
      </vt:variant>
      <vt:variant>
        <vt:i4>5636107</vt:i4>
      </vt:variant>
      <vt:variant>
        <vt:i4>42</vt:i4>
      </vt:variant>
      <vt:variant>
        <vt:i4>0</vt:i4>
      </vt:variant>
      <vt:variant>
        <vt:i4>5</vt:i4>
      </vt:variant>
      <vt:variant>
        <vt:lpwstr>http://www.caricom.org/jsp/community/suriname.jsp?menu=community</vt:lpwstr>
      </vt:variant>
      <vt:variant>
        <vt:lpwstr/>
      </vt:variant>
      <vt:variant>
        <vt:i4>196644</vt:i4>
      </vt:variant>
      <vt:variant>
        <vt:i4>39</vt:i4>
      </vt:variant>
      <vt:variant>
        <vt:i4>0</vt:i4>
      </vt:variant>
      <vt:variant>
        <vt:i4>5</vt:i4>
      </vt:variant>
      <vt:variant>
        <vt:lpwstr>http://www.caricom.org/jsp/community/st_vincent_grenadines.jsp?menu=community</vt:lpwstr>
      </vt:variant>
      <vt:variant>
        <vt:lpwstr/>
      </vt:variant>
      <vt:variant>
        <vt:i4>3539040</vt:i4>
      </vt:variant>
      <vt:variant>
        <vt:i4>36</vt:i4>
      </vt:variant>
      <vt:variant>
        <vt:i4>0</vt:i4>
      </vt:variant>
      <vt:variant>
        <vt:i4>5</vt:i4>
      </vt:variant>
      <vt:variant>
        <vt:lpwstr>http://www.caricom.org/jsp/community/st_kitts_nevis.jsp?menu=community</vt:lpwstr>
      </vt:variant>
      <vt:variant>
        <vt:lpwstr/>
      </vt:variant>
      <vt:variant>
        <vt:i4>2490482</vt:i4>
      </vt:variant>
      <vt:variant>
        <vt:i4>33</vt:i4>
      </vt:variant>
      <vt:variant>
        <vt:i4>0</vt:i4>
      </vt:variant>
      <vt:variant>
        <vt:i4>5</vt:i4>
      </vt:variant>
      <vt:variant>
        <vt:lpwstr>http://www.caricom.org/jsp/community/saintlucia.jsp?menu=community</vt:lpwstr>
      </vt:variant>
      <vt:variant>
        <vt:lpwstr/>
      </vt:variant>
      <vt:variant>
        <vt:i4>3604587</vt:i4>
      </vt:variant>
      <vt:variant>
        <vt:i4>30</vt:i4>
      </vt:variant>
      <vt:variant>
        <vt:i4>0</vt:i4>
      </vt:variant>
      <vt:variant>
        <vt:i4>5</vt:i4>
      </vt:variant>
      <vt:variant>
        <vt:lpwstr>http://www.caricom.org/jsp/community/montserrat.jsp?menu=community</vt:lpwstr>
      </vt:variant>
      <vt:variant>
        <vt:lpwstr/>
      </vt:variant>
      <vt:variant>
        <vt:i4>8257621</vt:i4>
      </vt:variant>
      <vt:variant>
        <vt:i4>27</vt:i4>
      </vt:variant>
      <vt:variant>
        <vt:i4>0</vt:i4>
      </vt:variant>
      <vt:variant>
        <vt:i4>5</vt:i4>
      </vt:variant>
      <vt:variant>
        <vt:lpwstr>http://www.caricom.org/jsp/community/jamaica.jsp?menu=community</vt:lpwstr>
      </vt:variant>
      <vt:variant>
        <vt:lpwstr/>
      </vt:variant>
      <vt:variant>
        <vt:i4>1638435</vt:i4>
      </vt:variant>
      <vt:variant>
        <vt:i4>24</vt:i4>
      </vt:variant>
      <vt:variant>
        <vt:i4>0</vt:i4>
      </vt:variant>
      <vt:variant>
        <vt:i4>5</vt:i4>
      </vt:variant>
      <vt:variant>
        <vt:lpwstr>http://www.caricom.org/jsp/community/haiti.jsp?menu=community</vt:lpwstr>
      </vt:variant>
      <vt:variant>
        <vt:lpwstr/>
      </vt:variant>
      <vt:variant>
        <vt:i4>2359398</vt:i4>
      </vt:variant>
      <vt:variant>
        <vt:i4>21</vt:i4>
      </vt:variant>
      <vt:variant>
        <vt:i4>0</vt:i4>
      </vt:variant>
      <vt:variant>
        <vt:i4>5</vt:i4>
      </vt:variant>
      <vt:variant>
        <vt:lpwstr>http://www.caricom.org/jsp/community/guyana.jsp?menu=community</vt:lpwstr>
      </vt:variant>
      <vt:variant>
        <vt:lpwstr/>
      </vt:variant>
      <vt:variant>
        <vt:i4>7536718</vt:i4>
      </vt:variant>
      <vt:variant>
        <vt:i4>18</vt:i4>
      </vt:variant>
      <vt:variant>
        <vt:i4>0</vt:i4>
      </vt:variant>
      <vt:variant>
        <vt:i4>5</vt:i4>
      </vt:variant>
      <vt:variant>
        <vt:lpwstr>http://www.caricom.org/jsp/community/grenada.jsp?menu=community</vt:lpwstr>
      </vt:variant>
      <vt:variant>
        <vt:lpwstr/>
      </vt:variant>
      <vt:variant>
        <vt:i4>5242909</vt:i4>
      </vt:variant>
      <vt:variant>
        <vt:i4>15</vt:i4>
      </vt:variant>
      <vt:variant>
        <vt:i4>0</vt:i4>
      </vt:variant>
      <vt:variant>
        <vt:i4>5</vt:i4>
      </vt:variant>
      <vt:variant>
        <vt:lpwstr>http://www.caricom.org/jsp/community/dominica.jsp?menu=community</vt:lpwstr>
      </vt:variant>
      <vt:variant>
        <vt:lpwstr/>
      </vt:variant>
      <vt:variant>
        <vt:i4>2097274</vt:i4>
      </vt:variant>
      <vt:variant>
        <vt:i4>12</vt:i4>
      </vt:variant>
      <vt:variant>
        <vt:i4>0</vt:i4>
      </vt:variant>
      <vt:variant>
        <vt:i4>5</vt:i4>
      </vt:variant>
      <vt:variant>
        <vt:lpwstr>http://www.caricom.org/jsp/community/belize.jsp?menu=community</vt:lpwstr>
      </vt:variant>
      <vt:variant>
        <vt:lpwstr/>
      </vt:variant>
      <vt:variant>
        <vt:i4>4849671</vt:i4>
      </vt:variant>
      <vt:variant>
        <vt:i4>9</vt:i4>
      </vt:variant>
      <vt:variant>
        <vt:i4>0</vt:i4>
      </vt:variant>
      <vt:variant>
        <vt:i4>5</vt:i4>
      </vt:variant>
      <vt:variant>
        <vt:lpwstr>http://www.caricom.org/jsp/community/barbados.jsp?menu=community</vt:lpwstr>
      </vt:variant>
      <vt:variant>
        <vt:lpwstr/>
      </vt:variant>
      <vt:variant>
        <vt:i4>6619223</vt:i4>
      </vt:variant>
      <vt:variant>
        <vt:i4>6</vt:i4>
      </vt:variant>
      <vt:variant>
        <vt:i4>0</vt:i4>
      </vt:variant>
      <vt:variant>
        <vt:i4>5</vt:i4>
      </vt:variant>
      <vt:variant>
        <vt:lpwstr>http://www.caricom.org/jsp/community/bahamas.jsp?menu=community</vt:lpwstr>
      </vt:variant>
      <vt:variant>
        <vt:lpwstr/>
      </vt:variant>
      <vt:variant>
        <vt:i4>6684796</vt:i4>
      </vt:variant>
      <vt:variant>
        <vt:i4>3</vt:i4>
      </vt:variant>
      <vt:variant>
        <vt:i4>0</vt:i4>
      </vt:variant>
      <vt:variant>
        <vt:i4>5</vt:i4>
      </vt:variant>
      <vt:variant>
        <vt:lpwstr>http://www.caricom.org/jsp/community/antigua_barbuda.jsp?menu=community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Efectos sobre la Competitividad de Puerto Rico de Posibles Cambios en la Ley 600</dc:title>
  <dc:subject>Informe Final</dc:subject>
  <dc:creator>Autores: José Javier Colón Morera, Ángel L. Ruíz, Eileen V. Segarra Alméstica, Alicia Rodríguez Castro, Juan Lara Fontánez, Indira Luciano Montalvo</dc:creator>
  <cp:lastModifiedBy>Angel Ruiz</cp:lastModifiedBy>
  <cp:revision>2</cp:revision>
  <cp:lastPrinted>2014-03-15T00:02:00Z</cp:lastPrinted>
  <dcterms:created xsi:type="dcterms:W3CDTF">2014-04-10T18:33:00Z</dcterms:created>
  <dcterms:modified xsi:type="dcterms:W3CDTF">2014-04-10T18:33:00Z</dcterms:modified>
</cp:coreProperties>
</file>