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52" w:rsidRDefault="00F9573F">
      <w:pPr>
        <w:pStyle w:val="Title"/>
        <w:rPr>
          <w:rFonts w:ascii="Century Schoolbook" w:eastAsia="Century Schoolbook" w:hAnsi="Century Schoolbook" w:cs="Century Schoolbook"/>
        </w:rPr>
      </w:pPr>
      <w:bookmarkStart w:id="0" w:name="_GoBack"/>
      <w:bookmarkEnd w:id="0"/>
      <w:r>
        <w:rPr>
          <w:rFonts w:ascii="Century Schoolbook" w:eastAsia="Century Schoolbook" w:hAnsi="Century Schoolbook" w:cs="Century Schoolbook"/>
        </w:rPr>
        <w:t>ESTADO LIBRE ASOCIADO DE PUERTO RICO</w:t>
      </w:r>
    </w:p>
    <w:p w:rsidR="00C02152" w:rsidRDefault="00F9573F">
      <w:pPr>
        <w:jc w:val="center"/>
        <w:rPr>
          <w:rFonts w:ascii="Century Schoolbook" w:eastAsia="Century Schoolbook" w:hAnsi="Century Schoolbook" w:cs="Century Schoolbook"/>
        </w:rPr>
      </w:pPr>
      <w:r>
        <w:rPr>
          <w:rFonts w:ascii="Century Schoolbook" w:eastAsia="Century Schoolbook" w:hAnsi="Century Schoolbook" w:cs="Century Schoolbook"/>
          <w:b/>
        </w:rPr>
        <w:t>TRIBUNAL DE PRIMERA INSTANCIA</w:t>
      </w:r>
    </w:p>
    <w:p w:rsidR="00C02152" w:rsidRDefault="00F9573F">
      <w:pPr>
        <w:jc w:val="center"/>
        <w:rPr>
          <w:rFonts w:ascii="Century Schoolbook" w:eastAsia="Century Schoolbook" w:hAnsi="Century Schoolbook" w:cs="Century Schoolbook"/>
        </w:rPr>
      </w:pPr>
      <w:r>
        <w:rPr>
          <w:rFonts w:ascii="Century Schoolbook" w:eastAsia="Century Schoolbook" w:hAnsi="Century Schoolbook" w:cs="Century Schoolbook"/>
          <w:b/>
        </w:rPr>
        <w:t>SALA SUPERIOR DE SAN JUAN</w:t>
      </w:r>
    </w:p>
    <w:p w:rsidR="00C02152" w:rsidRDefault="00C02152">
      <w:pPr>
        <w:rPr>
          <w:rFonts w:ascii="Century Schoolbook" w:eastAsia="Century Schoolbook" w:hAnsi="Century Schoolbook" w:cs="Century Schoolbook"/>
          <w:u w:val="single"/>
        </w:rPr>
      </w:pPr>
    </w:p>
    <w:tbl>
      <w:tblPr>
        <w:tblStyle w:val="a3"/>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1"/>
        <w:gridCol w:w="3113"/>
      </w:tblGrid>
      <w:tr w:rsidR="00C02152">
        <w:trPr>
          <w:trHeight w:val="3812"/>
        </w:trPr>
        <w:tc>
          <w:tcPr>
            <w:tcW w:w="5941" w:type="dxa"/>
            <w:tcBorders>
              <w:top w:val="nil"/>
              <w:left w:val="nil"/>
              <w:bottom w:val="single" w:sz="24" w:space="0" w:color="000000"/>
              <w:right w:val="single" w:sz="24" w:space="0" w:color="000000"/>
            </w:tcBorders>
            <w:vAlign w:val="center"/>
          </w:tcPr>
          <w:p w:rsidR="00C02152" w:rsidRDefault="00F9573F">
            <w:pPr>
              <w:pBdr>
                <w:top w:val="nil"/>
                <w:left w:val="nil"/>
                <w:bottom w:val="nil"/>
                <w:right w:val="nil"/>
                <w:between w:val="nil"/>
              </w:pBdr>
              <w:jc w:val="center"/>
              <w:rPr>
                <w:rFonts w:ascii="Century Schoolbook" w:eastAsia="Century Schoolbook" w:hAnsi="Century Schoolbook" w:cs="Century Schoolbook"/>
                <w:b/>
              </w:rPr>
            </w:pPr>
            <w:r>
              <w:rPr>
                <w:rFonts w:ascii="Century Schoolbook" w:eastAsia="Century Schoolbook" w:hAnsi="Century Schoolbook" w:cs="Century Schoolbook"/>
                <w:b/>
              </w:rPr>
              <w:t>CENTRO DE PERIODISMO</w:t>
            </w:r>
          </w:p>
          <w:p w:rsidR="00C02152" w:rsidRDefault="00F9573F">
            <w:pPr>
              <w:jc w:val="center"/>
              <w:rPr>
                <w:rFonts w:ascii="Century Schoolbook" w:eastAsia="Century Schoolbook" w:hAnsi="Century Schoolbook" w:cs="Century Schoolbook"/>
              </w:rPr>
            </w:pPr>
            <w:r>
              <w:rPr>
                <w:rFonts w:ascii="Century Schoolbook" w:eastAsia="Century Schoolbook" w:hAnsi="Century Schoolbook" w:cs="Century Schoolbook"/>
                <w:b/>
              </w:rPr>
              <w:t>INVESTIGATIVO, INC.</w:t>
            </w:r>
          </w:p>
          <w:p w:rsidR="00C02152" w:rsidRDefault="00C02152">
            <w:pPr>
              <w:pBdr>
                <w:top w:val="nil"/>
                <w:left w:val="nil"/>
                <w:bottom w:val="nil"/>
                <w:right w:val="nil"/>
                <w:between w:val="nil"/>
              </w:pBdr>
              <w:jc w:val="center"/>
              <w:rPr>
                <w:rFonts w:ascii="Century Schoolbook" w:eastAsia="Century Schoolbook" w:hAnsi="Century Schoolbook" w:cs="Century Schoolbook"/>
                <w:color w:val="000000"/>
              </w:rPr>
            </w:pPr>
          </w:p>
          <w:p w:rsidR="00C02152" w:rsidRDefault="00F9573F">
            <w:pPr>
              <w:pBdr>
                <w:top w:val="nil"/>
                <w:left w:val="nil"/>
                <w:bottom w:val="nil"/>
                <w:right w:val="nil"/>
                <w:between w:val="nil"/>
              </w:pBdr>
              <w:jc w:val="cente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Peticionaria</w:t>
            </w:r>
          </w:p>
          <w:p w:rsidR="00C02152" w:rsidRDefault="00C02152">
            <w:pPr>
              <w:pBdr>
                <w:top w:val="nil"/>
                <w:left w:val="nil"/>
                <w:bottom w:val="nil"/>
                <w:right w:val="nil"/>
                <w:between w:val="nil"/>
              </w:pBdr>
              <w:jc w:val="center"/>
              <w:rPr>
                <w:rFonts w:ascii="Century Schoolbook" w:eastAsia="Century Schoolbook" w:hAnsi="Century Schoolbook" w:cs="Century Schoolbook"/>
                <w:color w:val="000000"/>
              </w:rPr>
            </w:pPr>
          </w:p>
          <w:p w:rsidR="00C02152" w:rsidRDefault="00F9573F">
            <w:pPr>
              <w:pBdr>
                <w:top w:val="nil"/>
                <w:left w:val="nil"/>
                <w:bottom w:val="nil"/>
                <w:right w:val="nil"/>
                <w:between w:val="nil"/>
              </w:pBdr>
              <w:jc w:val="cente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v.</w:t>
            </w:r>
          </w:p>
          <w:p w:rsidR="00C02152" w:rsidRDefault="00C02152">
            <w:pPr>
              <w:pBdr>
                <w:top w:val="nil"/>
                <w:left w:val="nil"/>
                <w:bottom w:val="nil"/>
                <w:right w:val="nil"/>
                <w:between w:val="nil"/>
              </w:pBdr>
              <w:jc w:val="center"/>
              <w:rPr>
                <w:rFonts w:ascii="Century Schoolbook" w:eastAsia="Century Schoolbook" w:hAnsi="Century Schoolbook" w:cs="Century Schoolbook"/>
                <w:color w:val="000000"/>
              </w:rPr>
            </w:pPr>
          </w:p>
          <w:p w:rsidR="00C02152" w:rsidRDefault="00F9573F">
            <w:pPr>
              <w:jc w:val="center"/>
              <w:rPr>
                <w:rFonts w:ascii="Century Schoolbook" w:eastAsia="Century Schoolbook" w:hAnsi="Century Schoolbook" w:cs="Century Schoolbook"/>
                <w:b/>
              </w:rPr>
            </w:pPr>
            <w:r>
              <w:rPr>
                <w:rFonts w:ascii="Century Schoolbook" w:eastAsia="Century Schoolbook" w:hAnsi="Century Schoolbook" w:cs="Century Schoolbook"/>
                <w:b/>
                <w:smallCaps/>
              </w:rPr>
              <w:t>ELIGIO HERNÁNDEZ PÉREZ</w:t>
            </w:r>
            <w:r>
              <w:rPr>
                <w:rFonts w:ascii="Century Schoolbook" w:eastAsia="Century Schoolbook" w:hAnsi="Century Schoolbook" w:cs="Century Schoolbook"/>
                <w:b/>
              </w:rPr>
              <w:t>, en su capacidad oficial como Secretario del DEPARTAMENTO DE EDUCACIÓN; ESTADO LIBRE ASOCIADO DE PUERTO RICO</w:t>
            </w:r>
          </w:p>
          <w:p w:rsidR="00C02152" w:rsidRDefault="00C02152">
            <w:pPr>
              <w:jc w:val="center"/>
              <w:rPr>
                <w:rFonts w:ascii="Century Schoolbook" w:eastAsia="Century Schoolbook" w:hAnsi="Century Schoolbook" w:cs="Century Schoolbook"/>
              </w:rPr>
            </w:pPr>
          </w:p>
          <w:p w:rsidR="00C02152" w:rsidRDefault="00F9573F">
            <w:pPr>
              <w:pBdr>
                <w:top w:val="nil"/>
                <w:left w:val="nil"/>
                <w:bottom w:val="nil"/>
                <w:right w:val="nil"/>
                <w:between w:val="nil"/>
              </w:pBdr>
              <w:jc w:val="cente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Promovid</w:t>
            </w:r>
            <w:r>
              <w:rPr>
                <w:rFonts w:ascii="Century Schoolbook" w:eastAsia="Century Schoolbook" w:hAnsi="Century Schoolbook" w:cs="Century Schoolbook"/>
              </w:rPr>
              <w:t>as</w:t>
            </w:r>
          </w:p>
        </w:tc>
        <w:tc>
          <w:tcPr>
            <w:tcW w:w="3113" w:type="dxa"/>
            <w:tcBorders>
              <w:top w:val="nil"/>
              <w:left w:val="single" w:sz="24" w:space="0" w:color="000000"/>
              <w:bottom w:val="nil"/>
              <w:right w:val="nil"/>
            </w:tcBorders>
            <w:vAlign w:val="center"/>
          </w:tcPr>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b/>
              </w:rPr>
              <w:t xml:space="preserve">Civil Núm.: </w:t>
            </w:r>
          </w:p>
          <w:p w:rsidR="00C02152" w:rsidRDefault="00C02152">
            <w:pPr>
              <w:rPr>
                <w:rFonts w:ascii="Century Schoolbook" w:eastAsia="Century Schoolbook" w:hAnsi="Century Schoolbook" w:cs="Century Schoolbook"/>
              </w:rPr>
            </w:pP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b/>
              </w:rPr>
              <w:t xml:space="preserve">Sala: </w:t>
            </w:r>
          </w:p>
          <w:p w:rsidR="00C02152" w:rsidRDefault="00C02152">
            <w:pPr>
              <w:rPr>
                <w:rFonts w:ascii="Century Schoolbook" w:eastAsia="Century Schoolbook" w:hAnsi="Century Schoolbook" w:cs="Century Schoolbook"/>
              </w:rPr>
            </w:pPr>
          </w:p>
          <w:p w:rsidR="00C02152" w:rsidRDefault="00C02152">
            <w:pPr>
              <w:rPr>
                <w:rFonts w:ascii="Century Schoolbook" w:eastAsia="Century Schoolbook" w:hAnsi="Century Schoolbook" w:cs="Century Schoolbook"/>
              </w:rPr>
            </w:pPr>
          </w:p>
          <w:p w:rsidR="00C02152" w:rsidRDefault="00C02152">
            <w:pPr>
              <w:rPr>
                <w:rFonts w:ascii="Century Schoolbook" w:eastAsia="Century Schoolbook" w:hAnsi="Century Schoolbook" w:cs="Century Schoolbook"/>
              </w:rPr>
            </w:pPr>
          </w:p>
          <w:p w:rsidR="00C02152" w:rsidRDefault="00C02152">
            <w:pPr>
              <w:rPr>
                <w:rFonts w:ascii="Century Schoolbook" w:eastAsia="Century Schoolbook" w:hAnsi="Century Schoolbook" w:cs="Century Schoolbook"/>
              </w:rPr>
            </w:pPr>
          </w:p>
          <w:p w:rsidR="00C02152" w:rsidRDefault="00C02152">
            <w:pPr>
              <w:rPr>
                <w:rFonts w:ascii="Century Schoolbook" w:eastAsia="Century Schoolbook" w:hAnsi="Century Schoolbook" w:cs="Century Schoolbook"/>
              </w:rPr>
            </w:pPr>
          </w:p>
          <w:p w:rsidR="00C02152" w:rsidRDefault="00C02152">
            <w:pPr>
              <w:rPr>
                <w:rFonts w:ascii="Century Schoolbook" w:eastAsia="Century Schoolbook" w:hAnsi="Century Schoolbook" w:cs="Century Schoolbook"/>
              </w:rPr>
            </w:pPr>
          </w:p>
          <w:p w:rsidR="00C02152" w:rsidRDefault="00C02152">
            <w:pPr>
              <w:rPr>
                <w:rFonts w:ascii="Century Schoolbook" w:eastAsia="Century Schoolbook" w:hAnsi="Century Schoolbook" w:cs="Century Schoolbook"/>
              </w:rPr>
            </w:pPr>
          </w:p>
          <w:p w:rsidR="00C02152" w:rsidRDefault="00C02152">
            <w:pPr>
              <w:rPr>
                <w:rFonts w:ascii="Century Schoolbook" w:eastAsia="Century Schoolbook" w:hAnsi="Century Schoolbook" w:cs="Century Schoolbook"/>
              </w:rPr>
            </w:pP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b/>
              </w:rPr>
              <w:t xml:space="preserve">Sobre: </w:t>
            </w:r>
            <w:r>
              <w:rPr>
                <w:rFonts w:ascii="Century Schoolbook" w:eastAsia="Century Schoolbook" w:hAnsi="Century Schoolbook" w:cs="Century Schoolbook"/>
                <w:i/>
              </w:rPr>
              <w:t>Mandamus</w:t>
            </w:r>
            <w:r>
              <w:rPr>
                <w:rFonts w:ascii="Century Schoolbook" w:eastAsia="Century Schoolbook" w:hAnsi="Century Schoolbook" w:cs="Century Schoolbook"/>
              </w:rPr>
              <w:t>; acceso a la información</w:t>
            </w:r>
          </w:p>
        </w:tc>
      </w:tr>
    </w:tbl>
    <w:p w:rsidR="00C02152" w:rsidRDefault="00C02152">
      <w:pPr>
        <w:rPr>
          <w:rFonts w:ascii="Century Schoolbook" w:eastAsia="Century Schoolbook" w:hAnsi="Century Schoolbook" w:cs="Century Schoolbook"/>
        </w:rPr>
      </w:pPr>
    </w:p>
    <w:p w:rsidR="00C02152" w:rsidRDefault="00F9573F">
      <w:pPr>
        <w:jc w:val="center"/>
        <w:rPr>
          <w:rFonts w:ascii="Century Schoolbook" w:eastAsia="Century Schoolbook" w:hAnsi="Century Schoolbook" w:cs="Century Schoolbook"/>
        </w:rPr>
      </w:pPr>
      <w:r>
        <w:rPr>
          <w:rFonts w:ascii="Century Schoolbook" w:eastAsia="Century Schoolbook" w:hAnsi="Century Schoolbook" w:cs="Century Schoolbook"/>
          <w:b/>
        </w:rPr>
        <w:t xml:space="preserve">PETICIÓN DE </w:t>
      </w:r>
      <w:r>
        <w:rPr>
          <w:rFonts w:ascii="Century Schoolbook" w:eastAsia="Century Schoolbook" w:hAnsi="Century Schoolbook" w:cs="Century Schoolbook"/>
          <w:b/>
          <w:i/>
        </w:rPr>
        <w:t>MANDAMUS</w:t>
      </w:r>
    </w:p>
    <w:p w:rsidR="00C02152" w:rsidRDefault="00C02152">
      <w:pPr>
        <w:rPr>
          <w:rFonts w:ascii="Century Schoolbook" w:eastAsia="Century Schoolbook" w:hAnsi="Century Schoolbook" w:cs="Century Schoolbook"/>
        </w:rPr>
      </w:pPr>
    </w:p>
    <w:p w:rsidR="00C02152" w:rsidRDefault="00F9573F">
      <w:pPr>
        <w:jc w:val="both"/>
        <w:rPr>
          <w:rFonts w:ascii="Century Schoolbook" w:eastAsia="Century Schoolbook" w:hAnsi="Century Schoolbook" w:cs="Century Schoolbook"/>
        </w:rPr>
      </w:pPr>
      <w:r>
        <w:rPr>
          <w:rFonts w:ascii="Century Schoolbook" w:eastAsia="Century Schoolbook" w:hAnsi="Century Schoolbook" w:cs="Century Schoolbook"/>
          <w:b/>
        </w:rPr>
        <w:t>AL TRIBUNAL:</w:t>
      </w:r>
    </w:p>
    <w:p w:rsidR="00C02152" w:rsidRDefault="00C02152">
      <w:pPr>
        <w:jc w:val="both"/>
        <w:rPr>
          <w:rFonts w:ascii="Century Schoolbook" w:eastAsia="Century Schoolbook" w:hAnsi="Century Schoolbook" w:cs="Century Schoolbook"/>
        </w:rPr>
      </w:pPr>
    </w:p>
    <w:p w:rsidR="00C02152" w:rsidRDefault="00F9573F">
      <w:pPr>
        <w:spacing w:line="480" w:lineRule="auto"/>
        <w:ind w:firstLine="360"/>
        <w:jc w:val="both"/>
        <w:rPr>
          <w:rFonts w:ascii="Century Schoolbook" w:eastAsia="Century Schoolbook" w:hAnsi="Century Schoolbook" w:cs="Century Schoolbook"/>
          <w:color w:val="000000"/>
        </w:rPr>
      </w:pPr>
      <w:r>
        <w:rPr>
          <w:rFonts w:ascii="Century Schoolbook" w:eastAsia="Century Schoolbook" w:hAnsi="Century Schoolbook" w:cs="Century Schoolbook"/>
          <w:b/>
        </w:rPr>
        <w:t xml:space="preserve">COMPARECE </w:t>
      </w:r>
      <w:r>
        <w:rPr>
          <w:rFonts w:ascii="Century Schoolbook" w:eastAsia="Century Schoolbook" w:hAnsi="Century Schoolbook" w:cs="Century Schoolbook"/>
        </w:rPr>
        <w:t xml:space="preserve">la parte peticionaria, el </w:t>
      </w:r>
      <w:r>
        <w:rPr>
          <w:rFonts w:ascii="Century Schoolbook" w:eastAsia="Century Schoolbook" w:hAnsi="Century Schoolbook" w:cs="Century Schoolbook"/>
          <w:b/>
        </w:rPr>
        <w:t>Centro de Periodismo Investigativo, Inc</w:t>
      </w:r>
      <w:r>
        <w:rPr>
          <w:rFonts w:ascii="Century Schoolbook" w:eastAsia="Century Schoolbook" w:hAnsi="Century Schoolbook" w:cs="Century Schoolbook"/>
        </w:rPr>
        <w:t xml:space="preserve">., por conducto de la representación legal que suscribe, y </w:t>
      </w:r>
      <w:r>
        <w:rPr>
          <w:rFonts w:ascii="Century Schoolbook" w:eastAsia="Century Schoolbook" w:hAnsi="Century Schoolbook" w:cs="Century Schoolbook"/>
          <w:b/>
        </w:rPr>
        <w:t>EXPONE</w:t>
      </w:r>
      <w:r>
        <w:rPr>
          <w:rFonts w:ascii="Century Schoolbook" w:eastAsia="Century Schoolbook" w:hAnsi="Century Schoolbook" w:cs="Century Schoolbook"/>
        </w:rPr>
        <w:t xml:space="preserve">, </w:t>
      </w:r>
      <w:r>
        <w:rPr>
          <w:rFonts w:ascii="Century Schoolbook" w:eastAsia="Century Schoolbook" w:hAnsi="Century Schoolbook" w:cs="Century Schoolbook"/>
          <w:b/>
        </w:rPr>
        <w:t>ALEGA</w:t>
      </w:r>
      <w:r>
        <w:rPr>
          <w:rFonts w:ascii="Century Schoolbook" w:eastAsia="Century Schoolbook" w:hAnsi="Century Schoolbook" w:cs="Century Schoolbook"/>
        </w:rPr>
        <w:t xml:space="preserve"> y </w:t>
      </w:r>
      <w:r>
        <w:rPr>
          <w:rFonts w:ascii="Century Schoolbook" w:eastAsia="Century Schoolbook" w:hAnsi="Century Schoolbook" w:cs="Century Schoolbook"/>
          <w:b/>
        </w:rPr>
        <w:t>SOLICITA</w:t>
      </w:r>
      <w:r>
        <w:rPr>
          <w:rFonts w:ascii="Century Schoolbook" w:eastAsia="Century Schoolbook" w:hAnsi="Century Schoolbook" w:cs="Century Schoolbook"/>
        </w:rPr>
        <w:t>:</w:t>
      </w:r>
    </w:p>
    <w:p w:rsidR="00C02152" w:rsidRDefault="00F9573F">
      <w:pPr>
        <w:spacing w:line="480" w:lineRule="auto"/>
        <w:jc w:val="center"/>
        <w:rPr>
          <w:rFonts w:ascii="Century Schoolbook" w:eastAsia="Century Schoolbook" w:hAnsi="Century Schoolbook" w:cs="Century Schoolbook"/>
        </w:rPr>
      </w:pPr>
      <w:r>
        <w:rPr>
          <w:rFonts w:ascii="Century Schoolbook" w:eastAsia="Century Schoolbook" w:hAnsi="Century Schoolbook" w:cs="Century Schoolbook"/>
          <w:b/>
          <w:smallCaps/>
        </w:rPr>
        <w:t>I. JURISDICCIÓN Y COMPETENCIA DEL TRIBUNAL</w:t>
      </w:r>
    </w:p>
    <w:p w:rsidR="00C02152" w:rsidRDefault="00F9573F">
      <w:pPr>
        <w:spacing w:line="480" w:lineRule="auto"/>
        <w:ind w:left="360" w:hanging="360"/>
        <w:jc w:val="both"/>
        <w:rPr>
          <w:rFonts w:ascii="Century Schoolbook" w:eastAsia="Century Schoolbook" w:hAnsi="Century Schoolbook" w:cs="Century Schoolbook"/>
          <w:vertAlign w:val="superscript"/>
        </w:rPr>
      </w:pPr>
      <w:r>
        <w:rPr>
          <w:rFonts w:ascii="Century Schoolbook" w:eastAsia="Century Schoolbook" w:hAnsi="Century Schoolbook" w:cs="Century Schoolbook"/>
        </w:rPr>
        <w:t>1.1. La Sala Superior de San Juan del Tribunal de Primera Instancia es la sala con jurisdicción y competencia para entender en el caso de epígrafe en virtud de los Artículos 5.001, 5.003 y 5.005 de la Ley de la judicatura del Estado Libre Asociado de Puert</w:t>
      </w:r>
      <w:r>
        <w:rPr>
          <w:rFonts w:ascii="Century Schoolbook" w:eastAsia="Century Schoolbook" w:hAnsi="Century Schoolbook" w:cs="Century Schoolbook"/>
        </w:rPr>
        <w:t>o Rico de 2003, 4 LPRA §§ 25a, 25c, 25e (2019), los Artículos 649 al 661 del Código de Enjuiciamiento Civil, 32 LPRA §§ 3421-3433 (2019), y las Reglas 3.3 y 54 de las de Procedimiento Civil de Puerto Rico, 32 LPRA Ap. V, RR. 3.3, 54 (2019), toda vez que lo</w:t>
      </w:r>
      <w:r>
        <w:rPr>
          <w:rFonts w:ascii="Century Schoolbook" w:eastAsia="Century Schoolbook" w:hAnsi="Century Schoolbook" w:cs="Century Schoolbook"/>
        </w:rPr>
        <w:t>s hechos objeto de la presente petición ocurrieron en la jurisdicción de San Juan, Puerto Rico.</w:t>
      </w:r>
      <w:r>
        <w:rPr>
          <w:rFonts w:ascii="Century Schoolbook" w:eastAsia="Century Schoolbook" w:hAnsi="Century Schoolbook" w:cs="Century Schoolbook"/>
          <w:vertAlign w:val="superscript"/>
        </w:rPr>
        <w:footnoteReference w:id="1"/>
      </w:r>
    </w:p>
    <w:p w:rsidR="00C02152" w:rsidRDefault="00C02152">
      <w:pPr>
        <w:spacing w:line="480" w:lineRule="auto"/>
        <w:ind w:left="360" w:hanging="360"/>
        <w:jc w:val="both"/>
        <w:rPr>
          <w:rFonts w:ascii="Century Schoolbook" w:eastAsia="Century Schoolbook" w:hAnsi="Century Schoolbook" w:cs="Century Schoolbook"/>
          <w:vertAlign w:val="superscript"/>
        </w:rPr>
      </w:pPr>
    </w:p>
    <w:p w:rsidR="00C02152" w:rsidRDefault="00C02152">
      <w:pPr>
        <w:spacing w:line="480" w:lineRule="auto"/>
        <w:ind w:left="360" w:hanging="360"/>
        <w:jc w:val="both"/>
        <w:rPr>
          <w:rFonts w:ascii="Century Schoolbook" w:eastAsia="Century Schoolbook" w:hAnsi="Century Schoolbook" w:cs="Century Schoolbook"/>
          <w:vertAlign w:val="superscript"/>
        </w:rPr>
      </w:pPr>
    </w:p>
    <w:p w:rsidR="00C02152" w:rsidRDefault="00F9573F">
      <w:pPr>
        <w:spacing w:line="480" w:lineRule="auto"/>
        <w:jc w:val="center"/>
        <w:rPr>
          <w:rFonts w:ascii="Century Schoolbook" w:eastAsia="Century Schoolbook" w:hAnsi="Century Schoolbook" w:cs="Century Schoolbook"/>
        </w:rPr>
      </w:pPr>
      <w:r>
        <w:rPr>
          <w:rFonts w:ascii="Century Schoolbook" w:eastAsia="Century Schoolbook" w:hAnsi="Century Schoolbook" w:cs="Century Schoolbook"/>
          <w:b/>
          <w:smallCaps/>
        </w:rPr>
        <w:t>II. LAS PARTES</w:t>
      </w:r>
    </w:p>
    <w:p w:rsidR="00C02152" w:rsidRDefault="00F9573F">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lastRenderedPageBreak/>
        <w:t xml:space="preserve">2.1. La peticionaria, </w:t>
      </w:r>
      <w:r>
        <w:rPr>
          <w:rFonts w:ascii="Century Schoolbook" w:eastAsia="Century Schoolbook" w:hAnsi="Century Schoolbook" w:cs="Century Schoolbook"/>
          <w:b/>
          <w:color w:val="000000"/>
        </w:rPr>
        <w:t>CENTRO DE PERIODISMO INVESTIGATIVO, INC</w:t>
      </w:r>
      <w:r>
        <w:rPr>
          <w:rFonts w:ascii="Century Schoolbook" w:eastAsia="Century Schoolbook" w:hAnsi="Century Schoolbook" w:cs="Century Schoolbook"/>
          <w:color w:val="000000"/>
        </w:rPr>
        <w:t>.</w:t>
      </w:r>
      <w:r>
        <w:rPr>
          <w:rFonts w:ascii="Century Schoolbook" w:eastAsia="Century Schoolbook" w:hAnsi="Century Schoolbook" w:cs="Century Schoolbook"/>
          <w:b/>
          <w:color w:val="000000"/>
        </w:rPr>
        <w:t xml:space="preserve"> </w:t>
      </w:r>
      <w:r>
        <w:rPr>
          <w:rFonts w:ascii="Century Schoolbook" w:eastAsia="Century Schoolbook" w:hAnsi="Century Schoolbook" w:cs="Century Schoolbook"/>
          <w:color w:val="000000"/>
        </w:rPr>
        <w:t>(en adelante, CPI), es una corporación sin fines de lucro debidamente organizad</w:t>
      </w:r>
      <w:r>
        <w:rPr>
          <w:rFonts w:ascii="Century Schoolbook" w:eastAsia="Century Schoolbook" w:hAnsi="Century Schoolbook" w:cs="Century Schoolbook"/>
          <w:color w:val="000000"/>
        </w:rPr>
        <w:t>a bajo las leyes del Estado Libre Asociado de Puerto Rico. Su Directora Ejecutiva es la periodista Carla Minet Santos Santiago (en adelante, Santos Santiago). Su dirección es: PO Box 6834, San Juan, Puerto Rico 00914-6834. Su teléfono es el (787) 751-1912,</w:t>
      </w:r>
      <w:r>
        <w:rPr>
          <w:rFonts w:ascii="Century Schoolbook" w:eastAsia="Century Schoolbook" w:hAnsi="Century Schoolbook" w:cs="Century Schoolbook"/>
          <w:color w:val="000000"/>
        </w:rPr>
        <w:t xml:space="preserve"> ext. 3022.</w:t>
      </w:r>
    </w:p>
    <w:p w:rsidR="00C02152" w:rsidRDefault="00F9573F">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2.2. El CPI se dedica, entre otras cosas, a la realización de investigaciones periodísticas y a la publicación de reportajes producto de tales investigaciones. Su página web es: </w:t>
      </w:r>
      <w:hyperlink r:id="rId9">
        <w:r>
          <w:rPr>
            <w:rFonts w:ascii="Century Schoolbook" w:eastAsia="Century Schoolbook" w:hAnsi="Century Schoolbook" w:cs="Century Schoolbook"/>
            <w:color w:val="0000FF"/>
            <w:u w:val="single"/>
          </w:rPr>
          <w:t>http://peri</w:t>
        </w:r>
        <w:r>
          <w:rPr>
            <w:rFonts w:ascii="Century Schoolbook" w:eastAsia="Century Schoolbook" w:hAnsi="Century Schoolbook" w:cs="Century Schoolbook"/>
            <w:color w:val="0000FF"/>
            <w:u w:val="single"/>
          </w:rPr>
          <w:t>odismoinvestigativo.com/</w:t>
        </w:r>
      </w:hyperlink>
      <w:r>
        <w:rPr>
          <w:rFonts w:ascii="Century Schoolbook" w:eastAsia="Century Schoolbook" w:hAnsi="Century Schoolbook" w:cs="Century Schoolbook"/>
          <w:color w:val="000000"/>
        </w:rPr>
        <w:t xml:space="preserve"> (última visita el </w:t>
      </w:r>
      <w:r>
        <w:rPr>
          <w:rFonts w:ascii="Century Schoolbook" w:eastAsia="Century Schoolbook" w:hAnsi="Century Schoolbook" w:cs="Century Schoolbook"/>
        </w:rPr>
        <w:t>27 de mayo de 2020</w:t>
      </w:r>
      <w:r>
        <w:rPr>
          <w:rFonts w:ascii="Century Schoolbook" w:eastAsia="Century Schoolbook" w:hAnsi="Century Schoolbook" w:cs="Century Schoolbook"/>
          <w:color w:val="000000"/>
        </w:rPr>
        <w:t>).</w:t>
      </w:r>
    </w:p>
    <w:p w:rsidR="00C02152" w:rsidRDefault="00F9573F">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2.3. El promovido, </w:t>
      </w:r>
      <w:r>
        <w:rPr>
          <w:rFonts w:ascii="Century Schoolbook" w:eastAsia="Century Schoolbook" w:hAnsi="Century Schoolbook" w:cs="Century Schoolbook"/>
          <w:b/>
          <w:smallCaps/>
        </w:rPr>
        <w:t>ELIGIO HERNÁNDEZ PÉREZ</w:t>
      </w:r>
      <w:r>
        <w:rPr>
          <w:rFonts w:ascii="Century Schoolbook" w:eastAsia="Century Schoolbook" w:hAnsi="Century Schoolbook" w:cs="Century Schoolbook"/>
          <w:color w:val="000000"/>
        </w:rPr>
        <w:t xml:space="preserve">, es el </w:t>
      </w:r>
      <w:r>
        <w:rPr>
          <w:rFonts w:ascii="Century Schoolbook" w:eastAsia="Century Schoolbook" w:hAnsi="Century Schoolbook" w:cs="Century Schoolbook"/>
          <w:b/>
          <w:smallCaps/>
          <w:color w:val="000000"/>
        </w:rPr>
        <w:t>SECRETARIO</w:t>
      </w:r>
      <w:r>
        <w:rPr>
          <w:rFonts w:ascii="Century Schoolbook" w:eastAsia="Century Schoolbook" w:hAnsi="Century Schoolbook" w:cs="Century Schoolbook"/>
          <w:color w:val="000000"/>
        </w:rPr>
        <w:t xml:space="preserve"> del </w:t>
      </w:r>
      <w:r>
        <w:rPr>
          <w:rFonts w:ascii="Century Schoolbook" w:eastAsia="Century Schoolbook" w:hAnsi="Century Schoolbook" w:cs="Century Schoolbook"/>
          <w:b/>
          <w:smallCaps/>
          <w:color w:val="000000"/>
        </w:rPr>
        <w:t>DEPARTAMENTO DE EDUCACIÓN</w:t>
      </w:r>
      <w:r>
        <w:rPr>
          <w:rFonts w:ascii="Century Schoolbook" w:eastAsia="Century Schoolbook" w:hAnsi="Century Schoolbook" w:cs="Century Schoolbook"/>
          <w:color w:val="000000"/>
        </w:rPr>
        <w:t>. El Departamento de Educación, antes Departamento de Instrucción Pública, existe en virtud de la Secci</w:t>
      </w:r>
      <w:r>
        <w:rPr>
          <w:rFonts w:ascii="Century Schoolbook" w:eastAsia="Century Schoolbook" w:hAnsi="Century Schoolbook" w:cs="Century Schoolbook"/>
          <w:color w:val="000000"/>
        </w:rPr>
        <w:t xml:space="preserve">ón 6 del Artículo IV de la Constitución de Puerto Rico, </w:t>
      </w:r>
      <w:r>
        <w:rPr>
          <w:rFonts w:ascii="Century Schoolbook" w:eastAsia="Century Schoolbook" w:hAnsi="Century Schoolbook" w:cs="Century Schoolbook"/>
          <w:smallCaps/>
          <w:color w:val="000000"/>
        </w:rPr>
        <w:t>Const. PR</w:t>
      </w:r>
      <w:r>
        <w:rPr>
          <w:rFonts w:ascii="Century Schoolbook" w:eastAsia="Century Schoolbook" w:hAnsi="Century Schoolbook" w:cs="Century Schoolbook"/>
          <w:color w:val="000000"/>
        </w:rPr>
        <w:t xml:space="preserve">, Art IV, § 6, y sus políticas, así como las del Sistema de Educación Pública, se rigen por lo dispuesto en la Ley de reforma educativa de Puerto Rico, Ley Núm. 85-2018, 3 LPRA §§ 9801-9816c </w:t>
      </w:r>
      <w:r>
        <w:rPr>
          <w:rFonts w:ascii="Century Schoolbook" w:eastAsia="Century Schoolbook" w:hAnsi="Century Schoolbook" w:cs="Century Schoolbook"/>
          <w:color w:val="000000"/>
        </w:rPr>
        <w:t>(2019). Entre otras responsabilidades, el Secretario de Educación es “el administrador del Departamento y del Sistema de Educación Pública en Puerto Rico incluyendo, pero sin limitarse, a su organización, planificación, monitoreo y evaluación financiera, y</w:t>
      </w:r>
      <w:r>
        <w:rPr>
          <w:rFonts w:ascii="Century Schoolbook" w:eastAsia="Century Schoolbook" w:hAnsi="Century Schoolbook" w:cs="Century Schoolbook"/>
          <w:color w:val="000000"/>
        </w:rPr>
        <w:t xml:space="preserve"> actividades académicas y administrativas”. 3 LPRA § 9802c (2019).</w:t>
      </w:r>
    </w:p>
    <w:p w:rsidR="00C02152" w:rsidRDefault="00F9573F">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rPr>
        <w:t xml:space="preserve">2.4. </w:t>
      </w:r>
      <w:r>
        <w:rPr>
          <w:rFonts w:ascii="Century Schoolbook" w:eastAsia="Century Schoolbook" w:hAnsi="Century Schoolbook" w:cs="Century Schoolbook"/>
          <w:color w:val="000000"/>
        </w:rPr>
        <w:t xml:space="preserve">El promovido, </w:t>
      </w:r>
      <w:r>
        <w:rPr>
          <w:rFonts w:ascii="Century Schoolbook" w:eastAsia="Century Schoolbook" w:hAnsi="Century Schoolbook" w:cs="Century Schoolbook"/>
          <w:b/>
          <w:color w:val="000000"/>
        </w:rPr>
        <w:t>ESTADO LIBRE ASOCIADO DE PUERTO RICO (en adelante, ELA)</w:t>
      </w:r>
      <w:r>
        <w:rPr>
          <w:rFonts w:ascii="Century Schoolbook" w:eastAsia="Century Schoolbook" w:hAnsi="Century Schoolbook" w:cs="Century Schoolbook"/>
          <w:color w:val="000000"/>
        </w:rPr>
        <w:t>, es el ente jurídico gubernamental a nivel central, creado por la Constitución de Puerto Rico, y cuenta con capacidad para demandar y ser demandado. Se incluye al ELA en el presente pleito en atención a que el Departamento de Educación no cuenta con perso</w:t>
      </w:r>
      <w:r>
        <w:rPr>
          <w:rFonts w:ascii="Century Schoolbook" w:eastAsia="Century Schoolbook" w:hAnsi="Century Schoolbook" w:cs="Century Schoolbook"/>
          <w:color w:val="000000"/>
        </w:rPr>
        <w:t>nalidad jurídica separada del ELA. De conformidad con lo dispuesto en la Regla 4.4 de las de Procedimiento Civil, 32 LPRA Ap. V, R. 4.4 (2019), se diligencia la presente petición por conducto de la Secretaria de Justicia, la licenciada Dennise N. Longo Qui</w:t>
      </w:r>
      <w:r>
        <w:rPr>
          <w:rFonts w:ascii="Century Schoolbook" w:eastAsia="Century Schoolbook" w:hAnsi="Century Schoolbook" w:cs="Century Schoolbook"/>
          <w:color w:val="000000"/>
        </w:rPr>
        <w:t>ñones.</w:t>
      </w:r>
    </w:p>
    <w:p w:rsidR="00C02152" w:rsidRDefault="00F9573F">
      <w:pPr>
        <w:pBdr>
          <w:top w:val="nil"/>
          <w:left w:val="nil"/>
          <w:bottom w:val="nil"/>
          <w:right w:val="nil"/>
          <w:between w:val="nil"/>
        </w:pBdr>
        <w:spacing w:line="480" w:lineRule="auto"/>
        <w:ind w:hanging="360"/>
        <w:jc w:val="cente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lastRenderedPageBreak/>
        <w:t>III. LOS HECHOS</w:t>
      </w:r>
    </w:p>
    <w:p w:rsidR="00C02152" w:rsidRDefault="00F9573F">
      <w:pPr>
        <w:shd w:val="clear" w:color="auto" w:fill="FFFFFF"/>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3.1. Entre los meses de diciembre de 2019 y abril de 2020, la Sa. Tatiana Díaz Ramos, periodista del CPI, cursó varias comunicaciones electrónicas a al Sr. Hernández Pérez, por conducto del Sr. Aniel Bigio, Oficial de Prensa del Departamento de Educación (</w:t>
      </w:r>
      <w:r>
        <w:rPr>
          <w:rFonts w:ascii="Century Schoolbook" w:eastAsia="Century Schoolbook" w:hAnsi="Century Schoolbook" w:cs="Century Schoolbook"/>
        </w:rPr>
        <w:t>en adelante, DE), y al Sr. Álex Ramos, también Oficial de Prensa del DE), para solicitar información pública. En específico, a lo largo de esos meses, la Sa. Díaz Ramos solicitó, entre otras cosas, la siguiente información:</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1. La lista de las escuelas públ</w:t>
      </w:r>
      <w:r>
        <w:rPr>
          <w:rFonts w:ascii="Century Schoolbook" w:eastAsia="Century Schoolbook" w:hAnsi="Century Schoolbook" w:cs="Century Schoolbook"/>
        </w:rPr>
        <w:t>icas cerradas con posterioridad al paso del huracán María, con la indicación de cuáles escuelas fueron receptoras de los estudiantes de las cerradas y la cantidad de matrícula de ambas (cerradas y receptoras).</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2. Todas las inspecciones de escuelas posterio</w:t>
      </w:r>
      <w:r>
        <w:rPr>
          <w:rFonts w:ascii="Century Schoolbook" w:eastAsia="Century Schoolbook" w:hAnsi="Century Schoolbook" w:cs="Century Schoolbook"/>
        </w:rPr>
        <w:t xml:space="preserve">res al huracán María, ya que en el portal </w:t>
      </w:r>
      <w:r>
        <w:rPr>
          <w:rFonts w:ascii="Century Schoolbook" w:eastAsia="Century Schoolbook" w:hAnsi="Century Schoolbook" w:cs="Century Schoolbook"/>
          <w:i/>
        </w:rPr>
        <w:t>IntraEdu</w:t>
      </w:r>
      <w:r>
        <w:rPr>
          <w:rFonts w:ascii="Century Schoolbook" w:eastAsia="Century Schoolbook" w:hAnsi="Century Schoolbook" w:cs="Century Schoolbook"/>
        </w:rPr>
        <w:t xml:space="preserve"> del DE aparecen 537 de 1,032 inspecciones. </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3. El año de construcción de todas las escuelas públicas abiertas, así como el de las escuelas cerradas desde 2010, bajo la tutela de la Oficina para el Mejorami</w:t>
      </w:r>
      <w:r>
        <w:rPr>
          <w:rFonts w:ascii="Century Schoolbook" w:eastAsia="Century Schoolbook" w:hAnsi="Century Schoolbook" w:cs="Century Schoolbook"/>
        </w:rPr>
        <w:t>ento de las Escuelas Públicas (OMEP).</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4. El presupuesto del DE para el Año Fiscal 2019-2020, detallado por área, oficina o programa, y por escuela, que según el inciso (8) del Artículo 2.04 de la </w:t>
      </w:r>
      <w:r>
        <w:rPr>
          <w:rFonts w:ascii="Century Schoolbook" w:eastAsia="Century Schoolbook" w:hAnsi="Century Schoolbook" w:cs="Century Schoolbook"/>
          <w:i/>
        </w:rPr>
        <w:t>Ley de reforma educativa de Puerto Rico</w:t>
      </w:r>
      <w:r>
        <w:rPr>
          <w:rFonts w:ascii="Century Schoolbook" w:eastAsia="Century Schoolbook" w:hAnsi="Century Schoolbook" w:cs="Century Schoolbook"/>
        </w:rPr>
        <w:t>, Ley Núm. 85-2018, 3</w:t>
      </w:r>
      <w:r>
        <w:rPr>
          <w:rFonts w:ascii="Century Schoolbook" w:eastAsia="Century Schoolbook" w:hAnsi="Century Schoolbook" w:cs="Century Schoolbook"/>
        </w:rPr>
        <w:t xml:space="preserve"> LPRA § 9802c (2019), el Secretario del DE deberá publicar en la página cibernética del Departamento.</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5. Directorio u organigrama vigente del DE con sus oficinas y personal de contacto.</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6. Cantidad de auditores internos y nombres de las firmas contratadas </w:t>
      </w:r>
      <w:r>
        <w:rPr>
          <w:rFonts w:ascii="Century Schoolbook" w:eastAsia="Century Schoolbook" w:hAnsi="Century Schoolbook" w:cs="Century Schoolbook"/>
        </w:rPr>
        <w:t>para las auditorías anuales que debe hacer el DE.</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7. Lista de integrantes del “task force” presupuestario mencionado en la reunión de la Junta de Control Fiscal (en noviembre de 2019), los objetivos establecidos para el task force, y las fechas y actas de </w:t>
      </w:r>
      <w:r>
        <w:rPr>
          <w:rFonts w:ascii="Century Schoolbook" w:eastAsia="Century Schoolbook" w:hAnsi="Century Schoolbook" w:cs="Century Schoolbook"/>
        </w:rPr>
        <w:t>reuniones sostenidas.</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8. Cantidad de fondos federales que se han tenido que devolver del 2016 al presente.</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9. Desglose del uso de fondos de recuperación de huracán María por proyecto o escuela, incluyendo fondos provenientes de agencias federales distintas</w:t>
      </w:r>
      <w:r>
        <w:rPr>
          <w:rFonts w:ascii="Century Schoolbook" w:eastAsia="Century Schoolbook" w:hAnsi="Century Schoolbook" w:cs="Century Schoolbook"/>
        </w:rPr>
        <w:t xml:space="preserve"> a la Federal Emergency Management Agency (FEMA), como los fondos del Departamento de Educación federal identificados para asuntos de recuperación.</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10. El informe de incidentes de acoso en las escuelas para los años 2018 y 2019, que según el inciso (i.) de</w:t>
      </w:r>
      <w:r>
        <w:rPr>
          <w:rFonts w:ascii="Century Schoolbook" w:eastAsia="Century Schoolbook" w:hAnsi="Century Schoolbook" w:cs="Century Schoolbook"/>
        </w:rPr>
        <w:t xml:space="preserve">l Artículo 9.07 de la </w:t>
      </w:r>
      <w:r>
        <w:rPr>
          <w:rFonts w:ascii="Century Schoolbook" w:eastAsia="Century Schoolbook" w:hAnsi="Century Schoolbook" w:cs="Century Schoolbook"/>
          <w:i/>
        </w:rPr>
        <w:t>Ley de reforma educativa de Puerto Rico</w:t>
      </w:r>
      <w:r>
        <w:rPr>
          <w:rFonts w:ascii="Century Schoolbook" w:eastAsia="Century Schoolbook" w:hAnsi="Century Schoolbook" w:cs="Century Schoolbook"/>
        </w:rPr>
        <w:t>, Ley Núm. 85-2018, 3 LPRA § 9809f (2019), el Secretario del DE debe someter anualmente a la Asamblea Legislativa.</w:t>
      </w:r>
    </w:p>
    <w:p w:rsidR="00C02152" w:rsidRDefault="00C02152">
      <w:pPr>
        <w:spacing w:after="120"/>
        <w:ind w:left="360" w:right="360"/>
        <w:jc w:val="both"/>
        <w:rPr>
          <w:rFonts w:ascii="Century Schoolbook" w:eastAsia="Century Schoolbook" w:hAnsi="Century Schoolbook" w:cs="Century Schoolbook"/>
        </w:rPr>
      </w:pPr>
    </w:p>
    <w:p w:rsidR="00C02152" w:rsidRDefault="00F9573F">
      <w:pPr>
        <w:shd w:val="clear" w:color="auto" w:fill="FFFFFF"/>
        <w:spacing w:line="480" w:lineRule="auto"/>
        <w:ind w:left="360" w:hanging="360"/>
        <w:jc w:val="both"/>
        <w:rPr>
          <w:rFonts w:ascii="Century Schoolbook" w:eastAsia="Century Schoolbook" w:hAnsi="Century Schoolbook" w:cs="Century Schoolbook"/>
          <w:b/>
        </w:rPr>
      </w:pPr>
      <w:r>
        <w:rPr>
          <w:rFonts w:ascii="Century Schoolbook" w:eastAsia="Century Schoolbook" w:hAnsi="Century Schoolbook" w:cs="Century Schoolbook"/>
          <w:b/>
        </w:rPr>
        <w:t>Anejos 1-5 (correos electrónicos de la Sa. Díaz Ramos).</w:t>
      </w:r>
    </w:p>
    <w:p w:rsidR="00C02152" w:rsidRDefault="00F9573F">
      <w:pPr>
        <w:shd w:val="clear" w:color="auto" w:fill="FFFFFF"/>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3.</w:t>
      </w:r>
      <w:r>
        <w:rPr>
          <w:rFonts w:ascii="Century Schoolbook" w:eastAsia="Century Schoolbook" w:hAnsi="Century Schoolbook" w:cs="Century Schoolbook"/>
        </w:rPr>
        <w:t>2</w:t>
      </w:r>
      <w:r>
        <w:rPr>
          <w:rFonts w:ascii="Century Schoolbook" w:eastAsia="Century Schoolbook" w:hAnsi="Century Schoolbook" w:cs="Century Schoolbook"/>
          <w:color w:val="000000"/>
        </w:rPr>
        <w:t>. Pese a múltiples g</w:t>
      </w:r>
      <w:r>
        <w:rPr>
          <w:rFonts w:ascii="Century Schoolbook" w:eastAsia="Century Schoolbook" w:hAnsi="Century Schoolbook" w:cs="Century Schoolbook"/>
          <w:color w:val="000000"/>
        </w:rPr>
        <w:t xml:space="preserve">estiones de seguimiento realizadas por la Sa. Díaz Ramos durante </w:t>
      </w:r>
      <w:r>
        <w:rPr>
          <w:rFonts w:ascii="Century Schoolbook" w:eastAsia="Century Schoolbook" w:hAnsi="Century Schoolbook" w:cs="Century Schoolbook"/>
        </w:rPr>
        <w:t>los meses</w:t>
      </w:r>
      <w:r>
        <w:rPr>
          <w:rFonts w:ascii="Century Schoolbook" w:eastAsia="Century Schoolbook" w:hAnsi="Century Schoolbook" w:cs="Century Schoolbook"/>
          <w:color w:val="000000"/>
        </w:rPr>
        <w:t xml:space="preserve"> de </w:t>
      </w:r>
      <w:r>
        <w:rPr>
          <w:rFonts w:ascii="Century Schoolbook" w:eastAsia="Century Schoolbook" w:hAnsi="Century Schoolbook" w:cs="Century Schoolbook"/>
        </w:rPr>
        <w:t>enero y febrero</w:t>
      </w:r>
      <w:r>
        <w:rPr>
          <w:rFonts w:ascii="Century Schoolbook" w:eastAsia="Century Schoolbook" w:hAnsi="Century Schoolbook" w:cs="Century Schoolbook"/>
          <w:color w:val="000000"/>
        </w:rPr>
        <w:t xml:space="preserve"> de 2020, la parte promovida no </w:t>
      </w:r>
      <w:r>
        <w:rPr>
          <w:rFonts w:ascii="Century Schoolbook" w:eastAsia="Century Schoolbook" w:hAnsi="Century Schoolbook" w:cs="Century Schoolbook"/>
          <w:color w:val="000000"/>
        </w:rPr>
        <w:lastRenderedPageBreak/>
        <w:t xml:space="preserve">entregó la información solicitada. </w:t>
      </w:r>
      <w:r>
        <w:rPr>
          <w:rFonts w:ascii="Century Schoolbook" w:eastAsia="Century Schoolbook" w:hAnsi="Century Schoolbook" w:cs="Century Schoolbook"/>
          <w:b/>
        </w:rPr>
        <w:t>Anejos 6-9 (correos electrónicos de la Sa. Díaz Ramos); Declaración Jurada de la Sa. Díaz Ramos.</w:t>
      </w:r>
    </w:p>
    <w:p w:rsidR="00C02152" w:rsidRDefault="00F9573F">
      <w:pPr>
        <w:shd w:val="clear" w:color="auto" w:fill="FFFFFF"/>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3.</w:t>
      </w:r>
      <w:r>
        <w:rPr>
          <w:rFonts w:ascii="Century Schoolbook" w:eastAsia="Century Schoolbook" w:hAnsi="Century Schoolbook" w:cs="Century Schoolbook"/>
        </w:rPr>
        <w:t>3</w:t>
      </w:r>
      <w:r>
        <w:rPr>
          <w:rFonts w:ascii="Century Schoolbook" w:eastAsia="Century Schoolbook" w:hAnsi="Century Schoolbook" w:cs="Century Schoolbook"/>
          <w:color w:val="000000"/>
        </w:rPr>
        <w:t>. Ante la negativa a proveer la información solicitada, el 10 de marzo de 2020, el CPI, por conducto de la representación legal que aquí suscribe, cursó una nueva comunicación al Sr. Hernández Pérez, por conducto del Sr. Bigio y el Sr. Ramos, reiterand</w:t>
      </w:r>
      <w:r>
        <w:rPr>
          <w:rFonts w:ascii="Century Schoolbook" w:eastAsia="Century Schoolbook" w:hAnsi="Century Schoolbook" w:cs="Century Schoolbook"/>
          <w:color w:val="000000"/>
        </w:rPr>
        <w:t xml:space="preserve">o la solicitud de información. </w:t>
      </w:r>
      <w:r>
        <w:rPr>
          <w:rFonts w:ascii="Century Schoolbook" w:eastAsia="Century Schoolbook" w:hAnsi="Century Schoolbook" w:cs="Century Schoolbook"/>
          <w:b/>
        </w:rPr>
        <w:t>Anejo 10</w:t>
      </w:r>
      <w:r>
        <w:rPr>
          <w:rFonts w:ascii="Century Schoolbook" w:eastAsia="Century Schoolbook" w:hAnsi="Century Schoolbook" w:cs="Century Schoolbook"/>
        </w:rPr>
        <w:t>.</w:t>
      </w:r>
    </w:p>
    <w:p w:rsidR="00C02152" w:rsidRDefault="00F9573F">
      <w:pPr>
        <w:shd w:val="clear" w:color="auto" w:fill="FFFFFF"/>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3.4. Además de dar seguimiento a sus solicitudes previas durante los meses de marzo, abril y mayo de 2020, durante el mes de abril de 2020, la Sa. Díaz Ramos solicitó, además, que se le remitiera el plan para atende</w:t>
      </w:r>
      <w:r>
        <w:rPr>
          <w:rFonts w:ascii="Century Schoolbook" w:eastAsia="Century Schoolbook" w:hAnsi="Century Schoolbook" w:cs="Century Schoolbook"/>
        </w:rPr>
        <w:t>r las escuelas del Sur afectadas por los terremotos de enero de 2020, así como el número de usuarios únicos de las plataformas del DE para educación en línea luego que dicha agencia hizo su transición al modelo de educación en línea como resultado de la pa</w:t>
      </w:r>
      <w:r>
        <w:rPr>
          <w:rFonts w:ascii="Century Schoolbook" w:eastAsia="Century Schoolbook" w:hAnsi="Century Schoolbook" w:cs="Century Schoolbook"/>
        </w:rPr>
        <w:t xml:space="preserve">ndemia del COVID-19. </w:t>
      </w:r>
      <w:r>
        <w:rPr>
          <w:rFonts w:ascii="Century Schoolbook" w:eastAsia="Century Schoolbook" w:hAnsi="Century Schoolbook" w:cs="Century Schoolbook"/>
          <w:b/>
        </w:rPr>
        <w:t>Anejos 11-15 (correos electrónicos de la Sa. Díaz Ramos)</w:t>
      </w:r>
      <w:r>
        <w:rPr>
          <w:rFonts w:ascii="Century Schoolbook" w:eastAsia="Century Schoolbook" w:hAnsi="Century Schoolbook" w:cs="Century Schoolbook"/>
        </w:rPr>
        <w:t>.</w:t>
      </w:r>
    </w:p>
    <w:p w:rsidR="00C02152" w:rsidRDefault="00F9573F">
      <w:pPr>
        <w:shd w:val="clear" w:color="auto" w:fill="FFFFFF"/>
        <w:spacing w:line="480" w:lineRule="auto"/>
        <w:ind w:left="360" w:hanging="360"/>
        <w:jc w:val="both"/>
        <w:rPr>
          <w:rFonts w:ascii="Century Schoolbook" w:eastAsia="Century Schoolbook" w:hAnsi="Century Schoolbook" w:cs="Century Schoolbook"/>
        </w:rPr>
      </w:pPr>
      <w:bookmarkStart w:id="1" w:name="_heading=h.30j0zll" w:colFirst="0" w:colLast="0"/>
      <w:bookmarkEnd w:id="1"/>
      <w:r>
        <w:rPr>
          <w:rFonts w:ascii="Century Schoolbook" w:eastAsia="Century Schoolbook" w:hAnsi="Century Schoolbook" w:cs="Century Schoolbook"/>
        </w:rPr>
        <w:t xml:space="preserve">3.5. Al día de hoy, ninguna de las partes promovidas ha hecho entrega de los documentos solicitados al CPI. </w:t>
      </w:r>
      <w:r>
        <w:rPr>
          <w:rFonts w:ascii="Century Schoolbook" w:eastAsia="Century Schoolbook" w:hAnsi="Century Schoolbook" w:cs="Century Schoolbook"/>
          <w:i/>
        </w:rPr>
        <w:t>Véase</w:t>
      </w:r>
      <w:r>
        <w:rPr>
          <w:rFonts w:ascii="Century Schoolbook" w:eastAsia="Century Schoolbook" w:hAnsi="Century Schoolbook" w:cs="Century Schoolbook"/>
        </w:rPr>
        <w:t xml:space="preserve"> </w:t>
      </w:r>
      <w:r>
        <w:rPr>
          <w:rFonts w:ascii="Century Schoolbook" w:eastAsia="Century Schoolbook" w:hAnsi="Century Schoolbook" w:cs="Century Schoolbook"/>
          <w:b/>
        </w:rPr>
        <w:t>Declaración Jurada de la Sa. Díaz Ramos</w:t>
      </w:r>
      <w:r>
        <w:rPr>
          <w:rFonts w:ascii="Century Schoolbook" w:eastAsia="Century Schoolbook" w:hAnsi="Century Schoolbook" w:cs="Century Schoolbook"/>
        </w:rPr>
        <w:t xml:space="preserve">; </w:t>
      </w:r>
      <w:r>
        <w:rPr>
          <w:rFonts w:ascii="Century Schoolbook" w:eastAsia="Century Schoolbook" w:hAnsi="Century Schoolbook" w:cs="Century Schoolbook"/>
          <w:b/>
        </w:rPr>
        <w:t>Declaración Jurada de la Sa. Santos Santiago</w:t>
      </w:r>
      <w:r>
        <w:rPr>
          <w:rFonts w:ascii="Century Schoolbook" w:eastAsia="Century Schoolbook" w:hAnsi="Century Schoolbook" w:cs="Century Schoolbook"/>
        </w:rPr>
        <w:t>.</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3.6. Las partes contra las cuales se dirige el presente recurso de </w:t>
      </w:r>
      <w:r>
        <w:rPr>
          <w:rFonts w:ascii="Century Schoolbook" w:eastAsia="Century Schoolbook" w:hAnsi="Century Schoolbook" w:cs="Century Schoolbook"/>
          <w:i/>
        </w:rPr>
        <w:t>mandamus</w:t>
      </w:r>
      <w:r>
        <w:rPr>
          <w:rFonts w:ascii="Century Schoolbook" w:eastAsia="Century Schoolbook" w:hAnsi="Century Schoolbook" w:cs="Century Schoolbook"/>
        </w:rPr>
        <w:t xml:space="preserve"> tienen el deber ministerial de entregar la información solicitada.</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3.7. Los documentos, materiales e información solicitados por el CP</w:t>
      </w:r>
      <w:r>
        <w:rPr>
          <w:rFonts w:ascii="Century Schoolbook" w:eastAsia="Century Schoolbook" w:hAnsi="Century Schoolbook" w:cs="Century Schoolbook"/>
        </w:rPr>
        <w:t>I son originados, conservados y/o recibidos por el DE. Por lo tanto, son documentos y materiales públicos, a los cuales cualquier ciudadano puede tener acceso u obtener una copia si así lo solicita.</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3.8. Toda la información solicitada es información públic</w:t>
      </w:r>
      <w:r>
        <w:rPr>
          <w:rFonts w:ascii="Century Schoolbook" w:eastAsia="Century Schoolbook" w:hAnsi="Century Schoolbook" w:cs="Century Schoolbook"/>
        </w:rPr>
        <w:t>a y de alto interés público para el Pueblo de Puerto Rico.</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3.9. La información solicitada por el CPI no está protegida de forma alguna por confidencialidad o privilegio alguno, y tampoco está cobijada bajo alguna de las excepciones al derecho de acceso a l</w:t>
      </w:r>
      <w:r>
        <w:rPr>
          <w:rFonts w:ascii="Century Schoolbook" w:eastAsia="Century Schoolbook" w:hAnsi="Century Schoolbook" w:cs="Century Schoolbook"/>
        </w:rPr>
        <w:t>a información.</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3.10. Aún si las partes promovidas pudiesen invocar algún reclamo de confidencialidad o privilegio sobre la información solicitada, el interés </w:t>
      </w:r>
      <w:r>
        <w:rPr>
          <w:rFonts w:ascii="Century Schoolbook" w:eastAsia="Century Schoolbook" w:hAnsi="Century Schoolbook" w:cs="Century Schoolbook"/>
        </w:rPr>
        <w:lastRenderedPageBreak/>
        <w:t>público acceder a la información solicitada supera cualquier reclamo que pretenda limitar el acces</w:t>
      </w:r>
      <w:r>
        <w:rPr>
          <w:rFonts w:ascii="Century Schoolbook" w:eastAsia="Century Schoolbook" w:hAnsi="Century Schoolbook" w:cs="Century Schoolbook"/>
        </w:rPr>
        <w:t>o a la información de la ciudadanía en torno a este asunto.</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3.11. El CPI ha agotado todos los remedios administrativos disponibles para obtener la información solicitada sin obtener resultados positivos, y ha cumplido con el deber de hacer un requerimiento</w:t>
      </w:r>
      <w:r>
        <w:rPr>
          <w:rFonts w:ascii="Century Schoolbook" w:eastAsia="Century Schoolbook" w:hAnsi="Century Schoolbook" w:cs="Century Schoolbook"/>
        </w:rPr>
        <w:t xml:space="preserve"> previo a las partes promovidas.</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3.12. No existe otro remedio adecuado y eficaz en ley para que el CPI pueda obtener la información solicitada, por lo que es necesario que se expida el presente recurso de </w:t>
      </w:r>
      <w:r>
        <w:rPr>
          <w:rFonts w:ascii="Century Schoolbook" w:eastAsia="Century Schoolbook" w:hAnsi="Century Schoolbook" w:cs="Century Schoolbook"/>
          <w:i/>
        </w:rPr>
        <w:t>mandamus</w:t>
      </w:r>
      <w:r>
        <w:rPr>
          <w:rFonts w:ascii="Century Schoolbook" w:eastAsia="Century Schoolbook" w:hAnsi="Century Schoolbook" w:cs="Century Schoolbook"/>
        </w:rPr>
        <w:t xml:space="preserve"> para la obtención de dicha información.</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3.13. Las actuaciones y omisiones de las partes promovidas al negarse a proveer o poner a disposición del peticionario la información pública solicitada laceran el derecho del CPI al acceso a la información.</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3.14. Los derechos invocados por el CPI en el pr</w:t>
      </w:r>
      <w:r>
        <w:rPr>
          <w:rFonts w:ascii="Century Schoolbook" w:eastAsia="Century Schoolbook" w:hAnsi="Century Schoolbook" w:cs="Century Schoolbook"/>
        </w:rPr>
        <w:t>esente recurso surgen exclusivamente al amparo de la Constitución y las leyes del ELA.</w:t>
      </w:r>
    </w:p>
    <w:p w:rsidR="00C02152" w:rsidRDefault="00F9573F">
      <w:pPr>
        <w:spacing w:line="480" w:lineRule="auto"/>
        <w:ind w:left="360" w:hanging="360"/>
        <w:jc w:val="center"/>
        <w:rPr>
          <w:rFonts w:ascii="Century Schoolbook" w:eastAsia="Century Schoolbook" w:hAnsi="Century Schoolbook" w:cs="Century Schoolbook"/>
        </w:rPr>
      </w:pPr>
      <w:r>
        <w:rPr>
          <w:rFonts w:ascii="Century Schoolbook" w:eastAsia="Century Schoolbook" w:hAnsi="Century Schoolbook" w:cs="Century Schoolbook"/>
          <w:b/>
        </w:rPr>
        <w:t>IV. CAUSA DE ACCIÓN</w:t>
      </w:r>
    </w:p>
    <w:p w:rsidR="00C02152" w:rsidRDefault="00F9573F">
      <w:pPr>
        <w:spacing w:line="480" w:lineRule="auto"/>
        <w:ind w:left="360" w:hanging="360"/>
        <w:jc w:val="center"/>
        <w:rPr>
          <w:rFonts w:ascii="Century Schoolbook" w:eastAsia="Century Schoolbook" w:hAnsi="Century Schoolbook" w:cs="Century Schoolbook"/>
        </w:rPr>
      </w:pPr>
      <w:r>
        <w:rPr>
          <w:rFonts w:ascii="Century Schoolbook" w:eastAsia="Century Schoolbook" w:hAnsi="Century Schoolbook" w:cs="Century Schoolbook"/>
          <w:b/>
          <w:i/>
        </w:rPr>
        <w:t>A. Primera causa de acción – Mandamus</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4.1. El CPI acoge, adopta por referencia y hace formar parte de la presente causa de acción todos los hechos al</w:t>
      </w:r>
      <w:r>
        <w:rPr>
          <w:rFonts w:ascii="Century Schoolbook" w:eastAsia="Century Schoolbook" w:hAnsi="Century Schoolbook" w:cs="Century Schoolbook"/>
        </w:rPr>
        <w:t xml:space="preserve">egados en los párrafos 3.1 al </w:t>
      </w:r>
      <w:r>
        <w:rPr>
          <w:rFonts w:ascii="Century Schoolbook" w:eastAsia="Century Schoolbook" w:hAnsi="Century Schoolbook" w:cs="Century Schoolbook"/>
          <w:color w:val="000000"/>
        </w:rPr>
        <w:t>3.1</w:t>
      </w:r>
      <w:r>
        <w:rPr>
          <w:rFonts w:ascii="Century Schoolbook" w:eastAsia="Century Schoolbook" w:hAnsi="Century Schoolbook" w:cs="Century Schoolbook"/>
        </w:rPr>
        <w:t>4</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rPr>
        <w:t>de la presente petición.</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4.2. El Art. 649 del Código de Enjuiciamiento Civil define el auto de </w:t>
      </w:r>
      <w:r>
        <w:rPr>
          <w:rFonts w:ascii="Century Schoolbook" w:eastAsia="Century Schoolbook" w:hAnsi="Century Schoolbook" w:cs="Century Schoolbook"/>
          <w:i/>
        </w:rPr>
        <w:t>mandamus</w:t>
      </w:r>
      <w:r>
        <w:rPr>
          <w:rFonts w:ascii="Century Schoolbook" w:eastAsia="Century Schoolbook" w:hAnsi="Century Schoolbook" w:cs="Century Schoolbook"/>
        </w:rPr>
        <w:t xml:space="preserve"> como:</w:t>
      </w:r>
    </w:p>
    <w:p w:rsidR="00C02152" w:rsidRDefault="00F9573F">
      <w:pPr>
        <w:ind w:left="360" w:right="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[U]n auto altamente privilegiado dictado por el Tribunal Supremo del Estado Libre Asociado, o por el Tribunal d</w:t>
      </w:r>
      <w:r>
        <w:rPr>
          <w:rFonts w:ascii="Century Schoolbook" w:eastAsia="Century Schoolbook" w:hAnsi="Century Schoolbook" w:cs="Century Schoolbook"/>
          <w:color w:val="000000"/>
        </w:rPr>
        <w:t>e Primera Instancia de Puerto Rico, a nombre del Estado Libre Asociado de Puerto Rico, y dirigido a alguna persona o personas naturales, a una corporación o a un tribunal judicial de inferior categoría dentro de su jurisdicción requiriéndoles para el cumpl</w:t>
      </w:r>
      <w:r>
        <w:rPr>
          <w:rFonts w:ascii="Century Schoolbook" w:eastAsia="Century Schoolbook" w:hAnsi="Century Schoolbook" w:cs="Century Schoolbook"/>
          <w:color w:val="000000"/>
        </w:rPr>
        <w:t xml:space="preserve">imiento de algún acto que en dicho auto se exprese y que esté dentro de sus atribuciones o deberes. Dicho auto no confiere nueva autoridad y la parte a quien obliga deberá tener la facultad de poder cumplirlo. </w:t>
      </w:r>
    </w:p>
    <w:p w:rsidR="00C02152" w:rsidRDefault="00C02152">
      <w:pPr>
        <w:ind w:right="720"/>
        <w:jc w:val="both"/>
        <w:rPr>
          <w:rFonts w:ascii="Century Schoolbook" w:eastAsia="Century Schoolbook" w:hAnsi="Century Schoolbook" w:cs="Century Schoolbook"/>
        </w:rPr>
      </w:pPr>
    </w:p>
    <w:p w:rsidR="00C02152" w:rsidRDefault="00F9573F">
      <w:pPr>
        <w:spacing w:line="480" w:lineRule="auto"/>
        <w:ind w:left="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32 LPRA § 3421 (2019). </w:t>
      </w:r>
      <w:r>
        <w:rPr>
          <w:rFonts w:ascii="Century Schoolbook" w:eastAsia="Century Schoolbook" w:hAnsi="Century Schoolbook" w:cs="Century Schoolbook"/>
          <w:i/>
          <w:color w:val="000000"/>
        </w:rPr>
        <w:t>Véase también</w:t>
      </w:r>
      <w:r>
        <w:rPr>
          <w:rFonts w:ascii="Century Schoolbook" w:eastAsia="Century Schoolbook" w:hAnsi="Century Schoolbook" w:cs="Century Schoolbook"/>
          <w:color w:val="000000"/>
        </w:rPr>
        <w:t xml:space="preserve"> Regla 5</w:t>
      </w:r>
      <w:r>
        <w:rPr>
          <w:rFonts w:ascii="Century Schoolbook" w:eastAsia="Century Schoolbook" w:hAnsi="Century Schoolbook" w:cs="Century Schoolbook"/>
          <w:color w:val="000000"/>
        </w:rPr>
        <w:t xml:space="preserve">4 de las de Procedimiento Civil, 32 LPRA Ap. V, R. 54 (2019); </w:t>
      </w:r>
      <w:r>
        <w:rPr>
          <w:rFonts w:ascii="Century Schoolbook" w:eastAsia="Century Schoolbook" w:hAnsi="Century Schoolbook" w:cs="Century Schoolbook"/>
          <w:color w:val="000000"/>
          <w:u w:val="single"/>
        </w:rPr>
        <w:t>AMPR v. Srio. Educación</w:t>
      </w:r>
      <w:r>
        <w:rPr>
          <w:rFonts w:ascii="Century Schoolbook" w:eastAsia="Century Schoolbook" w:hAnsi="Century Schoolbook" w:cs="Century Schoolbook"/>
          <w:color w:val="000000"/>
        </w:rPr>
        <w:t xml:space="preserve">, 178 DPR 253 </w:t>
      </w:r>
      <w:r>
        <w:rPr>
          <w:rFonts w:ascii="Century Schoolbook" w:eastAsia="Century Schoolbook" w:hAnsi="Century Schoolbook" w:cs="Century Schoolbook"/>
          <w:color w:val="000000"/>
        </w:rPr>
        <w:lastRenderedPageBreak/>
        <w:t xml:space="preserve">(2010); </w:t>
      </w:r>
      <w:r>
        <w:rPr>
          <w:rFonts w:ascii="Century Schoolbook" w:eastAsia="Century Schoolbook" w:hAnsi="Century Schoolbook" w:cs="Century Schoolbook"/>
          <w:color w:val="000000"/>
          <w:u w:val="single"/>
        </w:rPr>
        <w:t>Báez Galib v. CEE II</w:t>
      </w:r>
      <w:r>
        <w:rPr>
          <w:rFonts w:ascii="Century Schoolbook" w:eastAsia="Century Schoolbook" w:hAnsi="Century Schoolbook" w:cs="Century Schoolbook"/>
          <w:color w:val="000000"/>
        </w:rPr>
        <w:t xml:space="preserve">, 152 DPR 382, 391-94 (2000); </w:t>
      </w:r>
      <w:r>
        <w:rPr>
          <w:rFonts w:ascii="Century Schoolbook" w:eastAsia="Century Schoolbook" w:hAnsi="Century Schoolbook" w:cs="Century Schoolbook"/>
          <w:color w:val="000000"/>
          <w:u w:val="single"/>
        </w:rPr>
        <w:t>Noriega v. Hernández Colón</w:t>
      </w:r>
      <w:r>
        <w:rPr>
          <w:rFonts w:ascii="Century Schoolbook" w:eastAsia="Century Schoolbook" w:hAnsi="Century Schoolbook" w:cs="Century Schoolbook"/>
          <w:color w:val="000000"/>
        </w:rPr>
        <w:t xml:space="preserve">, 135 DPR 406, 447-48 (1994). </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4.3. Por su parte, el Artículo 650 del mis</w:t>
      </w:r>
      <w:r>
        <w:rPr>
          <w:rFonts w:ascii="Century Schoolbook" w:eastAsia="Century Schoolbook" w:hAnsi="Century Schoolbook" w:cs="Century Schoolbook"/>
          <w:color w:val="000000"/>
        </w:rPr>
        <w:t>mo cuerpo normativo establece lo siguiente:</w:t>
      </w:r>
    </w:p>
    <w:p w:rsidR="00C02152" w:rsidRDefault="00F9573F">
      <w:pPr>
        <w:spacing w:after="240"/>
        <w:ind w:left="360" w:right="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El auto de </w:t>
      </w:r>
      <w:r>
        <w:rPr>
          <w:rFonts w:ascii="Century Schoolbook" w:eastAsia="Century Schoolbook" w:hAnsi="Century Schoolbook" w:cs="Century Schoolbook"/>
          <w:i/>
          <w:color w:val="000000"/>
        </w:rPr>
        <w:t>mandamus</w:t>
      </w:r>
      <w:r>
        <w:rPr>
          <w:rFonts w:ascii="Century Schoolbook" w:eastAsia="Century Schoolbook" w:hAnsi="Century Schoolbook" w:cs="Century Schoolbook"/>
          <w:color w:val="000000"/>
        </w:rPr>
        <w:t xml:space="preserve"> podrá dictarse por el Tribunal Supremo o por el Tribunal de Primera Instancia o por cualquiera de sus magistrados o jueces cuando se hallen en el ejercicio de sus funciones o en sus oficinas, </w:t>
      </w:r>
      <w:r>
        <w:rPr>
          <w:rFonts w:ascii="Century Schoolbook" w:eastAsia="Century Schoolbook" w:hAnsi="Century Schoolbook" w:cs="Century Schoolbook"/>
          <w:color w:val="000000"/>
        </w:rPr>
        <w:t>y se dirigirá a cualquier tribunal inferior, corporación, junta o persona obligada al cumplimiento de un acto que la ley particularmente ordene como un deber resultante de un empleo, cargo o función pública; pero aun cuando puede requerir a un tribunal inf</w:t>
      </w:r>
      <w:r>
        <w:rPr>
          <w:rFonts w:ascii="Century Schoolbook" w:eastAsia="Century Schoolbook" w:hAnsi="Century Schoolbook" w:cs="Century Schoolbook"/>
          <w:color w:val="000000"/>
        </w:rPr>
        <w:t xml:space="preserve">erior o a cualquiera de sus jueces para que adopte este criterio o para que proceda al desempeño de cualquiera de sus funciones, el auto no puede tener dominio sobre la discreción judicial. </w:t>
      </w:r>
    </w:p>
    <w:p w:rsidR="00C02152" w:rsidRDefault="00F9573F">
      <w:pPr>
        <w:spacing w:after="240"/>
        <w:ind w:left="360" w:right="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32 LPRA § 3422 (2019).</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4.4. De conformidad con lo anterior, el recurso solamente procede cuando el peticionario logra demostrar el incumplimiento de un deber ministerial de determinado funcionario público. </w:t>
      </w:r>
      <w:r>
        <w:rPr>
          <w:rFonts w:ascii="Century Schoolbook" w:eastAsia="Century Schoolbook" w:hAnsi="Century Schoolbook" w:cs="Century Schoolbook"/>
          <w:color w:val="000000"/>
          <w:u w:val="single"/>
        </w:rPr>
        <w:t>Noriega</w:t>
      </w:r>
      <w:r>
        <w:rPr>
          <w:rFonts w:ascii="Century Schoolbook" w:eastAsia="Century Schoolbook" w:hAnsi="Century Schoolbook" w:cs="Century Schoolbook"/>
          <w:color w:val="000000"/>
        </w:rPr>
        <w:t xml:space="preserve">, 135 DPR en la pág. 448. </w:t>
      </w:r>
      <w:r>
        <w:rPr>
          <w:rFonts w:ascii="Century Schoolbook" w:eastAsia="Century Schoolbook" w:hAnsi="Century Schoolbook" w:cs="Century Schoolbook"/>
          <w:i/>
          <w:color w:val="000000"/>
        </w:rPr>
        <w:t>Véase también</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color w:val="000000"/>
          <w:u w:val="single"/>
        </w:rPr>
        <w:t>AMPR</w:t>
      </w:r>
      <w:r>
        <w:rPr>
          <w:rFonts w:ascii="Century Schoolbook" w:eastAsia="Century Schoolbook" w:hAnsi="Century Schoolbook" w:cs="Century Schoolbook"/>
          <w:color w:val="000000"/>
        </w:rPr>
        <w:t>, 178 DPR en las págs.</w:t>
      </w:r>
      <w:r>
        <w:rPr>
          <w:rFonts w:ascii="Century Schoolbook" w:eastAsia="Century Schoolbook" w:hAnsi="Century Schoolbook" w:cs="Century Schoolbook"/>
          <w:color w:val="000000"/>
        </w:rPr>
        <w:t xml:space="preserve"> 263-64; </w:t>
      </w:r>
      <w:r>
        <w:rPr>
          <w:rFonts w:ascii="Century Schoolbook" w:eastAsia="Century Schoolbook" w:hAnsi="Century Schoolbook" w:cs="Century Schoolbook"/>
          <w:color w:val="000000"/>
          <w:u w:val="single"/>
        </w:rPr>
        <w:t>Díaz Saldaña v. Acevedo Vilá</w:t>
      </w:r>
      <w:r>
        <w:rPr>
          <w:rFonts w:ascii="Century Schoolbook" w:eastAsia="Century Schoolbook" w:hAnsi="Century Schoolbook" w:cs="Century Schoolbook"/>
          <w:color w:val="000000"/>
        </w:rPr>
        <w:t xml:space="preserve">, 168 DPR 359, 365 (2006) (Sentencia). </w:t>
      </w:r>
      <w:r>
        <w:rPr>
          <w:rFonts w:ascii="Century Schoolbook" w:eastAsia="Century Schoolbook" w:hAnsi="Century Schoolbook" w:cs="Century Schoolbook"/>
          <w:i/>
          <w:color w:val="000000"/>
        </w:rPr>
        <w:t>Véase además</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smallCaps/>
          <w:color w:val="000000"/>
        </w:rPr>
        <w:t>David Rivé Rivera, Recursos extraordinarios</w:t>
      </w:r>
      <w:r>
        <w:rPr>
          <w:rFonts w:ascii="Century Schoolbook" w:eastAsia="Century Schoolbook" w:hAnsi="Century Schoolbook" w:cs="Century Schoolbook"/>
          <w:color w:val="000000"/>
        </w:rPr>
        <w:t xml:space="preserve"> 107 (2da ed. rev. 1996).</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4.5. Según la jurisprudencia del Tribunal Supremo de Puerto Rico, un deber ministerial es “un debe</w:t>
      </w:r>
      <w:r>
        <w:rPr>
          <w:rFonts w:ascii="Century Schoolbook" w:eastAsia="Century Schoolbook" w:hAnsi="Century Schoolbook" w:cs="Century Schoolbook"/>
          <w:color w:val="000000"/>
        </w:rPr>
        <w:t xml:space="preserve">r impuesto por la ley que no permite discreción en su ejercicio, sino que es mandatorio o imperativo”. </w:t>
      </w:r>
      <w:r>
        <w:rPr>
          <w:rFonts w:ascii="Century Schoolbook" w:eastAsia="Century Schoolbook" w:hAnsi="Century Schoolbook" w:cs="Century Schoolbook"/>
          <w:color w:val="000000"/>
          <w:u w:val="single"/>
        </w:rPr>
        <w:t>Pagán v. Tower</w:t>
      </w:r>
      <w:r>
        <w:rPr>
          <w:rFonts w:ascii="Century Schoolbook" w:eastAsia="Century Schoolbook" w:hAnsi="Century Schoolbook" w:cs="Century Schoolbook"/>
          <w:color w:val="000000"/>
        </w:rPr>
        <w:t xml:space="preserve">, 35 DPR 1, 3 (1926). </w:t>
      </w:r>
      <w:r>
        <w:rPr>
          <w:rFonts w:ascii="Century Schoolbook" w:eastAsia="Century Schoolbook" w:hAnsi="Century Schoolbook" w:cs="Century Schoolbook"/>
          <w:i/>
          <w:color w:val="000000"/>
        </w:rPr>
        <w:t>Véase también</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color w:val="000000"/>
          <w:u w:val="single"/>
        </w:rPr>
        <w:t>AMPR</w:t>
      </w:r>
      <w:r>
        <w:rPr>
          <w:rFonts w:ascii="Century Schoolbook" w:eastAsia="Century Schoolbook" w:hAnsi="Century Schoolbook" w:cs="Century Schoolbook"/>
          <w:color w:val="000000"/>
        </w:rPr>
        <w:t xml:space="preserve">, 178 DPR en las págs. 263-64; </w:t>
      </w:r>
      <w:r>
        <w:rPr>
          <w:rFonts w:ascii="Century Schoolbook" w:eastAsia="Century Schoolbook" w:hAnsi="Century Schoolbook" w:cs="Century Schoolbook"/>
          <w:color w:val="000000"/>
          <w:u w:val="single"/>
        </w:rPr>
        <w:t>Díaz Saldaña</w:t>
      </w:r>
      <w:r>
        <w:rPr>
          <w:rFonts w:ascii="Century Schoolbook" w:eastAsia="Century Schoolbook" w:hAnsi="Century Schoolbook" w:cs="Century Schoolbook"/>
          <w:color w:val="000000"/>
        </w:rPr>
        <w:t xml:space="preserve">, 168 DPR en la pág. 365; </w:t>
      </w:r>
      <w:r>
        <w:rPr>
          <w:rFonts w:ascii="Century Schoolbook" w:eastAsia="Century Schoolbook" w:hAnsi="Century Schoolbook" w:cs="Century Schoolbook"/>
          <w:color w:val="000000"/>
          <w:u w:val="single"/>
        </w:rPr>
        <w:t>Álvarez de Choudens v. Tribuna</w:t>
      </w:r>
      <w:r>
        <w:rPr>
          <w:rFonts w:ascii="Century Schoolbook" w:eastAsia="Century Schoolbook" w:hAnsi="Century Schoolbook" w:cs="Century Schoolbook"/>
          <w:color w:val="000000"/>
          <w:u w:val="single"/>
        </w:rPr>
        <w:t>l Superior</w:t>
      </w:r>
      <w:r>
        <w:rPr>
          <w:rFonts w:ascii="Century Schoolbook" w:eastAsia="Century Schoolbook" w:hAnsi="Century Schoolbook" w:cs="Century Schoolbook"/>
          <w:color w:val="000000"/>
        </w:rPr>
        <w:t xml:space="preserve">, 103 DPR 235, 242 (1974); </w:t>
      </w:r>
      <w:r>
        <w:rPr>
          <w:rFonts w:ascii="Century Schoolbook" w:eastAsia="Century Schoolbook" w:hAnsi="Century Schoolbook" w:cs="Century Schoolbook"/>
          <w:color w:val="000000"/>
          <w:u w:val="single"/>
        </w:rPr>
        <w:t>Rodríguez Carlo v. García Ramírez</w:t>
      </w:r>
      <w:r>
        <w:rPr>
          <w:rFonts w:ascii="Century Schoolbook" w:eastAsia="Century Schoolbook" w:hAnsi="Century Schoolbook" w:cs="Century Schoolbook"/>
          <w:color w:val="000000"/>
        </w:rPr>
        <w:t xml:space="preserve">, 35 DPR 381, 384 (1926). </w:t>
      </w:r>
      <w:r>
        <w:rPr>
          <w:rFonts w:ascii="Century Schoolbook" w:eastAsia="Century Schoolbook" w:hAnsi="Century Schoolbook" w:cs="Century Schoolbook"/>
          <w:i/>
          <w:color w:val="000000"/>
        </w:rPr>
        <w:t>Véase además</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smallCaps/>
          <w:color w:val="000000"/>
        </w:rPr>
        <w:t xml:space="preserve">Rivé Rivera, </w:t>
      </w:r>
      <w:r>
        <w:rPr>
          <w:rFonts w:ascii="Century Schoolbook" w:eastAsia="Century Schoolbook" w:hAnsi="Century Schoolbook" w:cs="Century Schoolbook"/>
          <w:i/>
          <w:color w:val="000000"/>
        </w:rPr>
        <w:t>supra</w:t>
      </w:r>
      <w:r>
        <w:rPr>
          <w:rFonts w:ascii="Century Schoolbook" w:eastAsia="Century Schoolbook" w:hAnsi="Century Schoolbook" w:cs="Century Schoolbook"/>
          <w:color w:val="000000"/>
        </w:rPr>
        <w:t>, en la pág. 107.</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4.6. No obstante, el Tribunal ha señalado que el “deber ministerial, aunque inmanente al auto de </w:t>
      </w:r>
      <w:r>
        <w:rPr>
          <w:rFonts w:ascii="Century Schoolbook" w:eastAsia="Century Schoolbook" w:hAnsi="Century Schoolbook" w:cs="Century Schoolbook"/>
          <w:i/>
          <w:color w:val="000000"/>
        </w:rPr>
        <w:t>mandamus</w:t>
      </w:r>
      <w:r>
        <w:rPr>
          <w:rFonts w:ascii="Century Schoolbook" w:eastAsia="Century Schoolbook" w:hAnsi="Century Schoolbook" w:cs="Century Schoolbook"/>
          <w:color w:val="000000"/>
        </w:rPr>
        <w:t>, no t</w:t>
      </w:r>
      <w:r>
        <w:rPr>
          <w:rFonts w:ascii="Century Schoolbook" w:eastAsia="Century Schoolbook" w:hAnsi="Century Schoolbook" w:cs="Century Schoolbook"/>
          <w:color w:val="000000"/>
        </w:rPr>
        <w:t xml:space="preserve">iene que ser necesariamente expreso, pues tal supuesto reduciría la función exclusiva de este Tribunal de interpretar la Constitución y las leyes”. </w:t>
      </w:r>
      <w:r>
        <w:rPr>
          <w:rFonts w:ascii="Century Schoolbook" w:eastAsia="Century Schoolbook" w:hAnsi="Century Schoolbook" w:cs="Century Schoolbook"/>
          <w:color w:val="000000"/>
          <w:u w:val="single"/>
        </w:rPr>
        <w:t>AMPR</w:t>
      </w:r>
      <w:r>
        <w:rPr>
          <w:rFonts w:ascii="Century Schoolbook" w:eastAsia="Century Schoolbook" w:hAnsi="Century Schoolbook" w:cs="Century Schoolbook"/>
          <w:color w:val="000000"/>
        </w:rPr>
        <w:t xml:space="preserve">, 178 DPR en la pág. 264 (citando a </w:t>
      </w:r>
      <w:r>
        <w:rPr>
          <w:rFonts w:ascii="Century Schoolbook" w:eastAsia="Century Schoolbook" w:hAnsi="Century Schoolbook" w:cs="Century Schoolbook"/>
          <w:color w:val="000000"/>
          <w:u w:val="single"/>
        </w:rPr>
        <w:t>Hernández Agosto v. Romero Barceló</w:t>
      </w:r>
      <w:r>
        <w:rPr>
          <w:rFonts w:ascii="Century Schoolbook" w:eastAsia="Century Schoolbook" w:hAnsi="Century Schoolbook" w:cs="Century Schoolbook"/>
          <w:color w:val="000000"/>
        </w:rPr>
        <w:t xml:space="preserve">, 112 DPR 407, 418 (1982)). </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4.7. </w:t>
      </w:r>
      <w:r>
        <w:rPr>
          <w:rFonts w:ascii="Century Schoolbook" w:eastAsia="Century Schoolbook" w:hAnsi="Century Schoolbook" w:cs="Century Schoolbook"/>
          <w:color w:val="000000"/>
        </w:rPr>
        <w:t xml:space="preserve">Igualmente, el deber ministerial no tiene que surgir formalmente de una ley, pudiendo éste ser imperativo de la Constitución, un reglamento, o </w:t>
      </w:r>
      <w:r>
        <w:rPr>
          <w:rFonts w:ascii="Century Schoolbook" w:eastAsia="Century Schoolbook" w:hAnsi="Century Schoolbook" w:cs="Century Schoolbook"/>
          <w:color w:val="000000"/>
        </w:rPr>
        <w:lastRenderedPageBreak/>
        <w:t>cualquier otro documento normativo, abarcando cualquier fuente que tenga fuerza de ley y que obligue al funcionar</w:t>
      </w:r>
      <w:r>
        <w:rPr>
          <w:rFonts w:ascii="Century Schoolbook" w:eastAsia="Century Schoolbook" w:hAnsi="Century Schoolbook" w:cs="Century Schoolbook"/>
          <w:color w:val="000000"/>
        </w:rPr>
        <w:t>io en cuestión a realizar determinado acto.</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4.8. Por otra parte, la doctrina impone ciertas limitaciones respecto a la expedición del auto de </w:t>
      </w:r>
      <w:r>
        <w:rPr>
          <w:rFonts w:ascii="Century Schoolbook" w:eastAsia="Century Schoolbook" w:hAnsi="Century Schoolbook" w:cs="Century Schoolbook"/>
          <w:i/>
          <w:color w:val="000000"/>
        </w:rPr>
        <w:t>mandamus</w:t>
      </w:r>
      <w:r>
        <w:rPr>
          <w:rFonts w:ascii="Century Schoolbook" w:eastAsia="Century Schoolbook" w:hAnsi="Century Schoolbook" w:cs="Century Schoolbook"/>
          <w:color w:val="000000"/>
        </w:rPr>
        <w:t xml:space="preserve">. De tal manera, éste no puede ser emitido “en los casos en que se encuentre un recurso adecuado y eficaz </w:t>
      </w:r>
      <w:r>
        <w:rPr>
          <w:rFonts w:ascii="Century Schoolbook" w:eastAsia="Century Schoolbook" w:hAnsi="Century Schoolbook" w:cs="Century Schoolbook"/>
          <w:color w:val="000000"/>
        </w:rPr>
        <w:t xml:space="preserve">en el curso ordinario de la ley”. Art. 651, Código de Enjuiciamiento Civil, 32 LPRA § 3423 (2019); </w:t>
      </w:r>
      <w:r>
        <w:rPr>
          <w:rFonts w:ascii="Century Schoolbook" w:eastAsia="Century Schoolbook" w:hAnsi="Century Schoolbook" w:cs="Century Schoolbook"/>
          <w:color w:val="000000"/>
          <w:u w:val="single"/>
        </w:rPr>
        <w:t>Hernández Agosto v. Romero Barceló</w:t>
      </w:r>
      <w:r>
        <w:rPr>
          <w:rFonts w:ascii="Century Schoolbook" w:eastAsia="Century Schoolbook" w:hAnsi="Century Schoolbook" w:cs="Century Schoolbook"/>
          <w:color w:val="000000"/>
        </w:rPr>
        <w:t xml:space="preserve">, 112 DPR 407 (1982). Es decir, el auto de </w:t>
      </w:r>
      <w:r>
        <w:rPr>
          <w:rFonts w:ascii="Century Schoolbook" w:eastAsia="Century Schoolbook" w:hAnsi="Century Schoolbook" w:cs="Century Schoolbook"/>
          <w:i/>
          <w:color w:val="000000"/>
        </w:rPr>
        <w:t>mandamus</w:t>
      </w:r>
      <w:r>
        <w:rPr>
          <w:rFonts w:ascii="Century Schoolbook" w:eastAsia="Century Schoolbook" w:hAnsi="Century Schoolbook" w:cs="Century Schoolbook"/>
          <w:color w:val="000000"/>
        </w:rPr>
        <w:t xml:space="preserve"> sólo procede cuando “el derecho a exigir la inmediata ejecución de un a</w:t>
      </w:r>
      <w:r>
        <w:rPr>
          <w:rFonts w:ascii="Century Schoolbook" w:eastAsia="Century Schoolbook" w:hAnsi="Century Schoolbook" w:cs="Century Schoolbook"/>
          <w:color w:val="000000"/>
        </w:rPr>
        <w:t xml:space="preserve">cto sea evidente y aparezca que no se podrá dar ninguna excusa para no ejecutarlo”. Regla 54 Proc. Civ., 32 LPRA Ap. V., R. 54 (2019). </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4.9. De igual forma, se ha reconocido que debe existir un requerimiento previo por parte del peticionario hacia el deman</w:t>
      </w:r>
      <w:r>
        <w:rPr>
          <w:rFonts w:ascii="Century Schoolbook" w:eastAsia="Century Schoolbook" w:hAnsi="Century Schoolbook" w:cs="Century Schoolbook"/>
          <w:color w:val="000000"/>
        </w:rPr>
        <w:t xml:space="preserve">dado para que éste cumpla con el deber exigido, salvo algunas excepciones. </w:t>
      </w:r>
      <w:r>
        <w:rPr>
          <w:rFonts w:ascii="Century Schoolbook" w:eastAsia="Century Schoolbook" w:hAnsi="Century Schoolbook" w:cs="Century Schoolbook"/>
          <w:color w:val="000000"/>
          <w:u w:val="single"/>
        </w:rPr>
        <w:t>AMPR</w:t>
      </w:r>
      <w:r>
        <w:rPr>
          <w:rFonts w:ascii="Century Schoolbook" w:eastAsia="Century Schoolbook" w:hAnsi="Century Schoolbook" w:cs="Century Schoolbook"/>
          <w:color w:val="000000"/>
        </w:rPr>
        <w:t>, 178 DPR en la pág. 267.</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4.10. Finalmente, el Tribunal Supremo ha establecido que para expedir un recurso de </w:t>
      </w:r>
      <w:r>
        <w:rPr>
          <w:rFonts w:ascii="Century Schoolbook" w:eastAsia="Century Schoolbook" w:hAnsi="Century Schoolbook" w:cs="Century Schoolbook"/>
          <w:i/>
          <w:color w:val="000000"/>
        </w:rPr>
        <w:t>mandamus</w:t>
      </w:r>
      <w:r>
        <w:rPr>
          <w:rFonts w:ascii="Century Schoolbook" w:eastAsia="Century Schoolbook" w:hAnsi="Century Schoolbook" w:cs="Century Schoolbook"/>
          <w:color w:val="000000"/>
        </w:rPr>
        <w:t xml:space="preserve"> es menester atender si se plantean cuestiones de gran inte</w:t>
      </w:r>
      <w:r>
        <w:rPr>
          <w:rFonts w:ascii="Century Schoolbook" w:eastAsia="Century Schoolbook" w:hAnsi="Century Schoolbook" w:cs="Century Schoolbook"/>
          <w:color w:val="000000"/>
        </w:rPr>
        <w:t xml:space="preserve">rés público y la controversia levantada requiere una pronta y rápida solución; y si el peticionario tiene un interés especial en el derecho que reclama, distinto al que pueda tener cualquier otro ciudadano. </w:t>
      </w:r>
      <w:r>
        <w:rPr>
          <w:rFonts w:ascii="Century Schoolbook" w:eastAsia="Century Schoolbook" w:hAnsi="Century Schoolbook" w:cs="Century Schoolbook"/>
          <w:color w:val="000000"/>
          <w:u w:val="single"/>
        </w:rPr>
        <w:t>Dávila v. Superintendente Elecciones</w:t>
      </w:r>
      <w:r>
        <w:rPr>
          <w:rFonts w:ascii="Century Schoolbook" w:eastAsia="Century Schoolbook" w:hAnsi="Century Schoolbook" w:cs="Century Schoolbook"/>
          <w:color w:val="000000"/>
        </w:rPr>
        <w:t>, 82 DPR 264,</w:t>
      </w:r>
      <w:r>
        <w:rPr>
          <w:rFonts w:ascii="Century Schoolbook" w:eastAsia="Century Schoolbook" w:hAnsi="Century Schoolbook" w:cs="Century Schoolbook"/>
          <w:color w:val="000000"/>
        </w:rPr>
        <w:t xml:space="preserve"> 274-75 (1960); </w:t>
      </w:r>
      <w:r>
        <w:rPr>
          <w:rFonts w:ascii="Century Schoolbook" w:eastAsia="Century Schoolbook" w:hAnsi="Century Schoolbook" w:cs="Century Schoolbook"/>
          <w:color w:val="000000"/>
          <w:u w:val="single"/>
        </w:rPr>
        <w:t>Acevedo Vilá v. Aponte Hernández</w:t>
      </w:r>
      <w:r>
        <w:rPr>
          <w:rFonts w:ascii="Century Schoolbook" w:eastAsia="Century Schoolbook" w:hAnsi="Century Schoolbook" w:cs="Century Schoolbook"/>
          <w:color w:val="000000"/>
        </w:rPr>
        <w:t>, 168 DPR 443 (2006).</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4.11. Por otra parte, el acceso a la información ha sido reconocido en Puerto Rico como un derecho humano y constitucional de rango fundamental. </w:t>
      </w:r>
      <w:r>
        <w:rPr>
          <w:rFonts w:ascii="Century Schoolbook" w:eastAsia="Century Schoolbook" w:hAnsi="Century Schoolbook" w:cs="Century Schoolbook"/>
          <w:u w:val="single"/>
        </w:rPr>
        <w:t>Bhatia Gautier v. Rosselló Nevares</w:t>
      </w:r>
      <w:r>
        <w:rPr>
          <w:rFonts w:ascii="Century Schoolbook" w:eastAsia="Century Schoolbook" w:hAnsi="Century Schoolbook" w:cs="Century Schoolbook"/>
        </w:rPr>
        <w:t xml:space="preserve">, 199 DPR 59, 80 (2017); </w:t>
      </w:r>
      <w:r>
        <w:rPr>
          <w:rFonts w:ascii="Century Schoolbook" w:eastAsia="Century Schoolbook" w:hAnsi="Century Schoolbook" w:cs="Century Schoolbook"/>
          <w:u w:val="single"/>
        </w:rPr>
        <w:t>Trans Ad PR v. Junta Subastas</w:t>
      </w:r>
      <w:r>
        <w:rPr>
          <w:rFonts w:ascii="Century Schoolbook" w:eastAsia="Century Schoolbook" w:hAnsi="Century Schoolbook" w:cs="Century Schoolbook"/>
        </w:rPr>
        <w:t xml:space="preserve">, 174 DPR 56, 67 (2008); </w:t>
      </w:r>
      <w:r>
        <w:rPr>
          <w:rFonts w:ascii="Century Schoolbook" w:eastAsia="Century Schoolbook" w:hAnsi="Century Schoolbook" w:cs="Century Schoolbook"/>
          <w:u w:val="single"/>
        </w:rPr>
        <w:t>Colón Cabrera v. Caribbean Petroleum</w:t>
      </w:r>
      <w:r>
        <w:rPr>
          <w:rFonts w:ascii="Century Schoolbook" w:eastAsia="Century Schoolbook" w:hAnsi="Century Schoolbook" w:cs="Century Schoolbook"/>
        </w:rPr>
        <w:t xml:space="preserve">, 170 DPR 582, 590 (2007); </w:t>
      </w:r>
      <w:r>
        <w:rPr>
          <w:rFonts w:ascii="Century Schoolbook" w:eastAsia="Century Schoolbook" w:hAnsi="Century Schoolbook" w:cs="Century Schoolbook"/>
          <w:u w:val="single"/>
        </w:rPr>
        <w:t>Ortiz v. Dir. Adm. Tribunales</w:t>
      </w:r>
      <w:r>
        <w:rPr>
          <w:rFonts w:ascii="Century Schoolbook" w:eastAsia="Century Schoolbook" w:hAnsi="Century Schoolbook" w:cs="Century Schoolbook"/>
        </w:rPr>
        <w:t xml:space="preserve">, 152 DPR 161, 175 (2000); </w:t>
      </w:r>
      <w:r>
        <w:rPr>
          <w:rFonts w:ascii="Century Schoolbook" w:eastAsia="Century Schoolbook" w:hAnsi="Century Schoolbook" w:cs="Century Schoolbook"/>
          <w:u w:val="single"/>
        </w:rPr>
        <w:t>Soto v. Srio. Justicia</w:t>
      </w:r>
      <w:r>
        <w:rPr>
          <w:rFonts w:ascii="Century Schoolbook" w:eastAsia="Century Schoolbook" w:hAnsi="Century Schoolbook" w:cs="Century Schoolbook"/>
        </w:rPr>
        <w:t>, 112 DPR 477 (1982).</w:t>
      </w:r>
      <w:r>
        <w:rPr>
          <w:rFonts w:ascii="Century Schoolbook" w:eastAsia="Century Schoolbook" w:hAnsi="Century Schoolbook" w:cs="Century Schoolbook"/>
          <w:color w:val="000000"/>
        </w:rPr>
        <w:t xml:space="preserve"> </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4.12. Dicho d</w:t>
      </w:r>
      <w:r>
        <w:rPr>
          <w:rFonts w:ascii="Century Schoolbook" w:eastAsia="Century Schoolbook" w:hAnsi="Century Schoolbook" w:cs="Century Schoolbook"/>
          <w:color w:val="000000"/>
        </w:rPr>
        <w:t xml:space="preserve">erecho emana de los derechos de libertad de expresión, prensa y asociación expresamente dispuestos en la Carta de Derechos de la </w:t>
      </w:r>
      <w:r>
        <w:rPr>
          <w:rFonts w:ascii="Century Schoolbook" w:eastAsia="Century Schoolbook" w:hAnsi="Century Schoolbook" w:cs="Century Schoolbook"/>
          <w:color w:val="000000"/>
        </w:rPr>
        <w:lastRenderedPageBreak/>
        <w:t xml:space="preserve">Constitución del Estado Libre Asociado de Puerto Rico. </w:t>
      </w:r>
      <w:r>
        <w:rPr>
          <w:rFonts w:ascii="Century Schoolbook" w:eastAsia="Century Schoolbook" w:hAnsi="Century Schoolbook" w:cs="Century Schoolbook"/>
          <w:smallCaps/>
          <w:color w:val="000000"/>
        </w:rPr>
        <w:t>Const. PR</w:t>
      </w:r>
      <w:r>
        <w:rPr>
          <w:rFonts w:ascii="Century Schoolbook" w:eastAsia="Century Schoolbook" w:hAnsi="Century Schoolbook" w:cs="Century Schoolbook"/>
          <w:color w:val="000000"/>
        </w:rPr>
        <w:t xml:space="preserve">, Art. II, § 4; </w:t>
      </w:r>
      <w:r>
        <w:rPr>
          <w:rFonts w:ascii="Century Schoolbook" w:eastAsia="Century Schoolbook" w:hAnsi="Century Schoolbook" w:cs="Century Schoolbook"/>
          <w:u w:val="single"/>
        </w:rPr>
        <w:t>Bhatia Gautier</w:t>
      </w:r>
      <w:r>
        <w:rPr>
          <w:rFonts w:ascii="Century Schoolbook" w:eastAsia="Century Schoolbook" w:hAnsi="Century Schoolbook" w:cs="Century Schoolbook"/>
        </w:rPr>
        <w:t xml:space="preserve">, 199 DPR en la pág. 80; </w:t>
      </w:r>
      <w:r>
        <w:rPr>
          <w:rFonts w:ascii="Century Schoolbook" w:eastAsia="Century Schoolbook" w:hAnsi="Century Schoolbook" w:cs="Century Schoolbook"/>
          <w:color w:val="000000"/>
          <w:u w:val="single"/>
        </w:rPr>
        <w:t>Trans Ad</w:t>
      </w:r>
      <w:r>
        <w:rPr>
          <w:rFonts w:ascii="Century Schoolbook" w:eastAsia="Century Schoolbook" w:hAnsi="Century Schoolbook" w:cs="Century Schoolbook"/>
          <w:color w:val="000000"/>
          <w:u w:val="single"/>
        </w:rPr>
        <w:t xml:space="preserve"> PR</w:t>
      </w:r>
      <w:r>
        <w:rPr>
          <w:rFonts w:ascii="Century Schoolbook" w:eastAsia="Century Schoolbook" w:hAnsi="Century Schoolbook" w:cs="Century Schoolbook"/>
          <w:color w:val="000000"/>
        </w:rPr>
        <w:t xml:space="preserve">, 174 DPR en la pág. 67; </w:t>
      </w:r>
      <w:r>
        <w:rPr>
          <w:rFonts w:ascii="Century Schoolbook" w:eastAsia="Century Schoolbook" w:hAnsi="Century Schoolbook" w:cs="Century Schoolbook"/>
          <w:color w:val="000000"/>
          <w:u w:val="single"/>
        </w:rPr>
        <w:t>Nieves v. Junta</w:t>
      </w:r>
      <w:r>
        <w:rPr>
          <w:rFonts w:ascii="Century Schoolbook" w:eastAsia="Century Schoolbook" w:hAnsi="Century Schoolbook" w:cs="Century Schoolbook"/>
          <w:color w:val="000000"/>
        </w:rPr>
        <w:t xml:space="preserve">, 160 DPR 97, 102 (2003); </w:t>
      </w:r>
      <w:r>
        <w:rPr>
          <w:rFonts w:ascii="Century Schoolbook" w:eastAsia="Century Schoolbook" w:hAnsi="Century Schoolbook" w:cs="Century Schoolbook"/>
          <w:color w:val="000000"/>
          <w:u w:val="single"/>
        </w:rPr>
        <w:t>Ortiz</w:t>
      </w:r>
      <w:r>
        <w:rPr>
          <w:rFonts w:ascii="Century Schoolbook" w:eastAsia="Century Schoolbook" w:hAnsi="Century Schoolbook" w:cs="Century Schoolbook"/>
          <w:color w:val="000000"/>
        </w:rPr>
        <w:t xml:space="preserve">, 152 DPR en la pág. 175; </w:t>
      </w:r>
      <w:r>
        <w:rPr>
          <w:rFonts w:ascii="Century Schoolbook" w:eastAsia="Century Schoolbook" w:hAnsi="Century Schoolbook" w:cs="Century Schoolbook"/>
          <w:color w:val="000000"/>
          <w:u w:val="single"/>
        </w:rPr>
        <w:t>Soto v. Srio. Justicia</w:t>
      </w:r>
      <w:r>
        <w:rPr>
          <w:rFonts w:ascii="Century Schoolbook" w:eastAsia="Century Schoolbook" w:hAnsi="Century Schoolbook" w:cs="Century Schoolbook"/>
          <w:color w:val="000000"/>
        </w:rPr>
        <w:t>, 112 DPR 477, 485 (1982).</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4.13. El derecho de acceso a la información pública es también reconocido en varios tratados internacionale</w:t>
      </w:r>
      <w:r>
        <w:rPr>
          <w:rFonts w:ascii="Century Schoolbook" w:eastAsia="Century Schoolbook" w:hAnsi="Century Schoolbook" w:cs="Century Schoolbook"/>
          <w:color w:val="000000"/>
        </w:rPr>
        <w:t>s como un derecho humano fundamental, que “posee un carácter facilitador del ejercicio de otros derechos humanos, es decir, el acceso a la información es, en muchos casos, imprescindible para que las personas puedan hacer efectivos otros derechos</w:t>
      </w:r>
      <w:r>
        <w:rPr>
          <w:rFonts w:ascii="Century Schoolbook" w:eastAsia="Century Schoolbook" w:hAnsi="Century Schoolbook" w:cs="Century Schoolbook"/>
        </w:rPr>
        <w:t>”</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rPr>
        <w:t>Comisió</w:t>
      </w:r>
      <w:r>
        <w:rPr>
          <w:rFonts w:ascii="Century Schoolbook" w:eastAsia="Century Schoolbook" w:hAnsi="Century Schoolbook" w:cs="Century Schoolbook"/>
        </w:rPr>
        <w:t xml:space="preserve">n Interamericana de Derechos Humanos, </w:t>
      </w:r>
      <w:r>
        <w:rPr>
          <w:rFonts w:ascii="Century Schoolbook" w:eastAsia="Century Schoolbook" w:hAnsi="Century Schoolbook" w:cs="Century Schoolbook"/>
          <w:i/>
        </w:rPr>
        <w:t>Acceso a la información, violencia contra las mujeres y la administración de la justicia en las Américas</w:t>
      </w:r>
      <w:r>
        <w:rPr>
          <w:rFonts w:ascii="Century Schoolbook" w:eastAsia="Century Schoolbook" w:hAnsi="Century Schoolbook" w:cs="Century Schoolbook"/>
        </w:rPr>
        <w:t xml:space="preserve"> (27 de marzo de 2015), en </w:t>
      </w:r>
      <w:hyperlink r:id="rId10">
        <w:r>
          <w:rPr>
            <w:rFonts w:ascii="Century Schoolbook" w:eastAsia="Century Schoolbook" w:hAnsi="Century Schoolbook" w:cs="Century Schoolbook"/>
            <w:color w:val="0000FF"/>
            <w:u w:val="single"/>
          </w:rPr>
          <w:t>htt</w:t>
        </w:r>
        <w:r>
          <w:rPr>
            <w:rFonts w:ascii="Century Schoolbook" w:eastAsia="Century Schoolbook" w:hAnsi="Century Schoolbook" w:cs="Century Schoolbook"/>
            <w:color w:val="0000FF"/>
            <w:u w:val="single"/>
          </w:rPr>
          <w:t>ps://www.oas.org/es/cidh/informes/pdfs/acceso-informacion.pdf</w:t>
        </w:r>
      </w:hyperlink>
      <w:r>
        <w:rPr>
          <w:rFonts w:ascii="Century Schoolbook" w:eastAsia="Century Schoolbook" w:hAnsi="Century Schoolbook" w:cs="Century Schoolbook"/>
        </w:rPr>
        <w:t xml:space="preserve"> (última visita el 27 de mayo de 2020). </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4.14. Tanto la Declaración Americana en su art. IV </w:t>
      </w:r>
      <w:r>
        <w:rPr>
          <w:rFonts w:ascii="Century Schoolbook" w:eastAsia="Century Schoolbook" w:hAnsi="Century Schoolbook" w:cs="Century Schoolbook"/>
        </w:rPr>
        <w:t>(“Toda persona tiene derecho a la libertad de investigación, de opinión y de expresión y difusión del p</w:t>
      </w:r>
      <w:r>
        <w:rPr>
          <w:rFonts w:ascii="Century Schoolbook" w:eastAsia="Century Schoolbook" w:hAnsi="Century Schoolbook" w:cs="Century Schoolbook"/>
        </w:rPr>
        <w:t>ensamiento por cualquier medio”.)</w:t>
      </w:r>
      <w:r>
        <w:rPr>
          <w:rFonts w:ascii="Century Schoolbook" w:eastAsia="Century Schoolbook" w:hAnsi="Century Schoolbook" w:cs="Century Schoolbook"/>
          <w:color w:val="000000"/>
        </w:rPr>
        <w:t xml:space="preserve">, como el Pacto Internacional de Derechos Civiles y Políticos, Art. 19 </w:t>
      </w:r>
      <w:r>
        <w:rPr>
          <w:rFonts w:ascii="Century Schoolbook" w:eastAsia="Century Schoolbook" w:hAnsi="Century Schoolbook" w:cs="Century Schoolbook"/>
        </w:rPr>
        <w:t xml:space="preserve">(“Toda persona tiene derecho a la libertad de expresión; este derecho comprende la libertad de buscar, recibir y difundir informaciones e ideas de toda </w:t>
      </w:r>
      <w:r>
        <w:rPr>
          <w:rFonts w:ascii="Century Schoolbook" w:eastAsia="Century Schoolbook" w:hAnsi="Century Schoolbook" w:cs="Century Schoolbook"/>
        </w:rPr>
        <w:t>índole, sin consideración de fronteras, ya sea oralmente, por escrito o en forma impresa o artística, o por cualquier otro procedimiento de su elección”.)</w:t>
      </w:r>
      <w:r>
        <w:rPr>
          <w:rFonts w:ascii="Century Schoolbook" w:eastAsia="Century Schoolbook" w:hAnsi="Century Schoolbook" w:cs="Century Schoolbook"/>
          <w:color w:val="000000"/>
        </w:rPr>
        <w:t>, generan obligaciones para Estados Unidos y sus territorios, exigiendo que la gestión estatal del gob</w:t>
      </w:r>
      <w:r>
        <w:rPr>
          <w:rFonts w:ascii="Century Schoolbook" w:eastAsia="Century Schoolbook" w:hAnsi="Century Schoolbook" w:cs="Century Schoolbook"/>
          <w:color w:val="000000"/>
        </w:rPr>
        <w:t xml:space="preserve">ierno de Puerto Rico se rija por “los principios de máxima divulgación y buena fe”. </w:t>
      </w:r>
      <w:r>
        <w:rPr>
          <w:rFonts w:ascii="Century Schoolbook" w:eastAsia="Century Schoolbook" w:hAnsi="Century Schoolbook" w:cs="Century Schoolbook"/>
        </w:rPr>
        <w:t xml:space="preserve">Com. Interamericana Derechos Humanos, </w:t>
      </w:r>
      <w:r>
        <w:rPr>
          <w:rFonts w:ascii="Century Schoolbook" w:eastAsia="Century Schoolbook" w:hAnsi="Century Schoolbook" w:cs="Century Schoolbook"/>
          <w:i/>
        </w:rPr>
        <w:t>El Derecho de Acceso a la Información en el marco jurídico Interamericano</w:t>
      </w:r>
      <w:r>
        <w:rPr>
          <w:rFonts w:ascii="Century Schoolbook" w:eastAsia="Century Schoolbook" w:hAnsi="Century Schoolbook" w:cs="Century Schoolbook"/>
        </w:rPr>
        <w:t xml:space="preserve"> (2da ed., 2011), en </w:t>
      </w:r>
      <w:hyperlink r:id="rId11">
        <w:r>
          <w:rPr>
            <w:rFonts w:ascii="Century Schoolbook" w:eastAsia="Century Schoolbook" w:hAnsi="Century Schoolbook" w:cs="Century Schoolbook"/>
            <w:color w:val="0000FF"/>
            <w:u w:val="single"/>
          </w:rPr>
          <w:t>https://www.oas.org/es/cidh/expresion/docs/publicaciones/acceso%20a%20la%20informacion%202012%202da%20edicion.pdf</w:t>
        </w:r>
      </w:hyperlink>
      <w:r>
        <w:rPr>
          <w:rFonts w:ascii="Century Schoolbook" w:eastAsia="Century Schoolbook" w:hAnsi="Century Schoolbook" w:cs="Century Schoolbook"/>
        </w:rPr>
        <w:t xml:space="preserve"> (última visita el 27 de mayo de 2020).</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4.15. De i</w:t>
      </w:r>
      <w:r>
        <w:rPr>
          <w:rFonts w:ascii="Century Schoolbook" w:eastAsia="Century Schoolbook" w:hAnsi="Century Schoolbook" w:cs="Century Schoolbook"/>
        </w:rPr>
        <w:t xml:space="preserve">gual forma, los principios 2 al 4 de la Declaración de Principios sobre Libertad de Expresión adoptada por la CIDH, reconocen la naturaleza </w:t>
      </w:r>
      <w:r>
        <w:rPr>
          <w:rFonts w:ascii="Century Schoolbook" w:eastAsia="Century Schoolbook" w:hAnsi="Century Schoolbook" w:cs="Century Schoolbook"/>
        </w:rPr>
        <w:lastRenderedPageBreak/>
        <w:t>fundamental del derecho de acceso a la información, e imponen a los Estados y sus territorios una obligación de máxi</w:t>
      </w:r>
      <w:r>
        <w:rPr>
          <w:rFonts w:ascii="Century Schoolbook" w:eastAsia="Century Schoolbook" w:hAnsi="Century Schoolbook" w:cs="Century Schoolbook"/>
        </w:rPr>
        <w:t xml:space="preserve">ma divulgación, que “sólo admite limitaciones excepcionales que deben estar establecidas previamente por la ley para el caso que exista un peligro real e inminente que amenace la seguridad nacional en sociedades democráticas”. </w:t>
      </w:r>
      <w:r>
        <w:rPr>
          <w:rFonts w:ascii="Century Schoolbook" w:eastAsia="Century Schoolbook" w:hAnsi="Century Schoolbook" w:cs="Century Schoolbook"/>
          <w:i/>
        </w:rPr>
        <w:t xml:space="preserve">Principios sobre Libertad de </w:t>
      </w:r>
      <w:r>
        <w:rPr>
          <w:rFonts w:ascii="Century Schoolbook" w:eastAsia="Century Schoolbook" w:hAnsi="Century Schoolbook" w:cs="Century Schoolbook"/>
          <w:i/>
        </w:rPr>
        <w:t>Expresión</w:t>
      </w:r>
      <w:r>
        <w:rPr>
          <w:rFonts w:ascii="Century Schoolbook" w:eastAsia="Century Schoolbook" w:hAnsi="Century Schoolbook" w:cs="Century Schoolbook"/>
        </w:rPr>
        <w:t xml:space="preserve">, </w:t>
      </w:r>
      <w:hyperlink r:id="rId12">
        <w:r>
          <w:rPr>
            <w:rFonts w:ascii="Century Schoolbook" w:eastAsia="Century Schoolbook" w:hAnsi="Century Schoolbook" w:cs="Century Schoolbook"/>
            <w:color w:val="0000FF"/>
            <w:u w:val="single"/>
          </w:rPr>
          <w:t>http://www.oas.org/es/cidh/mandato/Basicos/PrincipiosLE.asp</w:t>
        </w:r>
      </w:hyperlink>
      <w:r>
        <w:rPr>
          <w:rFonts w:ascii="Century Schoolbook" w:eastAsia="Century Schoolbook" w:hAnsi="Century Schoolbook" w:cs="Century Schoolbook"/>
        </w:rPr>
        <w:t xml:space="preserve"> (última visita el 27 de mayo de 2020).</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4.16. </w:t>
      </w:r>
      <w:r>
        <w:rPr>
          <w:rFonts w:ascii="Century Schoolbook" w:eastAsia="Century Schoolbook" w:hAnsi="Century Schoolbook" w:cs="Century Schoolbook"/>
        </w:rPr>
        <w:t>Además, la CIDH ha reiterado que el derecho de acceso a la información es una “herramienta legal para alcanzar la transparencia de los actos del Estado así también como medio de fiscalización y participación efectiva de todos los sectores de la sociedad si</w:t>
      </w:r>
      <w:r>
        <w:rPr>
          <w:rFonts w:ascii="Century Schoolbook" w:eastAsia="Century Schoolbook" w:hAnsi="Century Schoolbook" w:cs="Century Schoolbook"/>
        </w:rPr>
        <w:t xml:space="preserve">n discriminación”. CIDH, </w:t>
      </w:r>
      <w:r>
        <w:rPr>
          <w:rFonts w:ascii="Century Schoolbook" w:eastAsia="Century Schoolbook" w:hAnsi="Century Schoolbook" w:cs="Century Schoolbook"/>
          <w:i/>
        </w:rPr>
        <w:t>Acceso a la información, violencia contra las mujeres y la administración de la justicia en las Américas</w:t>
      </w:r>
      <w:r>
        <w:rPr>
          <w:rFonts w:ascii="Century Schoolbook" w:eastAsia="Century Schoolbook" w:hAnsi="Century Schoolbook" w:cs="Century Schoolbook"/>
        </w:rPr>
        <w:t xml:space="preserve">, </w:t>
      </w:r>
      <w:r>
        <w:rPr>
          <w:rFonts w:ascii="Century Schoolbook" w:eastAsia="Century Schoolbook" w:hAnsi="Century Schoolbook" w:cs="Century Schoolbook"/>
          <w:i/>
        </w:rPr>
        <w:t>supra</w:t>
      </w:r>
      <w:r>
        <w:rPr>
          <w:rFonts w:ascii="Century Schoolbook" w:eastAsia="Century Schoolbook" w:hAnsi="Century Schoolbook" w:cs="Century Schoolbook"/>
        </w:rPr>
        <w:t>, en la pág. 27.</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4.17. </w:t>
      </w:r>
      <w:r>
        <w:rPr>
          <w:rFonts w:ascii="Century Schoolbook" w:eastAsia="Century Schoolbook" w:hAnsi="Century Schoolbook" w:cs="Century Schoolbook"/>
        </w:rPr>
        <w:t>E</w:t>
      </w:r>
      <w:r>
        <w:rPr>
          <w:rFonts w:ascii="Century Schoolbook" w:eastAsia="Century Schoolbook" w:hAnsi="Century Schoolbook" w:cs="Century Schoolbook"/>
          <w:color w:val="000000"/>
        </w:rPr>
        <w:t>l derecho de acceso a la información t</w:t>
      </w:r>
      <w:r>
        <w:rPr>
          <w:rFonts w:ascii="Century Schoolbook" w:eastAsia="Century Schoolbook" w:hAnsi="Century Schoolbook" w:cs="Century Schoolbook"/>
        </w:rPr>
        <w:t xml:space="preserve">ambién </w:t>
      </w:r>
      <w:r>
        <w:rPr>
          <w:rFonts w:ascii="Century Schoolbook" w:eastAsia="Century Schoolbook" w:hAnsi="Century Schoolbook" w:cs="Century Schoolbook"/>
          <w:color w:val="000000"/>
        </w:rPr>
        <w:t>encuentra su justificación en los supuestos básicos</w:t>
      </w:r>
      <w:r>
        <w:rPr>
          <w:rFonts w:ascii="Century Schoolbook" w:eastAsia="Century Schoolbook" w:hAnsi="Century Schoolbook" w:cs="Century Schoolbook"/>
          <w:color w:val="000000"/>
        </w:rPr>
        <w:t xml:space="preserve"> de la vida en sociedades democráticas. </w:t>
      </w:r>
      <w:r>
        <w:rPr>
          <w:rFonts w:ascii="Century Schoolbook" w:eastAsia="Century Schoolbook" w:hAnsi="Century Schoolbook" w:cs="Century Schoolbook"/>
          <w:color w:val="000000"/>
          <w:u w:val="single"/>
        </w:rPr>
        <w:t>Colón Cabrera</w:t>
      </w:r>
      <w:r>
        <w:rPr>
          <w:rFonts w:ascii="Century Schoolbook" w:eastAsia="Century Schoolbook" w:hAnsi="Century Schoolbook" w:cs="Century Schoolbook"/>
          <w:color w:val="000000"/>
        </w:rPr>
        <w:t>, 170 DPR en la pág. 590 (“[E]l acceso a la información constituye un componente importante de una sociedad democrática, en donde el ciudadano puede emitir un juicio informado sobre las actuaciones del G</w:t>
      </w:r>
      <w:r>
        <w:rPr>
          <w:rFonts w:ascii="Century Schoolbook" w:eastAsia="Century Schoolbook" w:hAnsi="Century Schoolbook" w:cs="Century Schoolbook"/>
          <w:color w:val="000000"/>
        </w:rPr>
        <w:t>obierno</w:t>
      </w:r>
      <w:r>
        <w:rPr>
          <w:rFonts w:ascii="Century Schoolbook" w:eastAsia="Century Schoolbook" w:hAnsi="Century Schoolbook" w:cs="Century Schoolbook"/>
        </w:rPr>
        <w:t>”</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u w:val="single"/>
        </w:rPr>
        <w:t>Bhatia Gautier</w:t>
      </w:r>
      <w:r>
        <w:rPr>
          <w:rFonts w:ascii="Century Schoolbook" w:eastAsia="Century Schoolbook" w:hAnsi="Century Schoolbook" w:cs="Century Schoolbook"/>
        </w:rPr>
        <w:t>, 199 DPR en la pág. 80 (“El acceso a la información pública constituye un pilar fundamental en toda sociedad democrática”)</w:t>
      </w:r>
      <w:r>
        <w:rPr>
          <w:rFonts w:ascii="Century Schoolbook" w:eastAsia="Century Schoolbook" w:hAnsi="Century Schoolbook" w:cs="Century Schoolbook"/>
          <w:color w:val="000000"/>
        </w:rPr>
        <w:t>. Después de todo, “[s]in conocimiento de hechos no se puede juzgar; tampoco se puede exigir remedios a los</w:t>
      </w:r>
      <w:r>
        <w:rPr>
          <w:rFonts w:ascii="Century Schoolbook" w:eastAsia="Century Schoolbook" w:hAnsi="Century Schoolbook" w:cs="Century Schoolbook"/>
          <w:color w:val="000000"/>
        </w:rPr>
        <w:t xml:space="preserve"> agravios gubernamentales mediante los procedimientos judiciales o a través del proceso de las urnas cada cuatro (4) años”. </w:t>
      </w:r>
      <w:r>
        <w:rPr>
          <w:rFonts w:ascii="Century Schoolbook" w:eastAsia="Century Schoolbook" w:hAnsi="Century Schoolbook" w:cs="Century Schoolbook"/>
          <w:color w:val="000000"/>
          <w:u w:val="single"/>
        </w:rPr>
        <w:t>Soto</w:t>
      </w:r>
      <w:r>
        <w:rPr>
          <w:rFonts w:ascii="Century Schoolbook" w:eastAsia="Century Schoolbook" w:hAnsi="Century Schoolbook" w:cs="Century Schoolbook"/>
          <w:color w:val="000000"/>
        </w:rPr>
        <w:t xml:space="preserve">, 112 DPR en la pág. 485. </w:t>
      </w:r>
      <w:r>
        <w:rPr>
          <w:rFonts w:ascii="Century Schoolbook" w:eastAsia="Century Schoolbook" w:hAnsi="Century Schoolbook" w:cs="Century Schoolbook"/>
          <w:i/>
        </w:rPr>
        <w:t>Véase también</w:t>
      </w:r>
      <w:r>
        <w:rPr>
          <w:rFonts w:ascii="Century Schoolbook" w:eastAsia="Century Schoolbook" w:hAnsi="Century Schoolbook" w:cs="Century Schoolbook"/>
        </w:rPr>
        <w:t xml:space="preserve"> </w:t>
      </w:r>
      <w:r>
        <w:rPr>
          <w:rFonts w:ascii="Century Schoolbook" w:eastAsia="Century Schoolbook" w:hAnsi="Century Schoolbook" w:cs="Century Schoolbook"/>
          <w:u w:val="single"/>
        </w:rPr>
        <w:t>Bhatia Gautier</w:t>
      </w:r>
      <w:r>
        <w:rPr>
          <w:rFonts w:ascii="Century Schoolbook" w:eastAsia="Century Schoolbook" w:hAnsi="Century Schoolbook" w:cs="Century Schoolbook"/>
        </w:rPr>
        <w:t>, 199 DPR en las págs. 80-81.</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4.18. Visto de esta manera, el derecho al ac</w:t>
      </w:r>
      <w:r>
        <w:rPr>
          <w:rFonts w:ascii="Century Schoolbook" w:eastAsia="Century Schoolbook" w:hAnsi="Century Schoolbook" w:cs="Century Schoolbook"/>
          <w:color w:val="000000"/>
        </w:rPr>
        <w:t>ceso a la información sirve de garante de todo régimen que se hace llamar democrático. En palabras del profesor Efrén Rivera Ramos:</w:t>
      </w:r>
    </w:p>
    <w:p w:rsidR="00C02152" w:rsidRDefault="00F9573F">
      <w:pPr>
        <w:spacing w:after="240"/>
        <w:ind w:left="360" w:right="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Cualquiera que sea la definición que adscribamos al concepto “democracia”, su principio cardinal es que el poder político ha</w:t>
      </w:r>
      <w:r>
        <w:rPr>
          <w:rFonts w:ascii="Century Schoolbook" w:eastAsia="Century Schoolbook" w:hAnsi="Century Schoolbook" w:cs="Century Schoolbook"/>
          <w:color w:val="000000"/>
        </w:rPr>
        <w:t xml:space="preserve"> de residir en el pueblo y que los gobernantes ejercen sus funciones para el pueblo y </w:t>
      </w:r>
      <w:r>
        <w:rPr>
          <w:rFonts w:ascii="Century Schoolbook" w:eastAsia="Century Schoolbook" w:hAnsi="Century Schoolbook" w:cs="Century Schoolbook"/>
          <w:color w:val="000000"/>
        </w:rPr>
        <w:lastRenderedPageBreak/>
        <w:t>por mandato de éste. Mal podría gobernarse a sí mismo un pueblo que estuviere ajeno a cuan</w:t>
      </w:r>
      <w:r>
        <w:rPr>
          <w:rFonts w:ascii="Century Schoolbook" w:eastAsia="Century Schoolbook" w:hAnsi="Century Schoolbook" w:cs="Century Schoolbook"/>
        </w:rPr>
        <w:t>t</w:t>
      </w:r>
      <w:r>
        <w:rPr>
          <w:rFonts w:ascii="Century Schoolbook" w:eastAsia="Century Schoolbook" w:hAnsi="Century Schoolbook" w:cs="Century Schoolbook"/>
          <w:color w:val="000000"/>
        </w:rPr>
        <w:t>o sucede en la conducción de sus asuntos.</w:t>
      </w:r>
    </w:p>
    <w:p w:rsidR="00C02152" w:rsidRDefault="00F9573F">
      <w:pPr>
        <w:spacing w:line="480" w:lineRule="auto"/>
        <w:ind w:left="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Efrén Rivera Ramos, </w:t>
      </w:r>
      <w:r>
        <w:rPr>
          <w:rFonts w:ascii="Century Schoolbook" w:eastAsia="Century Schoolbook" w:hAnsi="Century Schoolbook" w:cs="Century Schoolbook"/>
          <w:i/>
          <w:color w:val="000000"/>
        </w:rPr>
        <w:t>La libertad de in</w:t>
      </w:r>
      <w:r>
        <w:rPr>
          <w:rFonts w:ascii="Century Schoolbook" w:eastAsia="Century Schoolbook" w:hAnsi="Century Schoolbook" w:cs="Century Schoolbook"/>
          <w:i/>
          <w:color w:val="000000"/>
        </w:rPr>
        <w:t>formación: Necesidad de su reglamentación en Puerto Rico</w:t>
      </w:r>
      <w:r>
        <w:rPr>
          <w:rFonts w:ascii="Century Schoolbook" w:eastAsia="Century Schoolbook" w:hAnsi="Century Schoolbook" w:cs="Century Schoolbook"/>
          <w:color w:val="000000"/>
        </w:rPr>
        <w:t xml:space="preserve">, 44 </w:t>
      </w:r>
      <w:r>
        <w:rPr>
          <w:rFonts w:ascii="Century Schoolbook" w:eastAsia="Century Schoolbook" w:hAnsi="Century Schoolbook" w:cs="Century Schoolbook"/>
          <w:smallCaps/>
          <w:color w:val="000000"/>
        </w:rPr>
        <w:t>Rev. Jur. UPR</w:t>
      </w:r>
      <w:r>
        <w:rPr>
          <w:rFonts w:ascii="Century Schoolbook" w:eastAsia="Century Schoolbook" w:hAnsi="Century Schoolbook" w:cs="Century Schoolbook"/>
          <w:color w:val="000000"/>
        </w:rPr>
        <w:t xml:space="preserve"> 67, 69 (1975). </w:t>
      </w:r>
      <w:r>
        <w:rPr>
          <w:rFonts w:ascii="Century Schoolbook" w:eastAsia="Century Schoolbook" w:hAnsi="Century Schoolbook" w:cs="Century Schoolbook"/>
          <w:i/>
          <w:color w:val="000000"/>
        </w:rPr>
        <w:t>Véase también</w:t>
      </w:r>
      <w:r>
        <w:rPr>
          <w:rFonts w:ascii="Century Schoolbook" w:eastAsia="Century Schoolbook" w:hAnsi="Century Schoolbook" w:cs="Century Schoolbook"/>
          <w:color w:val="000000"/>
        </w:rPr>
        <w:t xml:space="preserve"> Luis F. Estrella Martínez, </w:t>
      </w:r>
      <w:r>
        <w:rPr>
          <w:rFonts w:ascii="Century Schoolbook" w:eastAsia="Century Schoolbook" w:hAnsi="Century Schoolbook" w:cs="Century Schoolbook"/>
          <w:i/>
          <w:color w:val="000000"/>
        </w:rPr>
        <w:t>La libertad de información como elemento necesario para el Acceso a la Justicia</w:t>
      </w:r>
      <w:r>
        <w:rPr>
          <w:rFonts w:ascii="Century Schoolbook" w:eastAsia="Century Schoolbook" w:hAnsi="Century Schoolbook" w:cs="Century Schoolbook"/>
          <w:color w:val="000000"/>
        </w:rPr>
        <w:t xml:space="preserve">, 55 </w:t>
      </w:r>
      <w:r>
        <w:rPr>
          <w:rFonts w:ascii="Century Schoolbook" w:eastAsia="Century Schoolbook" w:hAnsi="Century Schoolbook" w:cs="Century Schoolbook"/>
          <w:smallCaps/>
          <w:color w:val="000000"/>
        </w:rPr>
        <w:t>Rev. Der. PR</w:t>
      </w:r>
      <w:r>
        <w:rPr>
          <w:rFonts w:ascii="Century Schoolbook" w:eastAsia="Century Schoolbook" w:hAnsi="Century Schoolbook" w:cs="Century Schoolbook"/>
          <w:color w:val="000000"/>
        </w:rPr>
        <w:t xml:space="preserve"> 23 (2016); Carlos Ramos Hern</w:t>
      </w:r>
      <w:r>
        <w:rPr>
          <w:rFonts w:ascii="Century Schoolbook" w:eastAsia="Century Schoolbook" w:hAnsi="Century Schoolbook" w:cs="Century Schoolbook"/>
          <w:color w:val="000000"/>
        </w:rPr>
        <w:t xml:space="preserve">ández, </w:t>
      </w:r>
      <w:r>
        <w:rPr>
          <w:rFonts w:ascii="Century Schoolbook" w:eastAsia="Century Schoolbook" w:hAnsi="Century Schoolbook" w:cs="Century Schoolbook"/>
          <w:i/>
          <w:color w:val="000000"/>
        </w:rPr>
        <w:t>Acceso a la información, transparencia y participación política</w:t>
      </w:r>
      <w:r>
        <w:rPr>
          <w:rFonts w:ascii="Century Schoolbook" w:eastAsia="Century Schoolbook" w:hAnsi="Century Schoolbook" w:cs="Century Schoolbook"/>
          <w:color w:val="000000"/>
        </w:rPr>
        <w:t xml:space="preserve">, 85 </w:t>
      </w:r>
      <w:r>
        <w:rPr>
          <w:rFonts w:ascii="Century Schoolbook" w:eastAsia="Century Schoolbook" w:hAnsi="Century Schoolbook" w:cs="Century Schoolbook"/>
          <w:smallCaps/>
          <w:color w:val="000000"/>
        </w:rPr>
        <w:t>Rev. Jur. UPR</w:t>
      </w:r>
      <w:r>
        <w:rPr>
          <w:rFonts w:ascii="Century Schoolbook" w:eastAsia="Century Schoolbook" w:hAnsi="Century Schoolbook" w:cs="Century Schoolbook"/>
          <w:color w:val="000000"/>
        </w:rPr>
        <w:t xml:space="preserve"> 1015 (2016); Érika Fontánez Torres, </w:t>
      </w:r>
      <w:r>
        <w:rPr>
          <w:rFonts w:ascii="Century Schoolbook" w:eastAsia="Century Schoolbook" w:hAnsi="Century Schoolbook" w:cs="Century Schoolbook"/>
          <w:i/>
          <w:color w:val="000000"/>
        </w:rPr>
        <w:t>El derecho a participar: Normas, estudios de caso y notas para una concreción</w:t>
      </w:r>
      <w:r>
        <w:rPr>
          <w:rFonts w:ascii="Century Schoolbook" w:eastAsia="Century Schoolbook" w:hAnsi="Century Schoolbook" w:cs="Century Schoolbook"/>
          <w:color w:val="000000"/>
        </w:rPr>
        <w:t xml:space="preserve">, 68 </w:t>
      </w:r>
      <w:r>
        <w:rPr>
          <w:rFonts w:ascii="Century Schoolbook" w:eastAsia="Century Schoolbook" w:hAnsi="Century Schoolbook" w:cs="Century Schoolbook"/>
          <w:smallCaps/>
          <w:color w:val="000000"/>
        </w:rPr>
        <w:t>Rev. Jur. Col. Abog. PR</w:t>
      </w:r>
      <w:r>
        <w:rPr>
          <w:rFonts w:ascii="Century Schoolbook" w:eastAsia="Century Schoolbook" w:hAnsi="Century Schoolbook" w:cs="Century Schoolbook"/>
          <w:color w:val="000000"/>
        </w:rPr>
        <w:t xml:space="preserve"> 631, 656-57 (2007); Luis Villanueva Nieves, </w:t>
      </w:r>
      <w:r>
        <w:rPr>
          <w:rFonts w:ascii="Century Schoolbook" w:eastAsia="Century Schoolbook" w:hAnsi="Century Schoolbook" w:cs="Century Schoolbook"/>
          <w:i/>
          <w:color w:val="000000"/>
        </w:rPr>
        <w:t>Sobre el derecho a saber y la obligación de revelar</w:t>
      </w:r>
      <w:r>
        <w:rPr>
          <w:rFonts w:ascii="Century Schoolbook" w:eastAsia="Century Schoolbook" w:hAnsi="Century Schoolbook" w:cs="Century Schoolbook"/>
          <w:color w:val="000000"/>
        </w:rPr>
        <w:t xml:space="preserve">, 37 </w:t>
      </w:r>
      <w:r>
        <w:rPr>
          <w:rFonts w:ascii="Century Schoolbook" w:eastAsia="Century Schoolbook" w:hAnsi="Century Schoolbook" w:cs="Century Schoolbook"/>
          <w:smallCaps/>
          <w:color w:val="000000"/>
        </w:rPr>
        <w:t>Rev. Jur. U. Inter PR</w:t>
      </w:r>
      <w:r>
        <w:rPr>
          <w:rFonts w:ascii="Century Schoolbook" w:eastAsia="Century Schoolbook" w:hAnsi="Century Schoolbook" w:cs="Century Schoolbook"/>
          <w:color w:val="000000"/>
        </w:rPr>
        <w:t xml:space="preserve"> 217 (2003).</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4.19. Dada la importancia de este derecho, “[e]l Estado . . . no puede negar caprichosamente y sin justificación aparente</w:t>
      </w:r>
      <w:r>
        <w:rPr>
          <w:rFonts w:ascii="Century Schoolbook" w:eastAsia="Century Schoolbook" w:hAnsi="Century Schoolbook" w:cs="Century Schoolbook"/>
          <w:color w:val="000000"/>
        </w:rPr>
        <w:t xml:space="preserve"> la información recopilada en su gestión pública”. </w:t>
      </w:r>
      <w:r>
        <w:rPr>
          <w:rFonts w:ascii="Century Schoolbook" w:eastAsia="Century Schoolbook" w:hAnsi="Century Schoolbook" w:cs="Century Schoolbook"/>
          <w:color w:val="000000"/>
          <w:u w:val="single"/>
        </w:rPr>
        <w:t>Soto</w:t>
      </w:r>
      <w:r>
        <w:rPr>
          <w:rFonts w:ascii="Century Schoolbook" w:eastAsia="Century Schoolbook" w:hAnsi="Century Schoolbook" w:cs="Century Schoolbook"/>
          <w:color w:val="000000"/>
        </w:rPr>
        <w:t xml:space="preserve">, 112 DPR en la pág. 489; </w:t>
      </w:r>
      <w:r>
        <w:rPr>
          <w:rFonts w:ascii="Century Schoolbook" w:eastAsia="Century Schoolbook" w:hAnsi="Century Schoolbook" w:cs="Century Schoolbook"/>
          <w:color w:val="000000"/>
          <w:u w:val="single"/>
        </w:rPr>
        <w:t>Colón Cabrera</w:t>
      </w:r>
      <w:r>
        <w:rPr>
          <w:rFonts w:ascii="Century Schoolbook" w:eastAsia="Century Schoolbook" w:hAnsi="Century Schoolbook" w:cs="Century Schoolbook"/>
          <w:color w:val="000000"/>
        </w:rPr>
        <w:t xml:space="preserve">, 170 DPR en la pág. 590; </w:t>
      </w:r>
      <w:r>
        <w:rPr>
          <w:rFonts w:ascii="Century Schoolbook" w:eastAsia="Century Schoolbook" w:hAnsi="Century Schoolbook" w:cs="Century Schoolbook"/>
          <w:color w:val="000000"/>
          <w:u w:val="single"/>
        </w:rPr>
        <w:t>Santiago v. Bobb y El Mundo</w:t>
      </w:r>
      <w:r>
        <w:rPr>
          <w:rFonts w:ascii="Century Schoolbook" w:eastAsia="Century Schoolbook" w:hAnsi="Century Schoolbook" w:cs="Century Schoolbook"/>
          <w:color w:val="000000"/>
        </w:rPr>
        <w:t>, 117 DPR 153, 158 (1986). Ello se debe a que “al recibir del Pueblo soberano la función de gobernar, el Esta</w:t>
      </w:r>
      <w:r>
        <w:rPr>
          <w:rFonts w:ascii="Century Schoolbook" w:eastAsia="Century Schoolbook" w:hAnsi="Century Schoolbook" w:cs="Century Schoolbook"/>
          <w:color w:val="000000"/>
        </w:rPr>
        <w:t xml:space="preserve">do no quedó en libertad de decidir cuáles papeles y documentos resultantes de su gestión pública estarían fuera de; escrutinio de quienes son, en esencia, la fuente misma de la soberanía”. </w:t>
      </w:r>
      <w:r>
        <w:rPr>
          <w:rFonts w:ascii="Century Schoolbook" w:eastAsia="Century Schoolbook" w:hAnsi="Century Schoolbook" w:cs="Century Schoolbook"/>
          <w:color w:val="000000"/>
          <w:u w:val="single"/>
        </w:rPr>
        <w:t>Soto</w:t>
      </w:r>
      <w:r>
        <w:rPr>
          <w:rFonts w:ascii="Century Schoolbook" w:eastAsia="Century Schoolbook" w:hAnsi="Century Schoolbook" w:cs="Century Schoolbook"/>
          <w:color w:val="000000"/>
        </w:rPr>
        <w:t xml:space="preserve">, 112 DPR en la pág. 489. </w:t>
      </w:r>
    </w:p>
    <w:p w:rsidR="00C02152" w:rsidRDefault="00F9573F">
      <w:pP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4.20. Además, en la tarea de garanti</w:t>
      </w:r>
      <w:r>
        <w:rPr>
          <w:rFonts w:ascii="Century Schoolbook" w:eastAsia="Century Schoolbook" w:hAnsi="Century Schoolbook" w:cs="Century Schoolbook"/>
          <w:color w:val="000000"/>
        </w:rPr>
        <w:t>zar este derecho, “la prensa constituye ‘un vehículo de información y opinión [para] informar y educar al público, ofrecer críticas, proveer un foro para la discusión y el debate, y actuar como sustituto para obtener noticias e información para sus lectore</w:t>
      </w:r>
      <w:r>
        <w:rPr>
          <w:rFonts w:ascii="Century Schoolbook" w:eastAsia="Century Schoolbook" w:hAnsi="Century Schoolbook" w:cs="Century Schoolbook"/>
          <w:color w:val="000000"/>
        </w:rPr>
        <w:t>s, que por sí y como individuos no pueden o desean recopilarla</w:t>
      </w:r>
      <w:r>
        <w:rPr>
          <w:rFonts w:ascii="Century Schoolbook" w:eastAsia="Century Schoolbook" w:hAnsi="Century Schoolbook" w:cs="Century Schoolbook"/>
        </w:rPr>
        <w:t>’</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color w:val="000000"/>
          <w:u w:val="single"/>
        </w:rPr>
        <w:t>Santiago</w:t>
      </w:r>
      <w:r>
        <w:rPr>
          <w:rFonts w:ascii="Century Schoolbook" w:eastAsia="Century Schoolbook" w:hAnsi="Century Schoolbook" w:cs="Century Schoolbook"/>
          <w:color w:val="000000"/>
        </w:rPr>
        <w:t>, 117 DPR en la pág. 159.</w:t>
      </w:r>
    </w:p>
    <w:p w:rsidR="00C02152" w:rsidRDefault="00F9573F">
      <w:pPr>
        <w:spacing w:line="480" w:lineRule="auto"/>
        <w:ind w:left="360" w:hanging="360"/>
        <w:jc w:val="both"/>
        <w:rPr>
          <w:rFonts w:ascii="Century Schoolbook" w:eastAsia="Century Schoolbook" w:hAnsi="Century Schoolbook" w:cs="Century Schoolbook"/>
          <w:color w:val="000000"/>
        </w:rPr>
      </w:pPr>
      <w:bookmarkStart w:id="2" w:name="_heading=h.3znysh7" w:colFirst="0" w:colLast="0"/>
      <w:bookmarkEnd w:id="2"/>
      <w:r>
        <w:rPr>
          <w:rFonts w:ascii="Century Schoolbook" w:eastAsia="Century Schoolbook" w:hAnsi="Century Schoolbook" w:cs="Century Schoolbook"/>
          <w:color w:val="000000"/>
        </w:rPr>
        <w:t>4.21. Recientemente el Relator Independiente sobre Libertad de Expresión de la CIDH, incluyó en su informe anual 2019, expresiones específicas sobre el trab</w:t>
      </w:r>
      <w:r>
        <w:rPr>
          <w:rFonts w:ascii="Century Schoolbook" w:eastAsia="Century Schoolbook" w:hAnsi="Century Schoolbook" w:cs="Century Schoolbook"/>
          <w:color w:val="000000"/>
        </w:rPr>
        <w:t xml:space="preserve">ajo de los periodistas en Puerto Rico, indicando que “continúa observando un contexto de hostilidad hacia el ejercicio de periodismo y el libre funcionamiento de los medios de comunicación”, y señalando su </w:t>
      </w:r>
      <w:r>
        <w:rPr>
          <w:rFonts w:ascii="Century Schoolbook" w:eastAsia="Century Schoolbook" w:hAnsi="Century Schoolbook" w:cs="Century Schoolbook"/>
          <w:color w:val="000000"/>
        </w:rPr>
        <w:lastRenderedPageBreak/>
        <w:t xml:space="preserve">preocupación por el contexto de ataques, amenazas </w:t>
      </w:r>
      <w:r>
        <w:rPr>
          <w:rFonts w:ascii="Century Schoolbook" w:eastAsia="Century Schoolbook" w:hAnsi="Century Schoolbook" w:cs="Century Schoolbook"/>
          <w:color w:val="000000"/>
        </w:rPr>
        <w:t>e intimidaciones a periodistas y medios de comunicación. En este sentido reafirmó que “la protección del derecho a la libertad de expresión exige que las autoridades aseguren las condiciones necesarias para que los y las periodistas puedan cubrir hechos de</w:t>
      </w:r>
      <w:r>
        <w:rPr>
          <w:rFonts w:ascii="Century Schoolbook" w:eastAsia="Century Schoolbook" w:hAnsi="Century Schoolbook" w:cs="Century Schoolbook"/>
          <w:color w:val="000000"/>
        </w:rPr>
        <w:t xml:space="preserve"> notorio interés público”. CIDH, </w:t>
      </w:r>
      <w:r>
        <w:rPr>
          <w:rFonts w:ascii="Century Schoolbook" w:eastAsia="Century Schoolbook" w:hAnsi="Century Schoolbook" w:cs="Century Schoolbook"/>
          <w:i/>
          <w:color w:val="000000"/>
        </w:rPr>
        <w:t>Informe Anual de la Relatoría Especial para la Libertad de Expresión</w:t>
      </w:r>
      <w:r>
        <w:rPr>
          <w:rFonts w:ascii="Century Schoolbook" w:eastAsia="Century Schoolbook" w:hAnsi="Century Schoolbook" w:cs="Century Schoolbook"/>
          <w:color w:val="000000"/>
        </w:rPr>
        <w:t xml:space="preserve">, 24 febrero 2020, OEA/Ser.L/V/II, Sección 16, citas provenientes de los párr. 616 y 637, en las págs. 158, 161, disponible en </w:t>
      </w:r>
      <w:hyperlink r:id="rId13">
        <w:r>
          <w:rPr>
            <w:rFonts w:ascii="Century Schoolbook" w:eastAsia="Century Schoolbook" w:hAnsi="Century Schoolbook" w:cs="Century Schoolbook"/>
            <w:color w:val="0000FF"/>
            <w:u w:val="single"/>
          </w:rPr>
          <w:t>https://www.oas.org/es/cidh/expresion/informes/ESPIA2019.pdf</w:t>
        </w:r>
      </w:hyperlink>
      <w:r>
        <w:rPr>
          <w:rFonts w:ascii="Century Schoolbook" w:eastAsia="Century Schoolbook" w:hAnsi="Century Schoolbook" w:cs="Century Schoolbook"/>
          <w:color w:val="000000"/>
        </w:rPr>
        <w:t xml:space="preserve"> (última visita </w:t>
      </w:r>
      <w:r>
        <w:rPr>
          <w:rFonts w:ascii="Century Schoolbook" w:eastAsia="Century Schoolbook" w:hAnsi="Century Schoolbook" w:cs="Century Schoolbook"/>
        </w:rPr>
        <w:t>el 27</w:t>
      </w:r>
      <w:r>
        <w:rPr>
          <w:rFonts w:ascii="Century Schoolbook" w:eastAsia="Century Schoolbook" w:hAnsi="Century Schoolbook" w:cs="Century Schoolbook"/>
          <w:color w:val="000000"/>
        </w:rPr>
        <w:t xml:space="preserve"> de mayo de 2020).</w:t>
      </w:r>
    </w:p>
    <w:p w:rsidR="00C02152" w:rsidRDefault="00F9573F">
      <w:pP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4.22. Por otra parte, el derecho al acceso a la información, en su modalidad de acceso a documentos públ</w:t>
      </w:r>
      <w:r>
        <w:rPr>
          <w:rFonts w:ascii="Century Schoolbook" w:eastAsia="Century Schoolbook" w:hAnsi="Century Schoolbook" w:cs="Century Schoolbook"/>
          <w:color w:val="000000"/>
        </w:rPr>
        <w:t>icos, encuentra reconocimiento estatutario en el Artículo 409 del Código de Enjuiciamiento Civil, 32 LPRA § 1781 (2019), el cual establece, que “[t]odo ciudadano tiene derecho a inspeccionar y sacar copia de cualquier documento público de Puerto Rico, salv</w:t>
      </w:r>
      <w:r>
        <w:rPr>
          <w:rFonts w:ascii="Century Schoolbook" w:eastAsia="Century Schoolbook" w:hAnsi="Century Schoolbook" w:cs="Century Schoolbook"/>
          <w:color w:val="000000"/>
        </w:rPr>
        <w:t xml:space="preserve">o lo expresamente dispuesto en contrario por la ley”. </w:t>
      </w:r>
      <w:r>
        <w:rPr>
          <w:rFonts w:ascii="Century Schoolbook" w:eastAsia="Century Schoolbook" w:hAnsi="Century Schoolbook" w:cs="Century Schoolbook"/>
          <w:i/>
          <w:color w:val="000000"/>
        </w:rPr>
        <w:t>Id</w:t>
      </w:r>
      <w:r>
        <w:rPr>
          <w:rFonts w:ascii="Century Schoolbook" w:eastAsia="Century Schoolbook" w:hAnsi="Century Schoolbook" w:cs="Century Schoolbook"/>
          <w:color w:val="000000"/>
        </w:rPr>
        <w:t xml:space="preserve">. </w:t>
      </w:r>
    </w:p>
    <w:p w:rsidR="00C02152" w:rsidRDefault="00F9573F">
      <w:pP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4.23. Igualmente, la Ley de transparencia y procedimiento expedito para el acceso a la información pública, Ley Núm. 141-2019, establece como política pública, lo siguiente:</w:t>
      </w:r>
    </w:p>
    <w:p w:rsidR="00C02152" w:rsidRDefault="00F9573F">
      <w:pPr>
        <w:numPr>
          <w:ilvl w:val="0"/>
          <w:numId w:val="1"/>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La información y docume</w:t>
      </w:r>
      <w:r>
        <w:rPr>
          <w:rFonts w:ascii="Century Schoolbook" w:eastAsia="Century Schoolbook" w:hAnsi="Century Schoolbook" w:cs="Century Schoolbook"/>
          <w:color w:val="000000"/>
        </w:rPr>
        <w:t xml:space="preserve">ntación que produce el gobierno se presume pública y accesible </w:t>
      </w:r>
      <w:r>
        <w:rPr>
          <w:rFonts w:ascii="Century Schoolbook" w:eastAsia="Century Schoolbook" w:hAnsi="Century Schoolbook" w:cs="Century Schoolbook"/>
          <w:color w:val="000000"/>
          <w:highlight w:val="white"/>
        </w:rPr>
        <w:t>a todas las personas por igual</w:t>
      </w:r>
      <w:r>
        <w:rPr>
          <w:rFonts w:ascii="Century Schoolbook" w:eastAsia="Century Schoolbook" w:hAnsi="Century Schoolbook" w:cs="Century Schoolbook"/>
          <w:color w:val="000000"/>
        </w:rPr>
        <w:t xml:space="preserve">. </w:t>
      </w:r>
    </w:p>
    <w:p w:rsidR="00C02152" w:rsidRDefault="00F9573F">
      <w:pPr>
        <w:numPr>
          <w:ilvl w:val="0"/>
          <w:numId w:val="1"/>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La información y documentación que produce el gobierno en sus estudios, transacciones y en el ejercicio de la autoridad pública, de manera directa o delegada, son patrimonio y memoria del pueblo de Puerto Rico. </w:t>
      </w:r>
    </w:p>
    <w:p w:rsidR="00C02152" w:rsidRDefault="00F9573F">
      <w:pPr>
        <w:numPr>
          <w:ilvl w:val="0"/>
          <w:numId w:val="1"/>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El derecho constitucional de acceso a la inf</w:t>
      </w:r>
      <w:r>
        <w:rPr>
          <w:rFonts w:ascii="Century Schoolbook" w:eastAsia="Century Schoolbook" w:hAnsi="Century Schoolbook" w:cs="Century Schoolbook"/>
          <w:color w:val="000000"/>
        </w:rPr>
        <w:t xml:space="preserve">ormación requiere la transparencia gubernamental. </w:t>
      </w:r>
    </w:p>
    <w:p w:rsidR="00C02152" w:rsidRDefault="00F9573F">
      <w:pPr>
        <w:numPr>
          <w:ilvl w:val="0"/>
          <w:numId w:val="1"/>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Toda información o documento que se origine, conserve o reciba en cualquier dependencia del Gobierno, aunque se encuentre bajo la custodia de un tercero, se presume público y debe estar accesible al Pueblo</w:t>
      </w:r>
      <w:r>
        <w:rPr>
          <w:rFonts w:ascii="Century Schoolbook" w:eastAsia="Century Schoolbook" w:hAnsi="Century Schoolbook" w:cs="Century Schoolbook"/>
          <w:color w:val="000000"/>
        </w:rPr>
        <w:t xml:space="preserve"> y la prensa.</w:t>
      </w:r>
    </w:p>
    <w:p w:rsidR="00C02152" w:rsidRDefault="00F9573F">
      <w:pPr>
        <w:numPr>
          <w:ilvl w:val="0"/>
          <w:numId w:val="1"/>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El derecho de acceso a la información pública es un pilar constitucional y un derecho humano fundamental.</w:t>
      </w:r>
    </w:p>
    <w:p w:rsidR="00C02152" w:rsidRDefault="00F9573F">
      <w:pPr>
        <w:numPr>
          <w:ilvl w:val="0"/>
          <w:numId w:val="1"/>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El acceso a la documentación e información pública tiene que ser ágil, económico y expedito. </w:t>
      </w:r>
    </w:p>
    <w:p w:rsidR="00C02152" w:rsidRDefault="00F9573F">
      <w:pPr>
        <w:numPr>
          <w:ilvl w:val="0"/>
          <w:numId w:val="1"/>
        </w:numPr>
        <w:pBdr>
          <w:top w:val="nil"/>
          <w:left w:val="nil"/>
          <w:bottom w:val="nil"/>
          <w:right w:val="nil"/>
          <w:between w:val="nil"/>
        </w:pBdr>
        <w:shd w:val="clear" w:color="auto" w:fill="FFFFFF"/>
        <w:spacing w:after="120"/>
        <w:ind w:left="72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Toda persona tiene derecho a obtener la in</w:t>
      </w:r>
      <w:r>
        <w:rPr>
          <w:rFonts w:ascii="Century Schoolbook" w:eastAsia="Century Schoolbook" w:hAnsi="Century Schoolbook" w:cs="Century Schoolbook"/>
          <w:color w:val="000000"/>
        </w:rPr>
        <w:t>formación y documentación pública, sujeto a las normas y excepciones aplicables.</w:t>
      </w:r>
    </w:p>
    <w:p w:rsidR="00C02152" w:rsidRDefault="00F9573F">
      <w:pPr>
        <w:numPr>
          <w:ilvl w:val="0"/>
          <w:numId w:val="1"/>
        </w:numPr>
        <w:pBdr>
          <w:top w:val="nil"/>
          <w:left w:val="nil"/>
          <w:bottom w:val="nil"/>
          <w:right w:val="nil"/>
          <w:between w:val="nil"/>
        </w:pBdr>
        <w:shd w:val="clear" w:color="auto" w:fill="FFFFFF"/>
        <w:spacing w:after="240"/>
        <w:ind w:left="72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lastRenderedPageBreak/>
        <w:t>El Gobierno de Puerto Rico establece en la presente Ley una política de apertura a la información y documentación, que incluya la disponibilidad de la tecnología y de los avan</w:t>
      </w:r>
      <w:r>
        <w:rPr>
          <w:rFonts w:ascii="Century Schoolbook" w:eastAsia="Century Schoolbook" w:hAnsi="Century Schoolbook" w:cs="Century Schoolbook"/>
          <w:color w:val="000000"/>
        </w:rPr>
        <w:t xml:space="preserve">ces necesarios para hacer valer el derecho de los solicitantes a acceder a la información y documentación pública de forma oportuna, objetiva, veraz, completa, reutilizable, procesable y disponible en formatos accesibles, inalterados e íntegros. </w:t>
      </w:r>
    </w:p>
    <w:p w:rsidR="00C02152" w:rsidRDefault="00F9573F">
      <w:pPr>
        <w:pBdr>
          <w:top w:val="nil"/>
          <w:left w:val="nil"/>
          <w:bottom w:val="nil"/>
          <w:right w:val="nil"/>
          <w:between w:val="nil"/>
        </w:pBdr>
        <w:shd w:val="clear" w:color="auto" w:fill="FFFFFF"/>
        <w:spacing w:after="240"/>
        <w:ind w:hanging="72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Art. 3, Ley Núm. 141-2019.</w:t>
      </w:r>
    </w:p>
    <w:p w:rsidR="00C02152" w:rsidRDefault="00F9573F">
      <w:pP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4.24. A su vez, la frase ‘documento público’ es definido en la Ley de administración de documentos públicos de Puerto Rico como </w:t>
      </w:r>
    </w:p>
    <w:p w:rsidR="00C02152" w:rsidRDefault="00F9573F">
      <w:pPr>
        <w:spacing w:after="240"/>
        <w:ind w:left="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[T]odo documento que se origine, conserve o reciba en cualquier dependencia del Estado Libre Asociad</w:t>
      </w:r>
      <w:r>
        <w:rPr>
          <w:rFonts w:ascii="Century Schoolbook" w:eastAsia="Century Schoolbook" w:hAnsi="Century Schoolbook" w:cs="Century Schoolbook"/>
          <w:color w:val="000000"/>
        </w:rPr>
        <w:t>o de Puerto Rico de acuerdo con la ley o en relación con el manejo de los asuntos públicos y que de conformidad con lo dispuesto en la sec. 1002 de este título se haga conservar [o] que se requiera conservar permanentemente o temporalmente como prueba de l</w:t>
      </w:r>
      <w:r>
        <w:rPr>
          <w:rFonts w:ascii="Century Schoolbook" w:eastAsia="Century Schoolbook" w:hAnsi="Century Schoolbook" w:cs="Century Schoolbook"/>
          <w:color w:val="000000"/>
        </w:rPr>
        <w:t>as transacciones o por su valor legal. Incluye aquellos producidos de forma electrónica que cumplan con los requisitos establecidos por las leyes y reglamentos.</w:t>
      </w:r>
    </w:p>
    <w:p w:rsidR="00C02152" w:rsidRDefault="00F9573F">
      <w:pPr>
        <w:spacing w:line="480" w:lineRule="auto"/>
        <w:ind w:left="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3 LPRA § 1001 (2019).</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 xml:space="preserve">4.25. Ahora bien, pese a la naturaleza fundamental del derecho al acceso </w:t>
      </w:r>
      <w:r>
        <w:rPr>
          <w:rFonts w:ascii="Century Schoolbook" w:eastAsia="Century Schoolbook" w:hAnsi="Century Schoolbook" w:cs="Century Schoolbook"/>
          <w:color w:val="000000"/>
        </w:rPr>
        <w:t xml:space="preserve">a la información, el mismo no es un derecho absoluto, “sino que pueden existir intereses apremiantes del estado que justifiquen un reclamo de confidencialidad de su parte”. </w:t>
      </w:r>
      <w:r>
        <w:rPr>
          <w:rFonts w:ascii="Century Schoolbook" w:eastAsia="Century Schoolbook" w:hAnsi="Century Schoolbook" w:cs="Century Schoolbook"/>
          <w:color w:val="000000"/>
          <w:u w:val="single"/>
        </w:rPr>
        <w:t>Trans Ad de PR</w:t>
      </w:r>
      <w:r>
        <w:rPr>
          <w:rFonts w:ascii="Century Schoolbook" w:eastAsia="Century Schoolbook" w:hAnsi="Century Schoolbook" w:cs="Century Schoolbook"/>
          <w:color w:val="000000"/>
        </w:rPr>
        <w:t xml:space="preserve">, 174 DPR en la pág. 68; </w:t>
      </w:r>
      <w:r>
        <w:rPr>
          <w:rFonts w:ascii="Century Schoolbook" w:eastAsia="Century Schoolbook" w:hAnsi="Century Schoolbook" w:cs="Century Schoolbook"/>
          <w:color w:val="000000"/>
          <w:u w:val="single"/>
        </w:rPr>
        <w:t>Angueira v. JLBP</w:t>
      </w:r>
      <w:r>
        <w:rPr>
          <w:rFonts w:ascii="Century Schoolbook" w:eastAsia="Century Schoolbook" w:hAnsi="Century Schoolbook" w:cs="Century Schoolbook"/>
          <w:color w:val="000000"/>
        </w:rPr>
        <w:t xml:space="preserve">, 150 DPR 10, 24 (2000); </w:t>
      </w:r>
      <w:r>
        <w:rPr>
          <w:rFonts w:ascii="Century Schoolbook" w:eastAsia="Century Schoolbook" w:hAnsi="Century Schoolbook" w:cs="Century Schoolbook"/>
          <w:color w:val="000000"/>
          <w:u w:val="single"/>
        </w:rPr>
        <w:t>Sot</w:t>
      </w:r>
      <w:r>
        <w:rPr>
          <w:rFonts w:ascii="Century Schoolbook" w:eastAsia="Century Schoolbook" w:hAnsi="Century Schoolbook" w:cs="Century Schoolbook"/>
          <w:color w:val="000000"/>
          <w:u w:val="single"/>
        </w:rPr>
        <w:t>o</w:t>
      </w:r>
      <w:r>
        <w:rPr>
          <w:rFonts w:ascii="Century Schoolbook" w:eastAsia="Century Schoolbook" w:hAnsi="Century Schoolbook" w:cs="Century Schoolbook"/>
          <w:color w:val="000000"/>
        </w:rPr>
        <w:t xml:space="preserve">, 112 DPR en la pág. 493. </w:t>
      </w:r>
      <w:r>
        <w:rPr>
          <w:rFonts w:ascii="Century Schoolbook" w:eastAsia="Century Schoolbook" w:hAnsi="Century Schoolbook" w:cs="Century Schoolbook"/>
          <w:i/>
        </w:rPr>
        <w:t>Véase también</w:t>
      </w:r>
      <w:r>
        <w:rPr>
          <w:rFonts w:ascii="Century Schoolbook" w:eastAsia="Century Schoolbook" w:hAnsi="Century Schoolbook" w:cs="Century Schoolbook"/>
        </w:rPr>
        <w:t xml:space="preserve"> </w:t>
      </w:r>
      <w:r>
        <w:rPr>
          <w:rFonts w:ascii="Century Schoolbook" w:eastAsia="Century Schoolbook" w:hAnsi="Century Schoolbook" w:cs="Century Schoolbook"/>
          <w:u w:val="single"/>
        </w:rPr>
        <w:t>Bhatia Gautier</w:t>
      </w:r>
      <w:r>
        <w:rPr>
          <w:rFonts w:ascii="Century Schoolbook" w:eastAsia="Century Schoolbook" w:hAnsi="Century Schoolbook" w:cs="Century Schoolbook"/>
        </w:rPr>
        <w:t>, 199 DPR en la pág. 82.</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color w:val="000000"/>
        </w:rPr>
        <w:t>4.26. Así, y ante la ausencia de una legislación que viabilice el acceso a la información gubernamental, el Tribunal Supremo ha señalado que el Estado puede invocar la confiden</w:t>
      </w:r>
      <w:r>
        <w:rPr>
          <w:rFonts w:ascii="Century Schoolbook" w:eastAsia="Century Schoolbook" w:hAnsi="Century Schoolbook" w:cs="Century Schoolbook"/>
          <w:color w:val="000000"/>
        </w:rPr>
        <w:t>cialidad de información cuando: “(1) una ley así lo declara; (2) la comunicación está protegida por alguno de los privilegios evidenciarios que pueden invocar los ciudadanos; (3) revelar la información puede lesionar derechos fundamentales de terceros; (4)</w:t>
      </w:r>
      <w:r>
        <w:rPr>
          <w:rFonts w:ascii="Century Schoolbook" w:eastAsia="Century Schoolbook" w:hAnsi="Century Schoolbook" w:cs="Century Schoolbook"/>
          <w:color w:val="000000"/>
        </w:rPr>
        <w:t xml:space="preserve"> se trate de la identidad de un confidente, y (5) sea ‘información oficial’ conforme a la Regla 514 de Evidencia”. </w:t>
      </w:r>
      <w:r>
        <w:rPr>
          <w:rFonts w:ascii="Century Schoolbook" w:eastAsia="Century Schoolbook" w:hAnsi="Century Schoolbook" w:cs="Century Schoolbook"/>
          <w:u w:val="single"/>
        </w:rPr>
        <w:t>Bhatia Gautier</w:t>
      </w:r>
      <w:r>
        <w:rPr>
          <w:rFonts w:ascii="Century Schoolbook" w:eastAsia="Century Schoolbook" w:hAnsi="Century Schoolbook" w:cs="Century Schoolbook"/>
        </w:rPr>
        <w:t xml:space="preserve">, 199 DPR en la pág. 83. </w:t>
      </w:r>
      <w:r>
        <w:rPr>
          <w:rFonts w:ascii="Century Schoolbook" w:eastAsia="Century Schoolbook" w:hAnsi="Century Schoolbook" w:cs="Century Schoolbook"/>
          <w:i/>
        </w:rPr>
        <w:t>Véase también</w:t>
      </w:r>
      <w:r>
        <w:rPr>
          <w:rFonts w:ascii="Century Schoolbook" w:eastAsia="Century Schoolbook" w:hAnsi="Century Schoolbook" w:cs="Century Schoolbook"/>
        </w:rPr>
        <w:t xml:space="preserve"> </w:t>
      </w:r>
      <w:r>
        <w:rPr>
          <w:rFonts w:ascii="Century Schoolbook" w:eastAsia="Century Schoolbook" w:hAnsi="Century Schoolbook" w:cs="Century Schoolbook"/>
          <w:color w:val="000000"/>
          <w:u w:val="single"/>
        </w:rPr>
        <w:t>Trans Ad PR</w:t>
      </w:r>
      <w:r>
        <w:rPr>
          <w:rFonts w:ascii="Century Schoolbook" w:eastAsia="Century Schoolbook" w:hAnsi="Century Schoolbook" w:cs="Century Schoolbook"/>
          <w:color w:val="000000"/>
        </w:rPr>
        <w:t xml:space="preserve">, 174 DPR en la pág. 68; </w:t>
      </w:r>
      <w:r>
        <w:rPr>
          <w:rFonts w:ascii="Century Schoolbook" w:eastAsia="Century Schoolbook" w:hAnsi="Century Schoolbook" w:cs="Century Schoolbook"/>
          <w:color w:val="000000"/>
          <w:u w:val="single"/>
        </w:rPr>
        <w:t>Colón Cabrera</w:t>
      </w:r>
      <w:r>
        <w:rPr>
          <w:rFonts w:ascii="Century Schoolbook" w:eastAsia="Century Schoolbook" w:hAnsi="Century Schoolbook" w:cs="Century Schoolbook"/>
          <w:color w:val="000000"/>
        </w:rPr>
        <w:t xml:space="preserve">, 170 DPR en la pág. 590; </w:t>
      </w:r>
      <w:r>
        <w:rPr>
          <w:rFonts w:ascii="Century Schoolbook" w:eastAsia="Century Schoolbook" w:hAnsi="Century Schoolbook" w:cs="Century Schoolbook"/>
          <w:color w:val="000000"/>
          <w:u w:val="single"/>
        </w:rPr>
        <w:t>Angueira</w:t>
      </w:r>
      <w:r>
        <w:rPr>
          <w:rFonts w:ascii="Century Schoolbook" w:eastAsia="Century Schoolbook" w:hAnsi="Century Schoolbook" w:cs="Century Schoolbook"/>
          <w:color w:val="000000"/>
        </w:rPr>
        <w:t>, 150</w:t>
      </w:r>
      <w:r>
        <w:rPr>
          <w:rFonts w:ascii="Century Schoolbook" w:eastAsia="Century Schoolbook" w:hAnsi="Century Schoolbook" w:cs="Century Schoolbook"/>
          <w:color w:val="000000"/>
        </w:rPr>
        <w:t xml:space="preserve"> DPR en la pág. 24; </w:t>
      </w:r>
      <w:r>
        <w:rPr>
          <w:rFonts w:ascii="Century Schoolbook" w:eastAsia="Century Schoolbook" w:hAnsi="Century Schoolbook" w:cs="Century Schoolbook"/>
          <w:color w:val="000000"/>
          <w:u w:val="single"/>
        </w:rPr>
        <w:t>Santiago</w:t>
      </w:r>
      <w:r>
        <w:rPr>
          <w:rFonts w:ascii="Century Schoolbook" w:eastAsia="Century Schoolbook" w:hAnsi="Century Schoolbook" w:cs="Century Schoolbook"/>
          <w:color w:val="000000"/>
        </w:rPr>
        <w:t xml:space="preserve">, 117 DPR en la pág. 159. </w:t>
      </w:r>
    </w:p>
    <w:p w:rsidR="00C02152" w:rsidRDefault="00F9573F">
      <w:pP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lastRenderedPageBreak/>
        <w:t xml:space="preserve">4.27. Sin embargo, en estos casos, “[e]l Estado tiene la carga de probar que satisface cualquiera de las excepciones antes enumeradas”, </w:t>
      </w:r>
      <w:r>
        <w:rPr>
          <w:rFonts w:ascii="Century Schoolbook" w:eastAsia="Century Schoolbook" w:hAnsi="Century Schoolbook" w:cs="Century Schoolbook"/>
          <w:u w:val="single"/>
        </w:rPr>
        <w:t>Bhatia Gautier</w:t>
      </w:r>
      <w:r>
        <w:rPr>
          <w:rFonts w:ascii="Century Schoolbook" w:eastAsia="Century Schoolbook" w:hAnsi="Century Schoolbook" w:cs="Century Schoolbook"/>
        </w:rPr>
        <w:t xml:space="preserve">, 199 DPR en la pág. 83; </w:t>
      </w:r>
      <w:r>
        <w:rPr>
          <w:rFonts w:ascii="Century Schoolbook" w:eastAsia="Century Schoolbook" w:hAnsi="Century Schoolbook" w:cs="Century Schoolbook"/>
          <w:color w:val="000000"/>
          <w:u w:val="single"/>
        </w:rPr>
        <w:t>Colón Cabrera</w:t>
      </w:r>
      <w:r>
        <w:rPr>
          <w:rFonts w:ascii="Century Schoolbook" w:eastAsia="Century Schoolbook" w:hAnsi="Century Schoolbook" w:cs="Century Schoolbook"/>
          <w:color w:val="000000"/>
        </w:rPr>
        <w:t xml:space="preserve">, 170 DPR en </w:t>
      </w:r>
      <w:r>
        <w:rPr>
          <w:rFonts w:ascii="Century Schoolbook" w:eastAsia="Century Schoolbook" w:hAnsi="Century Schoolbook" w:cs="Century Schoolbook"/>
          <w:color w:val="000000"/>
        </w:rPr>
        <w:t xml:space="preserve">la pág. 590; </w:t>
      </w:r>
      <w:r>
        <w:rPr>
          <w:rFonts w:ascii="Century Schoolbook" w:eastAsia="Century Schoolbook" w:hAnsi="Century Schoolbook" w:cs="Century Schoolbook"/>
          <w:color w:val="000000"/>
          <w:u w:val="single"/>
        </w:rPr>
        <w:t>Angueira</w:t>
      </w:r>
      <w:r>
        <w:rPr>
          <w:rFonts w:ascii="Century Schoolbook" w:eastAsia="Century Schoolbook" w:hAnsi="Century Schoolbook" w:cs="Century Schoolbook"/>
          <w:color w:val="000000"/>
        </w:rPr>
        <w:t xml:space="preserve">, 150 DPR en la pág. 24; </w:t>
      </w:r>
      <w:r>
        <w:rPr>
          <w:rFonts w:ascii="Century Schoolbook" w:eastAsia="Century Schoolbook" w:hAnsi="Century Schoolbook" w:cs="Century Schoolbook"/>
          <w:color w:val="000000"/>
          <w:u w:val="single"/>
        </w:rPr>
        <w:t>Santiago</w:t>
      </w:r>
      <w:r>
        <w:rPr>
          <w:rFonts w:ascii="Century Schoolbook" w:eastAsia="Century Schoolbook" w:hAnsi="Century Schoolbook" w:cs="Century Schoolbook"/>
          <w:color w:val="000000"/>
        </w:rPr>
        <w:t xml:space="preserve">, 117 DPR en la pág. 159, y los tribunales deben examinar tales reclamos de confidencialidad con suma cautela. </w:t>
      </w:r>
      <w:r>
        <w:rPr>
          <w:rFonts w:ascii="Century Schoolbook" w:eastAsia="Century Schoolbook" w:hAnsi="Century Schoolbook" w:cs="Century Schoolbook"/>
          <w:color w:val="000000"/>
          <w:u w:val="single"/>
        </w:rPr>
        <w:t>Santiago</w:t>
      </w:r>
      <w:r>
        <w:rPr>
          <w:rFonts w:ascii="Century Schoolbook" w:eastAsia="Century Schoolbook" w:hAnsi="Century Schoolbook" w:cs="Century Schoolbook"/>
          <w:color w:val="000000"/>
        </w:rPr>
        <w:t>, 117 DPR en la pág. 159.</w:t>
      </w:r>
    </w:p>
    <w:p w:rsidR="00C02152" w:rsidRDefault="00F9573F">
      <w:pP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4.28.</w:t>
      </w:r>
      <w:r>
        <w:rPr>
          <w:rFonts w:ascii="Century Schoolbook" w:eastAsia="Century Schoolbook" w:hAnsi="Century Schoolbook" w:cs="Century Schoolbook"/>
        </w:rPr>
        <w:t xml:space="preserve"> Por último, la mera invocación de una ley como fundamento para restringir el acceso a la información no es suficiente para avalar la existencia de una de las excepciones a dicho derecho. Por el contrario, </w:t>
      </w:r>
    </w:p>
    <w:p w:rsidR="00C02152" w:rsidRDefault="00F9573F">
      <w:pPr>
        <w:spacing w:after="240"/>
        <w:ind w:left="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[T]oda ley que pretenda ocultar información a un </w:t>
      </w:r>
      <w:r>
        <w:rPr>
          <w:rFonts w:ascii="Century Schoolbook" w:eastAsia="Century Schoolbook" w:hAnsi="Century Schoolbook" w:cs="Century Schoolbook"/>
        </w:rPr>
        <w:t>ciudadano bajo el palio de la confidencialidad tiene que justificarse a plenitud. Ello se satisface si la legislación: (1) cae dentro del poder constitucional del Gobierno; (2) propulsa un interés gubernamental importante o sustancial; (3) el interés guber</w:t>
      </w:r>
      <w:r>
        <w:rPr>
          <w:rFonts w:ascii="Century Schoolbook" w:eastAsia="Century Schoolbook" w:hAnsi="Century Schoolbook" w:cs="Century Schoolbook"/>
        </w:rPr>
        <w:t xml:space="preserve">namental no está relacionado con la supresión de la libre expresión, y (4) la restricción concomitante del derecho a la libre expresión no es mayor que la esencial para propulsar dicho interés. </w:t>
      </w:r>
    </w:p>
    <w:p w:rsidR="00C02152" w:rsidRDefault="00F9573F">
      <w:pPr>
        <w:spacing w:after="240"/>
        <w:ind w:left="360"/>
        <w:jc w:val="both"/>
        <w:rPr>
          <w:rFonts w:ascii="Century Schoolbook" w:eastAsia="Century Schoolbook" w:hAnsi="Century Schoolbook" w:cs="Century Schoolbook"/>
        </w:rPr>
      </w:pPr>
      <w:r>
        <w:rPr>
          <w:rFonts w:ascii="Century Schoolbook" w:eastAsia="Century Schoolbook" w:hAnsi="Century Schoolbook" w:cs="Century Schoolbook"/>
          <w:u w:val="single"/>
        </w:rPr>
        <w:t>Colón Cabrera</w:t>
      </w:r>
      <w:r>
        <w:rPr>
          <w:rFonts w:ascii="Century Schoolbook" w:eastAsia="Century Schoolbook" w:hAnsi="Century Schoolbook" w:cs="Century Schoolbook"/>
        </w:rPr>
        <w:t xml:space="preserve">, 170 DPR en la pág. 592-93. </w:t>
      </w:r>
    </w:p>
    <w:p w:rsidR="00C02152" w:rsidRDefault="00F9573F">
      <w:pPr>
        <w:spacing w:line="480" w:lineRule="auto"/>
        <w:ind w:left="360" w:hanging="360"/>
        <w:jc w:val="both"/>
        <w:rPr>
          <w:rFonts w:ascii="Century Schoolbook" w:eastAsia="Century Schoolbook" w:hAnsi="Century Schoolbook" w:cs="Century Schoolbook"/>
        </w:rPr>
      </w:pPr>
      <w:r>
        <w:rPr>
          <w:rFonts w:ascii="Century Schoolbook" w:eastAsia="Century Schoolbook" w:hAnsi="Century Schoolbook" w:cs="Century Schoolbook"/>
        </w:rPr>
        <w:t>4.29. De hecho, en</w:t>
      </w:r>
      <w:r>
        <w:rPr>
          <w:rFonts w:ascii="Century Schoolbook" w:eastAsia="Century Schoolbook" w:hAnsi="Century Schoolbook" w:cs="Century Schoolbook"/>
        </w:rPr>
        <w:t xml:space="preserve"> </w:t>
      </w:r>
      <w:r>
        <w:rPr>
          <w:rFonts w:ascii="Century Schoolbook" w:eastAsia="Century Schoolbook" w:hAnsi="Century Schoolbook" w:cs="Century Schoolbook"/>
          <w:u w:val="single"/>
        </w:rPr>
        <w:t>Bhatia Gautier</w:t>
      </w:r>
      <w:r>
        <w:rPr>
          <w:rFonts w:ascii="Century Schoolbook" w:eastAsia="Century Schoolbook" w:hAnsi="Century Schoolbook" w:cs="Century Schoolbook"/>
        </w:rPr>
        <w:t xml:space="preserve">, el Tribunal Supremo aclaró que “las restricciones impuestas por el aparato gubernamental [al acceso a la información] deben responder a un interés apremiante del Estado”. </w:t>
      </w:r>
      <w:r>
        <w:rPr>
          <w:rFonts w:ascii="Century Schoolbook" w:eastAsia="Century Schoolbook" w:hAnsi="Century Schoolbook" w:cs="Century Schoolbook"/>
          <w:u w:val="single"/>
        </w:rPr>
        <w:t>Bhatia Gautier</w:t>
      </w:r>
      <w:r>
        <w:rPr>
          <w:rFonts w:ascii="Century Schoolbook" w:eastAsia="Century Schoolbook" w:hAnsi="Century Schoolbook" w:cs="Century Schoolbook"/>
        </w:rPr>
        <w:t xml:space="preserve">, </w:t>
      </w:r>
      <w:r>
        <w:rPr>
          <w:rFonts w:ascii="Century Schoolbook" w:eastAsia="Century Schoolbook" w:hAnsi="Century Schoolbook" w:cs="Century Schoolbook"/>
          <w:u w:val="single"/>
        </w:rPr>
        <w:t>Bhatia Gautier</w:t>
      </w:r>
      <w:r>
        <w:rPr>
          <w:rFonts w:ascii="Century Schoolbook" w:eastAsia="Century Schoolbook" w:hAnsi="Century Schoolbook" w:cs="Century Schoolbook"/>
        </w:rPr>
        <w:t>, 199 DPR en la pág. 82.</w:t>
      </w:r>
    </w:p>
    <w:p w:rsidR="00C02152" w:rsidRDefault="00F9573F">
      <w:pPr>
        <w:pBdr>
          <w:top w:val="nil"/>
          <w:left w:val="nil"/>
          <w:bottom w:val="nil"/>
          <w:right w:val="nil"/>
          <w:between w:val="nil"/>
        </w:pBdr>
        <w:spacing w:line="480" w:lineRule="auto"/>
        <w:ind w:left="360" w:hanging="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4.30. En este caso procede el recurso de </w:t>
      </w:r>
      <w:r>
        <w:rPr>
          <w:rFonts w:ascii="Century Schoolbook" w:eastAsia="Century Schoolbook" w:hAnsi="Century Schoolbook" w:cs="Century Schoolbook"/>
          <w:i/>
          <w:color w:val="000000"/>
        </w:rPr>
        <w:t>mandamus</w:t>
      </w:r>
      <w:r>
        <w:rPr>
          <w:rFonts w:ascii="Century Schoolbook" w:eastAsia="Century Schoolbook" w:hAnsi="Century Schoolbook" w:cs="Century Schoolbook"/>
          <w:color w:val="000000"/>
        </w:rPr>
        <w:t xml:space="preserve"> a tenor con la normativa prevaleciente, en vista de lo cual procede que se ordene a las partes promovidas a proveer la información que ha sido solicitada.</w:t>
      </w:r>
    </w:p>
    <w:p w:rsidR="00C02152" w:rsidRDefault="00F9573F">
      <w:pPr>
        <w:pBdr>
          <w:top w:val="nil"/>
          <w:left w:val="nil"/>
          <w:bottom w:val="nil"/>
          <w:right w:val="nil"/>
          <w:between w:val="nil"/>
        </w:pBdr>
        <w:tabs>
          <w:tab w:val="left" w:pos="720"/>
        </w:tabs>
        <w:spacing w:line="480" w:lineRule="auto"/>
        <w:jc w:val="center"/>
        <w:rPr>
          <w:rFonts w:ascii="Century Schoolbook" w:eastAsia="Century Schoolbook" w:hAnsi="Century Schoolbook" w:cs="Century Schoolbook"/>
          <w:color w:val="000000"/>
        </w:rPr>
      </w:pPr>
      <w:r>
        <w:rPr>
          <w:rFonts w:ascii="Century Schoolbook" w:eastAsia="Century Schoolbook" w:hAnsi="Century Schoolbook" w:cs="Century Schoolbook"/>
          <w:b/>
          <w:smallCaps/>
          <w:color w:val="000000"/>
        </w:rPr>
        <w:t>V. SÚPLICA</w:t>
      </w:r>
    </w:p>
    <w:p w:rsidR="00C02152" w:rsidRDefault="00F9573F">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Pr>
          <w:rFonts w:ascii="Century Schoolbook" w:eastAsia="Century Schoolbook" w:hAnsi="Century Schoolbook" w:cs="Century Schoolbook"/>
          <w:b/>
          <w:smallCaps/>
          <w:color w:val="000000"/>
        </w:rPr>
        <w:t>EN MÉRITO DE LO ANTERIOR</w:t>
      </w:r>
      <w:r>
        <w:rPr>
          <w:rFonts w:ascii="Century Schoolbook" w:eastAsia="Century Schoolbook" w:hAnsi="Century Schoolbook" w:cs="Century Schoolbook"/>
          <w:b/>
          <w:color w:val="000000"/>
        </w:rPr>
        <w:t xml:space="preserve">, </w:t>
      </w:r>
      <w:r>
        <w:rPr>
          <w:rFonts w:ascii="Century Schoolbook" w:eastAsia="Century Schoolbook" w:hAnsi="Century Schoolbook" w:cs="Century Schoolbook"/>
          <w:color w:val="000000"/>
        </w:rPr>
        <w:t xml:space="preserve">se solicita a </w:t>
      </w:r>
      <w:r>
        <w:rPr>
          <w:rFonts w:ascii="Century Schoolbook" w:eastAsia="Century Schoolbook" w:hAnsi="Century Schoolbook" w:cs="Century Schoolbook"/>
          <w:color w:val="000000"/>
        </w:rPr>
        <w:t xml:space="preserve">este Tribunal que tome conocimiento de lo antes expuesto, declare </w:t>
      </w:r>
      <w:r>
        <w:rPr>
          <w:rFonts w:ascii="Century Schoolbook" w:eastAsia="Century Schoolbook" w:hAnsi="Century Schoolbook" w:cs="Century Schoolbook"/>
          <w:b/>
          <w:color w:val="000000"/>
        </w:rPr>
        <w:t>HA LUGAR</w:t>
      </w:r>
      <w:r>
        <w:rPr>
          <w:rFonts w:ascii="Century Schoolbook" w:eastAsia="Century Schoolbook" w:hAnsi="Century Schoolbook" w:cs="Century Schoolbook"/>
          <w:color w:val="000000"/>
        </w:rPr>
        <w:t xml:space="preserve"> la presente petición y, en consecuencia, ordene a las partes promovidas a cumplir inmediatamente con su deber ministerial en este caso, particularmente proveer la siguiente informac</w:t>
      </w:r>
      <w:r>
        <w:rPr>
          <w:rFonts w:ascii="Century Schoolbook" w:eastAsia="Century Schoolbook" w:hAnsi="Century Schoolbook" w:cs="Century Schoolbook"/>
          <w:color w:val="000000"/>
        </w:rPr>
        <w:t>ión solicitada:</w:t>
      </w:r>
    </w:p>
    <w:p w:rsidR="00C02152" w:rsidRDefault="00C02152">
      <w:pPr>
        <w:pBdr>
          <w:top w:val="nil"/>
          <w:left w:val="nil"/>
          <w:bottom w:val="nil"/>
          <w:right w:val="nil"/>
          <w:between w:val="nil"/>
        </w:pBdr>
        <w:spacing w:after="120"/>
        <w:ind w:left="360" w:right="360"/>
        <w:jc w:val="both"/>
        <w:rPr>
          <w:rFonts w:ascii="Century Schoolbook" w:eastAsia="Century Schoolbook" w:hAnsi="Century Schoolbook" w:cs="Century Schoolbook"/>
          <w:color w:val="000000"/>
        </w:rPr>
      </w:pPr>
    </w:p>
    <w:p w:rsidR="00C02152" w:rsidRDefault="00F9573F">
      <w:pPr>
        <w:pBdr>
          <w:top w:val="nil"/>
          <w:left w:val="nil"/>
          <w:bottom w:val="nil"/>
          <w:right w:val="nil"/>
          <w:between w:val="nil"/>
        </w:pBdr>
        <w:spacing w:after="120"/>
        <w:ind w:left="36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rPr>
        <w:t>1</w:t>
      </w:r>
      <w:r>
        <w:rPr>
          <w:rFonts w:ascii="Century Schoolbook" w:eastAsia="Century Schoolbook" w:hAnsi="Century Schoolbook" w:cs="Century Schoolbook"/>
          <w:color w:val="000000"/>
        </w:rPr>
        <w:t>. La lista de las escuelas públicas cerradas con posterioridad al paso del huracán María, con la indicación de cuáles escuelas fueron receptoras de los estudiantes de las cerradas y la cantidad de matrícula de ambas (cerradas y receptoras).</w:t>
      </w:r>
    </w:p>
    <w:p w:rsidR="00C02152" w:rsidRDefault="00F9573F">
      <w:pPr>
        <w:pBdr>
          <w:top w:val="nil"/>
          <w:left w:val="nil"/>
          <w:bottom w:val="nil"/>
          <w:right w:val="nil"/>
          <w:between w:val="nil"/>
        </w:pBdr>
        <w:spacing w:after="120"/>
        <w:ind w:left="36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rPr>
        <w:lastRenderedPageBreak/>
        <w:t>2</w:t>
      </w:r>
      <w:r>
        <w:rPr>
          <w:rFonts w:ascii="Century Schoolbook" w:eastAsia="Century Schoolbook" w:hAnsi="Century Schoolbook" w:cs="Century Schoolbook"/>
          <w:color w:val="000000"/>
        </w:rPr>
        <w:t xml:space="preserve">. Todas las inspecciones de escuelas posteriores al huracán María, ya que en el portal </w:t>
      </w:r>
      <w:r>
        <w:rPr>
          <w:rFonts w:ascii="Century Schoolbook" w:eastAsia="Century Schoolbook" w:hAnsi="Century Schoolbook" w:cs="Century Schoolbook"/>
          <w:i/>
          <w:color w:val="000000"/>
        </w:rPr>
        <w:t>IntraEdu</w:t>
      </w:r>
      <w:r>
        <w:rPr>
          <w:rFonts w:ascii="Century Schoolbook" w:eastAsia="Century Schoolbook" w:hAnsi="Century Schoolbook" w:cs="Century Schoolbook"/>
          <w:color w:val="000000"/>
        </w:rPr>
        <w:t xml:space="preserve"> del DE aparecen 537 de 1,032 inspecciones. </w:t>
      </w:r>
    </w:p>
    <w:p w:rsidR="00C02152" w:rsidRDefault="00F9573F">
      <w:pPr>
        <w:pBdr>
          <w:top w:val="nil"/>
          <w:left w:val="nil"/>
          <w:bottom w:val="nil"/>
          <w:right w:val="nil"/>
          <w:between w:val="nil"/>
        </w:pBdr>
        <w:spacing w:after="120"/>
        <w:ind w:left="36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rPr>
        <w:t>3</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rPr>
        <w:t>El presupuesto del DE para el Año Fiscal 2019-2020, detallado por área, oficina o programa, y por escuela, que se</w:t>
      </w:r>
      <w:r>
        <w:rPr>
          <w:rFonts w:ascii="Century Schoolbook" w:eastAsia="Century Schoolbook" w:hAnsi="Century Schoolbook" w:cs="Century Schoolbook"/>
        </w:rPr>
        <w:t xml:space="preserve">gún el inciso (8) del Artículo 2.04 de la </w:t>
      </w:r>
      <w:r>
        <w:rPr>
          <w:rFonts w:ascii="Century Schoolbook" w:eastAsia="Century Schoolbook" w:hAnsi="Century Schoolbook" w:cs="Century Schoolbook"/>
          <w:i/>
        </w:rPr>
        <w:t>Ley de reforma educativa de Puerto Rico</w:t>
      </w:r>
      <w:r>
        <w:rPr>
          <w:rFonts w:ascii="Century Schoolbook" w:eastAsia="Century Schoolbook" w:hAnsi="Century Schoolbook" w:cs="Century Schoolbook"/>
        </w:rPr>
        <w:t>, Ley Núm. 85-2018, 3 LPRA § 9802c (2019), el Secretario del DE deberá publicar en la página cibernética del Departamento</w:t>
      </w:r>
      <w:r>
        <w:rPr>
          <w:rFonts w:ascii="Century Schoolbook" w:eastAsia="Century Schoolbook" w:hAnsi="Century Schoolbook" w:cs="Century Schoolbook"/>
          <w:color w:val="000000"/>
        </w:rPr>
        <w:t>.</w:t>
      </w:r>
    </w:p>
    <w:p w:rsidR="00C02152" w:rsidRDefault="00F9573F">
      <w:pPr>
        <w:pBdr>
          <w:top w:val="nil"/>
          <w:left w:val="nil"/>
          <w:bottom w:val="nil"/>
          <w:right w:val="nil"/>
          <w:between w:val="nil"/>
        </w:pBd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4. Directorio u organigrama vigente del DE con sus o</w:t>
      </w:r>
      <w:r>
        <w:rPr>
          <w:rFonts w:ascii="Century Schoolbook" w:eastAsia="Century Schoolbook" w:hAnsi="Century Schoolbook" w:cs="Century Schoolbook"/>
        </w:rPr>
        <w:t>ficinas y personal de contacto.</w:t>
      </w:r>
    </w:p>
    <w:p w:rsidR="00C02152" w:rsidRDefault="00F9573F">
      <w:pPr>
        <w:pBdr>
          <w:top w:val="nil"/>
          <w:left w:val="nil"/>
          <w:bottom w:val="nil"/>
          <w:right w:val="nil"/>
          <w:between w:val="nil"/>
        </w:pBd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5. Cantidad de auditores internos y nombres de las firmas contratadas para las auditorías anuales que debe hacer el DE.</w:t>
      </w:r>
    </w:p>
    <w:p w:rsidR="00C02152" w:rsidRDefault="00F9573F">
      <w:pPr>
        <w:pBdr>
          <w:top w:val="nil"/>
          <w:left w:val="nil"/>
          <w:bottom w:val="nil"/>
          <w:right w:val="nil"/>
          <w:between w:val="nil"/>
        </w:pBd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6. Lista de integrantes del “task force” presupuestario mencionado en la reunión de la Junta de Control </w:t>
      </w:r>
      <w:r>
        <w:rPr>
          <w:rFonts w:ascii="Century Schoolbook" w:eastAsia="Century Schoolbook" w:hAnsi="Century Schoolbook" w:cs="Century Schoolbook"/>
        </w:rPr>
        <w:t>Fiscal (en noviembre de 2019), los objetivos establecidos para el task force, y las fechas y actas de reuniones sostenidas.</w:t>
      </w:r>
    </w:p>
    <w:p w:rsidR="00C02152" w:rsidRDefault="00F9573F">
      <w:pPr>
        <w:pBdr>
          <w:top w:val="nil"/>
          <w:left w:val="nil"/>
          <w:bottom w:val="nil"/>
          <w:right w:val="nil"/>
          <w:between w:val="nil"/>
        </w:pBd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7. Cantidad de fondos federales que se han tenido que devolver del 2016 al presente.</w:t>
      </w:r>
    </w:p>
    <w:p w:rsidR="00C02152" w:rsidRDefault="00F9573F">
      <w:pPr>
        <w:pBdr>
          <w:top w:val="nil"/>
          <w:left w:val="nil"/>
          <w:bottom w:val="nil"/>
          <w:right w:val="nil"/>
          <w:between w:val="nil"/>
        </w:pBd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8. Desglose del uso de fondos de recuperación d</w:t>
      </w:r>
      <w:r>
        <w:rPr>
          <w:rFonts w:ascii="Century Schoolbook" w:eastAsia="Century Schoolbook" w:hAnsi="Century Schoolbook" w:cs="Century Schoolbook"/>
        </w:rPr>
        <w:t>e huracán María por proyecto o escuela, incluyendo fondos provenientes de agencias federales distintas a la Federal Emergency Management Agency (FEMA), como los fondos del Departamento de Educación federal identificados para asuntos de recuperación.</w:t>
      </w:r>
    </w:p>
    <w:p w:rsidR="00C02152" w:rsidRDefault="00F9573F">
      <w:pPr>
        <w:pBdr>
          <w:top w:val="nil"/>
          <w:left w:val="nil"/>
          <w:bottom w:val="nil"/>
          <w:right w:val="nil"/>
          <w:between w:val="nil"/>
        </w:pBdr>
        <w:spacing w:after="240"/>
        <w:ind w:left="360" w:right="360"/>
        <w:jc w:val="both"/>
        <w:rPr>
          <w:rFonts w:ascii="Century Schoolbook" w:eastAsia="Century Schoolbook" w:hAnsi="Century Schoolbook" w:cs="Century Schoolbook"/>
          <w:color w:val="000000"/>
        </w:rPr>
      </w:pPr>
      <w:r>
        <w:rPr>
          <w:rFonts w:ascii="Century Schoolbook" w:eastAsia="Century Schoolbook" w:hAnsi="Century Schoolbook" w:cs="Century Schoolbook"/>
        </w:rPr>
        <w:t>9</w:t>
      </w:r>
      <w:r>
        <w:rPr>
          <w:rFonts w:ascii="Century Schoolbook" w:eastAsia="Century Schoolbook" w:hAnsi="Century Schoolbook" w:cs="Century Schoolbook"/>
          <w:color w:val="000000"/>
        </w:rPr>
        <w:t xml:space="preserve">. El </w:t>
      </w:r>
      <w:r>
        <w:rPr>
          <w:rFonts w:ascii="Century Schoolbook" w:eastAsia="Century Schoolbook" w:hAnsi="Century Schoolbook" w:cs="Century Schoolbook"/>
          <w:color w:val="000000"/>
        </w:rPr>
        <w:t>año de construcción de todas las escuelas públicas abiertas, así como el de las escuelas cerradas desde 2010, bajo la tutela de la Oficina para el Mejoramiento de las Escuelas Públicas (OMEP).</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 xml:space="preserve">10. El informe de incidentes de acoso en las escuelas para los </w:t>
      </w:r>
      <w:r>
        <w:rPr>
          <w:rFonts w:ascii="Century Schoolbook" w:eastAsia="Century Schoolbook" w:hAnsi="Century Schoolbook" w:cs="Century Schoolbook"/>
        </w:rPr>
        <w:t xml:space="preserve">años 2018 y 2019, que según el inciso (i.) del Artículo 9.07 de la </w:t>
      </w:r>
      <w:r>
        <w:rPr>
          <w:rFonts w:ascii="Century Schoolbook" w:eastAsia="Century Schoolbook" w:hAnsi="Century Schoolbook" w:cs="Century Schoolbook"/>
          <w:i/>
        </w:rPr>
        <w:t>Ley de reforma educativa de Puerto Rico</w:t>
      </w:r>
      <w:r>
        <w:rPr>
          <w:rFonts w:ascii="Century Schoolbook" w:eastAsia="Century Schoolbook" w:hAnsi="Century Schoolbook" w:cs="Century Schoolbook"/>
        </w:rPr>
        <w:t>, Ley Núm. 85-2018, 3 LPRA § 9809f (2019), el Secretario del DE debe someter anualmente a la Asamblea Legislativa.</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11. Número de usuarios únicos de la</w:t>
      </w:r>
      <w:r>
        <w:rPr>
          <w:rFonts w:ascii="Century Schoolbook" w:eastAsia="Century Schoolbook" w:hAnsi="Century Schoolbook" w:cs="Century Schoolbook"/>
        </w:rPr>
        <w:t>s plataformas del DE para educación en línea.</w:t>
      </w:r>
    </w:p>
    <w:p w:rsidR="00C02152" w:rsidRDefault="00F9573F">
      <w:pPr>
        <w:spacing w:after="120"/>
        <w:ind w:left="360" w:right="360"/>
        <w:jc w:val="both"/>
        <w:rPr>
          <w:rFonts w:ascii="Century Schoolbook" w:eastAsia="Century Schoolbook" w:hAnsi="Century Schoolbook" w:cs="Century Schoolbook"/>
        </w:rPr>
      </w:pPr>
      <w:r>
        <w:rPr>
          <w:rFonts w:ascii="Century Schoolbook" w:eastAsia="Century Schoolbook" w:hAnsi="Century Schoolbook" w:cs="Century Schoolbook"/>
        </w:rPr>
        <w:t>12. Plan para atender las escuelas del sur afectadas por los terremotos.</w:t>
      </w:r>
    </w:p>
    <w:p w:rsidR="00C02152" w:rsidRDefault="00C02152">
      <w:pPr>
        <w:spacing w:after="120"/>
        <w:ind w:right="360"/>
        <w:jc w:val="both"/>
        <w:rPr>
          <w:rFonts w:ascii="Century Schoolbook" w:eastAsia="Century Schoolbook" w:hAnsi="Century Schoolbook" w:cs="Century Schoolbook"/>
        </w:rPr>
      </w:pPr>
    </w:p>
    <w:p w:rsidR="00C02152" w:rsidRDefault="00F9573F">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Además, se solicita al Tribunal que ordene a las partes promovidas a proceder con la divulgación prospectiva de esta información al CPI cuando le sea solicitada, en los mismos términos en los que le </w:t>
      </w:r>
      <w:r>
        <w:rPr>
          <w:rFonts w:ascii="Century Schoolbook" w:eastAsia="Century Schoolbook" w:hAnsi="Century Schoolbook" w:cs="Century Schoolbook"/>
        </w:rPr>
        <w:t>sea</w:t>
      </w:r>
      <w:r>
        <w:rPr>
          <w:rFonts w:ascii="Century Schoolbook" w:eastAsia="Century Schoolbook" w:hAnsi="Century Schoolbook" w:cs="Century Schoolbook"/>
          <w:color w:val="000000"/>
        </w:rPr>
        <w:t xml:space="preserve"> ordenado divulgar, y en cumplimiento con la normativa</w:t>
      </w:r>
      <w:r>
        <w:rPr>
          <w:rFonts w:ascii="Century Schoolbook" w:eastAsia="Century Schoolbook" w:hAnsi="Century Schoolbook" w:cs="Century Schoolbook"/>
          <w:color w:val="000000"/>
        </w:rPr>
        <w:t xml:space="preserve"> estatutaria y constitucional sobre acceso a la información en nuestra jurisdicción.</w:t>
      </w:r>
    </w:p>
    <w:p w:rsidR="00C02152" w:rsidRDefault="00F9573F">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Por último, se solicita de este Tribunal la imposición del pago de las costas y los gastos de litigio, así como cualquier otro remedio que proceda en derecho.</w:t>
      </w:r>
    </w:p>
    <w:p w:rsidR="00C02152" w:rsidRDefault="00F9573F">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SOMETIDO</w:t>
      </w:r>
      <w:r>
        <w:rPr>
          <w:rFonts w:ascii="Century Schoolbook" w:eastAsia="Century Schoolbook" w:hAnsi="Century Schoolbook" w:cs="Century Schoolbook"/>
          <w:color w:val="000000"/>
        </w:rPr>
        <w:t>.</w:t>
      </w:r>
    </w:p>
    <w:p w:rsidR="00C02152" w:rsidRDefault="00F9573F">
      <w:pPr>
        <w:pBdr>
          <w:top w:val="nil"/>
          <w:left w:val="nil"/>
          <w:bottom w:val="nil"/>
          <w:right w:val="nil"/>
          <w:between w:val="nil"/>
        </w:pBdr>
        <w:tabs>
          <w:tab w:val="left" w:pos="720"/>
        </w:tabs>
        <w:spacing w:line="480" w:lineRule="auto"/>
        <w:ind w:firstLine="36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En</w:t>
      </w:r>
      <w:r>
        <w:rPr>
          <w:rFonts w:ascii="Century Schoolbook" w:eastAsia="Century Schoolbook" w:hAnsi="Century Schoolbook" w:cs="Century Schoolbook"/>
          <w:color w:val="000000"/>
        </w:rPr>
        <w:t xml:space="preserve"> San Juan, Puerto Rico, a </w:t>
      </w:r>
      <w:r>
        <w:rPr>
          <w:rFonts w:ascii="Century Schoolbook" w:eastAsia="Century Schoolbook" w:hAnsi="Century Schoolbook" w:cs="Century Schoolbook"/>
        </w:rPr>
        <w:t>28</w:t>
      </w:r>
      <w:r>
        <w:rPr>
          <w:rFonts w:ascii="Century Schoolbook" w:eastAsia="Century Schoolbook" w:hAnsi="Century Schoolbook" w:cs="Century Schoolbook"/>
          <w:color w:val="000000"/>
        </w:rPr>
        <w:t xml:space="preserve"> de </w:t>
      </w:r>
      <w:r>
        <w:rPr>
          <w:rFonts w:ascii="Century Schoolbook" w:eastAsia="Century Schoolbook" w:hAnsi="Century Schoolbook" w:cs="Century Schoolbook"/>
        </w:rPr>
        <w:t>mayo</w:t>
      </w:r>
      <w:r>
        <w:rPr>
          <w:rFonts w:ascii="Century Schoolbook" w:eastAsia="Century Schoolbook" w:hAnsi="Century Schoolbook" w:cs="Century Schoolbook"/>
          <w:color w:val="000000"/>
        </w:rPr>
        <w:t xml:space="preserve"> de 2020.</w:t>
      </w:r>
    </w:p>
    <w:p w:rsidR="00C02152" w:rsidRDefault="00F9573F">
      <w:pPr>
        <w:jc w:val="both"/>
        <w:rPr>
          <w:rFonts w:ascii="Century Schoolbook" w:eastAsia="Century Schoolbook" w:hAnsi="Century Schoolbook" w:cs="Century Schoolbook"/>
        </w:rPr>
      </w:pPr>
      <w:r>
        <w:rPr>
          <w:rFonts w:ascii="Century Schoolbook" w:eastAsia="Century Schoolbook" w:hAnsi="Century Schoolbook" w:cs="Century Schoolbook"/>
          <w:b/>
          <w:i/>
        </w:rPr>
        <w:t>(f) Luis José Torres Asencio</w:t>
      </w:r>
      <w:r>
        <w:rPr>
          <w:rFonts w:ascii="Century Schoolbook" w:eastAsia="Century Schoolbook" w:hAnsi="Century Schoolbook" w:cs="Century Schoolbook"/>
          <w:b/>
          <w:i/>
        </w:rPr>
        <w:tab/>
      </w:r>
      <w:r>
        <w:rPr>
          <w:rFonts w:ascii="Century Schoolbook" w:eastAsia="Century Schoolbook" w:hAnsi="Century Schoolbook" w:cs="Century Schoolbook"/>
          <w:b/>
          <w:i/>
        </w:rPr>
        <w:tab/>
      </w:r>
      <w:r>
        <w:rPr>
          <w:rFonts w:ascii="Century Schoolbook" w:eastAsia="Century Schoolbook" w:hAnsi="Century Schoolbook" w:cs="Century Schoolbook"/>
          <w:b/>
          <w:i/>
        </w:rPr>
        <w:tab/>
        <w:t>(f) Steven P. Lausell Recurt</w:t>
      </w: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rPr>
        <w:t>Colegiado Núm. 17087</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Colegiado Núm. 17958</w:t>
      </w: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rPr>
        <w:t>TS Núm. 15610</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TS Núm. 16644</w:t>
      </w: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rPr>
        <w:lastRenderedPageBreak/>
        <w:t>Profesor</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Profesor</w:t>
      </w: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rPr>
        <w:t>Clínica de Asistencia Legal</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Clínica de Asistencia Legal</w:t>
      </w: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rPr>
        <w:t>Facultad de Derecho UIPR</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Facultad de Derecho UIPR</w:t>
      </w: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rPr>
        <w:t>PO Box 368038</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PO Box 194735</w:t>
      </w: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rPr>
        <w:t>San Juan, PR 00936-8038</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San Juan, PR 00919-4735</w:t>
      </w:r>
    </w:p>
    <w:p w:rsidR="00C02152" w:rsidRDefault="00F9573F">
      <w:pPr>
        <w:rPr>
          <w:rFonts w:ascii="Century Schoolbook" w:eastAsia="Century Schoolbook" w:hAnsi="Century Schoolbook" w:cs="Century Schoolbook"/>
        </w:rPr>
      </w:pPr>
      <w:r>
        <w:rPr>
          <w:rFonts w:ascii="Century Schoolbook" w:eastAsia="Century Schoolbook" w:hAnsi="Century Schoolbook" w:cs="Century Schoolbook"/>
        </w:rPr>
        <w:t>Tel. (787) 209-6375; Fax: N/A</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T. 787-751-1600; F. 787-751-1867</w:t>
      </w:r>
    </w:p>
    <w:p w:rsidR="00C02152" w:rsidRDefault="00F9573F">
      <w:pPr>
        <w:spacing w:after="240"/>
        <w:rPr>
          <w:rFonts w:ascii="Century Schoolbook" w:eastAsia="Century Schoolbook" w:hAnsi="Century Schoolbook" w:cs="Century Schoolbook"/>
        </w:rPr>
      </w:pPr>
      <w:r>
        <w:rPr>
          <w:rFonts w:ascii="Century Schoolbook" w:eastAsia="Century Schoolbook" w:hAnsi="Century Schoolbook" w:cs="Century Schoolbook"/>
        </w:rPr>
        <w:t>C/E: luis.jose.torres.asenci</w:t>
      </w:r>
      <w:r>
        <w:rPr>
          <w:rFonts w:ascii="Century Schoolbook" w:eastAsia="Century Schoolbook" w:hAnsi="Century Schoolbook" w:cs="Century Schoolbook"/>
        </w:rPr>
        <w:t>o@gmail.com</w:t>
      </w:r>
      <w:r>
        <w:rPr>
          <w:rFonts w:ascii="Century Schoolbook" w:eastAsia="Century Schoolbook" w:hAnsi="Century Schoolbook" w:cs="Century Schoolbook"/>
        </w:rPr>
        <w:tab/>
        <w:t>C/E: slausell@gmail.com</w:t>
      </w:r>
    </w:p>
    <w:p w:rsidR="00C02152" w:rsidRDefault="00F9573F">
      <w:pPr>
        <w:jc w:val="both"/>
        <w:rPr>
          <w:rFonts w:ascii="Century Schoolbook" w:eastAsia="Century Schoolbook" w:hAnsi="Century Schoolbook" w:cs="Century Schoolbook"/>
          <w:color w:val="000000"/>
        </w:rPr>
      </w:pPr>
      <w:bookmarkStart w:id="3" w:name="_heading=h.1fob9te" w:colFirst="0" w:colLast="0"/>
      <w:bookmarkEnd w:id="3"/>
      <w:r>
        <w:rPr>
          <w:rFonts w:ascii="Century Schoolbook" w:eastAsia="Century Schoolbook" w:hAnsi="Century Schoolbook" w:cs="Century Schoolbook"/>
        </w:rPr>
        <w:t>Se presenta libre de derechos por las partes peticionarias estar representadas por la Clínica de Asistencia Legal de la Facultad de Derecho de la Universidad Interamericana de Puerto Rico. 4 LPRA § 303a (2019).</w:t>
      </w:r>
    </w:p>
    <w:sectPr w:rsidR="00C02152">
      <w:footerReference w:type="even" r:id="rId14"/>
      <w:footerReference w:type="default" r:id="rId15"/>
      <w:pgSz w:w="12240" w:h="20160"/>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573F">
      <w:r>
        <w:separator/>
      </w:r>
    </w:p>
  </w:endnote>
  <w:endnote w:type="continuationSeparator" w:id="0">
    <w:p w:rsidR="00000000" w:rsidRDefault="00F9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52" w:rsidRDefault="00F9573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C02152" w:rsidRDefault="00C0215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52" w:rsidRDefault="00F9573F">
    <w:pPr>
      <w:pBdr>
        <w:top w:val="nil"/>
        <w:left w:val="nil"/>
        <w:bottom w:val="nil"/>
        <w:right w:val="nil"/>
        <w:between w:val="nil"/>
      </w:pBdr>
      <w:tabs>
        <w:tab w:val="center" w:pos="4680"/>
        <w:tab w:val="right" w:pos="9360"/>
      </w:tabs>
      <w:jc w:val="right"/>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fldChar w:fldCharType="begin"/>
    </w:r>
    <w:r>
      <w:rPr>
        <w:rFonts w:ascii="Century Schoolbook" w:eastAsia="Century Schoolbook" w:hAnsi="Century Schoolbook" w:cs="Century Schoolbook"/>
        <w:color w:val="000000"/>
      </w:rPr>
      <w:instrText>PAGE</w:instrText>
    </w:r>
    <w:r>
      <w:rPr>
        <w:rFonts w:ascii="Century Schoolbook" w:eastAsia="Century Schoolbook" w:hAnsi="Century Schoolbook" w:cs="Century Schoolbook"/>
        <w:color w:val="000000"/>
      </w:rPr>
      <w:fldChar w:fldCharType="separate"/>
    </w:r>
    <w:r>
      <w:rPr>
        <w:rFonts w:ascii="Century Schoolbook" w:eastAsia="Century Schoolbook" w:hAnsi="Century Schoolbook" w:cs="Century Schoolbook"/>
        <w:noProof/>
        <w:color w:val="000000"/>
      </w:rPr>
      <w:t>15</w:t>
    </w:r>
    <w:r>
      <w:rPr>
        <w:rFonts w:ascii="Century Schoolbook" w:eastAsia="Century Schoolbook" w:hAnsi="Century Schoolbook" w:cs="Century Schoolbook"/>
        <w:color w:val="000000"/>
      </w:rPr>
      <w:fldChar w:fldCharType="end"/>
    </w:r>
  </w:p>
  <w:p w:rsidR="00C02152" w:rsidRDefault="00C0215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573F">
      <w:r>
        <w:separator/>
      </w:r>
    </w:p>
  </w:footnote>
  <w:footnote w:type="continuationSeparator" w:id="0">
    <w:p w:rsidR="00000000" w:rsidRDefault="00F9573F">
      <w:r>
        <w:continuationSeparator/>
      </w:r>
    </w:p>
  </w:footnote>
  <w:footnote w:id="1">
    <w:p w:rsidR="00C02152" w:rsidRDefault="00F9573F">
      <w:pPr>
        <w:pBdr>
          <w:top w:val="nil"/>
          <w:left w:val="nil"/>
          <w:bottom w:val="nil"/>
          <w:right w:val="nil"/>
          <w:between w:val="nil"/>
        </w:pBdr>
        <w:spacing w:after="120"/>
        <w:jc w:val="both"/>
        <w:rPr>
          <w:rFonts w:ascii="Century Schoolbook" w:eastAsia="Century Schoolbook" w:hAnsi="Century Schoolbook" w:cs="Century Schoolbook"/>
          <w:color w:val="000000"/>
          <w:sz w:val="20"/>
          <w:szCs w:val="20"/>
        </w:rPr>
      </w:pPr>
      <w:r>
        <w:rPr>
          <w:rStyle w:val="FootnoteReference"/>
        </w:rPr>
        <w:footnoteRef/>
      </w:r>
      <w:r>
        <w:rPr>
          <w:rFonts w:ascii="Century Schoolbook" w:eastAsia="Century Schoolbook" w:hAnsi="Century Schoolbook" w:cs="Century Schoolbook"/>
          <w:color w:val="000000"/>
          <w:sz w:val="20"/>
          <w:szCs w:val="20"/>
        </w:rPr>
        <w:t xml:space="preserve"> Aunque la Ley de transparencia y procedimiento expedito para el acceso a la información pública, Ley Núm. 141-2019, crea una recurso especial para casos de acceso a la información, el Artículo 12 de la medida dispone que “[l]a enumeración de derechos que </w:t>
      </w:r>
      <w:r>
        <w:rPr>
          <w:rFonts w:ascii="Century Schoolbook" w:eastAsia="Century Schoolbook" w:hAnsi="Century Schoolbook" w:cs="Century Schoolbook"/>
          <w:color w:val="000000"/>
          <w:sz w:val="20"/>
          <w:szCs w:val="20"/>
        </w:rPr>
        <w:t xml:space="preserve">antecede no se entenderá de forma restrictiva, ni supone la exclusión de otros derechos y procedimientos pertenecientes a las personas solicitantes de información pública y no mencionados específicamente como lo es el recurso de </w:t>
      </w:r>
      <w:r>
        <w:rPr>
          <w:rFonts w:ascii="Century Schoolbook" w:eastAsia="Century Schoolbook" w:hAnsi="Century Schoolbook" w:cs="Century Schoolbook"/>
          <w:i/>
          <w:color w:val="000000"/>
          <w:sz w:val="20"/>
          <w:szCs w:val="20"/>
        </w:rPr>
        <w:t>mandamus</w:t>
      </w:r>
      <w:r>
        <w:rPr>
          <w:rFonts w:ascii="Century Schoolbook" w:eastAsia="Century Schoolbook" w:hAnsi="Century Schoolbook" w:cs="Century Schoolbook"/>
          <w:color w:val="000000"/>
          <w:sz w:val="20"/>
          <w:szCs w:val="20"/>
        </w:rPr>
        <w:t xml:space="preserve"> tradicional”.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312F8"/>
    <w:multiLevelType w:val="multilevel"/>
    <w:tmpl w:val="E398B8C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2152"/>
    <w:rsid w:val="00C02152"/>
    <w:rsid w:val="00F9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71"/>
  </w:style>
  <w:style w:type="paragraph" w:styleId="Heading1">
    <w:name w:val="heading 1"/>
    <w:basedOn w:val="Normal"/>
    <w:next w:val="Normal"/>
    <w:pPr>
      <w:keepNext/>
      <w:keepLines/>
      <w:spacing w:before="480" w:after="120"/>
      <w:outlineLvl w:val="0"/>
    </w:pPr>
    <w:rPr>
      <w:rFonts w:ascii="Bookman Old Style" w:hAnsi="Bookman Old Style" w:cs="Bookman Old Style"/>
      <w:b/>
      <w:sz w:val="48"/>
      <w:szCs w:val="48"/>
      <w:lang w:val="es-ES"/>
    </w:rPr>
  </w:style>
  <w:style w:type="paragraph" w:styleId="Heading2">
    <w:name w:val="heading 2"/>
    <w:basedOn w:val="Normal"/>
    <w:next w:val="Normal"/>
    <w:pPr>
      <w:keepNext/>
      <w:keepLines/>
      <w:spacing w:before="360" w:after="80"/>
      <w:outlineLvl w:val="1"/>
    </w:pPr>
    <w:rPr>
      <w:rFonts w:ascii="Bookman Old Style" w:hAnsi="Bookman Old Style" w:cs="Bookman Old Style"/>
      <w:b/>
      <w:sz w:val="36"/>
      <w:szCs w:val="36"/>
      <w:lang w:val="es-ES"/>
    </w:rPr>
  </w:style>
  <w:style w:type="paragraph" w:styleId="Heading3">
    <w:name w:val="heading 3"/>
    <w:basedOn w:val="Normal"/>
    <w:next w:val="Normal"/>
    <w:pPr>
      <w:keepNext/>
      <w:keepLines/>
      <w:spacing w:before="280" w:after="80"/>
      <w:outlineLvl w:val="2"/>
    </w:pPr>
    <w:rPr>
      <w:rFonts w:ascii="Bookman Old Style" w:hAnsi="Bookman Old Style" w:cs="Bookman Old Style"/>
      <w:b/>
      <w:sz w:val="28"/>
      <w:szCs w:val="28"/>
      <w:lang w:val="es-ES"/>
    </w:rPr>
  </w:style>
  <w:style w:type="paragraph" w:styleId="Heading4">
    <w:name w:val="heading 4"/>
    <w:basedOn w:val="Normal"/>
    <w:next w:val="Normal"/>
    <w:pPr>
      <w:keepNext/>
      <w:keepLines/>
      <w:spacing w:before="240" w:after="40"/>
      <w:outlineLvl w:val="3"/>
    </w:pPr>
    <w:rPr>
      <w:rFonts w:ascii="Bookman Old Style" w:hAnsi="Bookman Old Style" w:cs="Bookman Old Style"/>
      <w:b/>
      <w:lang w:val="es-ES"/>
    </w:rPr>
  </w:style>
  <w:style w:type="paragraph" w:styleId="Heading5">
    <w:name w:val="heading 5"/>
    <w:basedOn w:val="Normal"/>
    <w:next w:val="Normal"/>
    <w:pPr>
      <w:keepNext/>
      <w:keepLines/>
      <w:spacing w:before="220" w:after="40"/>
      <w:outlineLvl w:val="4"/>
    </w:pPr>
    <w:rPr>
      <w:rFonts w:ascii="Bookman Old Style" w:hAnsi="Bookman Old Style" w:cs="Bookman Old Style"/>
      <w:b/>
      <w:sz w:val="22"/>
      <w:szCs w:val="22"/>
      <w:lang w:val="es-ES"/>
    </w:rPr>
  </w:style>
  <w:style w:type="paragraph" w:styleId="Heading6">
    <w:name w:val="heading 6"/>
    <w:basedOn w:val="Normal"/>
    <w:next w:val="Normal"/>
    <w:pPr>
      <w:keepNext/>
      <w:keepLines/>
      <w:spacing w:before="200" w:after="40"/>
      <w:outlineLvl w:val="5"/>
    </w:pPr>
    <w:rPr>
      <w:rFonts w:ascii="Bookman Old Style" w:hAnsi="Bookman Old Style" w:cs="Bookman Old Style"/>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pPr>
      <w:jc w:val="center"/>
    </w:pPr>
    <w:rPr>
      <w:b/>
      <w:lang w:val="es-ES"/>
    </w:rPr>
  </w:style>
  <w:style w:type="paragraph" w:customStyle="1" w:styleId="normal1">
    <w:name w:val="normal"/>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7573B"/>
    <w:rPr>
      <w:sz w:val="18"/>
      <w:szCs w:val="18"/>
    </w:rPr>
  </w:style>
  <w:style w:type="character" w:customStyle="1" w:styleId="BalloonTextChar">
    <w:name w:val="Balloon Text Char"/>
    <w:basedOn w:val="DefaultParagraphFont"/>
    <w:link w:val="BalloonText"/>
    <w:uiPriority w:val="99"/>
    <w:semiHidden/>
    <w:rsid w:val="0037573B"/>
    <w:rPr>
      <w:rFonts w:ascii="Times New Roman" w:hAnsi="Times New Roman" w:cs="Times New Roman"/>
      <w:sz w:val="18"/>
      <w:szCs w:val="18"/>
    </w:rPr>
  </w:style>
  <w:style w:type="paragraph" w:styleId="Header">
    <w:name w:val="header"/>
    <w:basedOn w:val="Normal"/>
    <w:link w:val="HeaderChar"/>
    <w:uiPriority w:val="99"/>
    <w:unhideWhenUsed/>
    <w:rsid w:val="00DA0FFC"/>
    <w:pPr>
      <w:tabs>
        <w:tab w:val="center" w:pos="4680"/>
        <w:tab w:val="right" w:pos="9360"/>
      </w:tabs>
    </w:pPr>
    <w:rPr>
      <w:rFonts w:ascii="Bookman Old Style" w:hAnsi="Bookman Old Style" w:cs="Bookman Old Style"/>
      <w:lang w:val="es-ES"/>
    </w:rPr>
  </w:style>
  <w:style w:type="character" w:customStyle="1" w:styleId="HeaderChar">
    <w:name w:val="Header Char"/>
    <w:basedOn w:val="DefaultParagraphFont"/>
    <w:link w:val="Header"/>
    <w:uiPriority w:val="99"/>
    <w:rsid w:val="00DA0FFC"/>
  </w:style>
  <w:style w:type="paragraph" w:styleId="Footer">
    <w:name w:val="footer"/>
    <w:basedOn w:val="Normal"/>
    <w:link w:val="FooterChar"/>
    <w:uiPriority w:val="99"/>
    <w:unhideWhenUsed/>
    <w:rsid w:val="00DA0FFC"/>
    <w:pPr>
      <w:tabs>
        <w:tab w:val="center" w:pos="4680"/>
        <w:tab w:val="right" w:pos="9360"/>
      </w:tabs>
    </w:pPr>
    <w:rPr>
      <w:rFonts w:ascii="Bookman Old Style" w:hAnsi="Bookman Old Style" w:cs="Bookman Old Style"/>
      <w:lang w:val="es-ES"/>
    </w:rPr>
  </w:style>
  <w:style w:type="character" w:customStyle="1" w:styleId="FooterChar">
    <w:name w:val="Footer Char"/>
    <w:basedOn w:val="DefaultParagraphFont"/>
    <w:link w:val="Footer"/>
    <w:uiPriority w:val="99"/>
    <w:rsid w:val="00DA0FFC"/>
  </w:style>
  <w:style w:type="paragraph" w:styleId="ListParagraph">
    <w:name w:val="List Paragraph"/>
    <w:basedOn w:val="Normal"/>
    <w:uiPriority w:val="34"/>
    <w:qFormat/>
    <w:rsid w:val="00BD608A"/>
    <w:pPr>
      <w:ind w:left="720"/>
      <w:contextualSpacing/>
    </w:pPr>
    <w:rPr>
      <w:rFonts w:eastAsia="Calibri"/>
    </w:rPr>
  </w:style>
  <w:style w:type="paragraph" w:styleId="FootnoteText">
    <w:name w:val="footnote text"/>
    <w:basedOn w:val="Normal"/>
    <w:link w:val="FootnoteTextChar"/>
    <w:uiPriority w:val="99"/>
    <w:unhideWhenUsed/>
    <w:rsid w:val="00BD608A"/>
    <w:rPr>
      <w:rFonts w:eastAsia="Calibri"/>
    </w:rPr>
  </w:style>
  <w:style w:type="character" w:customStyle="1" w:styleId="FootnoteTextChar">
    <w:name w:val="Footnote Text Char"/>
    <w:basedOn w:val="DefaultParagraphFont"/>
    <w:link w:val="FootnoteText"/>
    <w:uiPriority w:val="99"/>
    <w:rsid w:val="00BD608A"/>
    <w:rPr>
      <w:rFonts w:ascii="Times New Roman" w:eastAsia="Calibri" w:hAnsi="Times New Roman" w:cs="Times New Roman"/>
      <w:lang w:val="en-US"/>
    </w:rPr>
  </w:style>
  <w:style w:type="character" w:styleId="FootnoteReference">
    <w:name w:val="footnote reference"/>
    <w:uiPriority w:val="99"/>
    <w:unhideWhenUsed/>
    <w:rsid w:val="00BD608A"/>
    <w:rPr>
      <w:vertAlign w:val="superscript"/>
    </w:rPr>
  </w:style>
  <w:style w:type="paragraph" w:styleId="NormalWeb">
    <w:name w:val="Normal (Web)"/>
    <w:basedOn w:val="Normal"/>
    <w:uiPriority w:val="99"/>
    <w:unhideWhenUsed/>
    <w:rsid w:val="00134CB2"/>
    <w:pPr>
      <w:spacing w:before="100" w:beforeAutospacing="1" w:after="100" w:afterAutospacing="1"/>
    </w:pPr>
  </w:style>
  <w:style w:type="character" w:styleId="Hyperlink">
    <w:name w:val="Hyperlink"/>
    <w:basedOn w:val="DefaultParagraphFont"/>
    <w:uiPriority w:val="99"/>
    <w:unhideWhenUsed/>
    <w:rsid w:val="00134CB2"/>
    <w:rPr>
      <w:color w:val="0000FF"/>
      <w:u w:val="single"/>
    </w:rPr>
  </w:style>
  <w:style w:type="paragraph" w:styleId="CommentSubject">
    <w:name w:val="annotation subject"/>
    <w:basedOn w:val="CommentText"/>
    <w:next w:val="CommentText"/>
    <w:link w:val="CommentSubjectChar"/>
    <w:uiPriority w:val="99"/>
    <w:semiHidden/>
    <w:unhideWhenUsed/>
    <w:rsid w:val="009D27AE"/>
    <w:rPr>
      <w:b/>
      <w:bCs/>
      <w:sz w:val="20"/>
      <w:szCs w:val="20"/>
    </w:rPr>
  </w:style>
  <w:style w:type="character" w:customStyle="1" w:styleId="CommentSubjectChar">
    <w:name w:val="Comment Subject Char"/>
    <w:basedOn w:val="CommentTextChar"/>
    <w:link w:val="CommentSubject"/>
    <w:uiPriority w:val="99"/>
    <w:semiHidden/>
    <w:rsid w:val="009D27AE"/>
    <w:rPr>
      <w:rFonts w:ascii="Times New Roman" w:hAnsi="Times New Roman" w:cs="Times New Roman"/>
      <w:b/>
      <w:bCs/>
      <w:sz w:val="20"/>
      <w:szCs w:val="20"/>
      <w:lang w:val="en-US"/>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Normal10">
    <w:name w:val="Normal1"/>
    <w:rsid w:val="004D32B3"/>
    <w:rPr>
      <w:color w:val="000000"/>
    </w:rPr>
  </w:style>
  <w:style w:type="character" w:customStyle="1" w:styleId="normal-h">
    <w:name w:val="normal-h"/>
    <w:rsid w:val="00D26DA7"/>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90122A"/>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71"/>
  </w:style>
  <w:style w:type="paragraph" w:styleId="Heading1">
    <w:name w:val="heading 1"/>
    <w:basedOn w:val="Normal"/>
    <w:next w:val="Normal"/>
    <w:pPr>
      <w:keepNext/>
      <w:keepLines/>
      <w:spacing w:before="480" w:after="120"/>
      <w:outlineLvl w:val="0"/>
    </w:pPr>
    <w:rPr>
      <w:rFonts w:ascii="Bookman Old Style" w:hAnsi="Bookman Old Style" w:cs="Bookman Old Style"/>
      <w:b/>
      <w:sz w:val="48"/>
      <w:szCs w:val="48"/>
      <w:lang w:val="es-ES"/>
    </w:rPr>
  </w:style>
  <w:style w:type="paragraph" w:styleId="Heading2">
    <w:name w:val="heading 2"/>
    <w:basedOn w:val="Normal"/>
    <w:next w:val="Normal"/>
    <w:pPr>
      <w:keepNext/>
      <w:keepLines/>
      <w:spacing w:before="360" w:after="80"/>
      <w:outlineLvl w:val="1"/>
    </w:pPr>
    <w:rPr>
      <w:rFonts w:ascii="Bookman Old Style" w:hAnsi="Bookman Old Style" w:cs="Bookman Old Style"/>
      <w:b/>
      <w:sz w:val="36"/>
      <w:szCs w:val="36"/>
      <w:lang w:val="es-ES"/>
    </w:rPr>
  </w:style>
  <w:style w:type="paragraph" w:styleId="Heading3">
    <w:name w:val="heading 3"/>
    <w:basedOn w:val="Normal"/>
    <w:next w:val="Normal"/>
    <w:pPr>
      <w:keepNext/>
      <w:keepLines/>
      <w:spacing w:before="280" w:after="80"/>
      <w:outlineLvl w:val="2"/>
    </w:pPr>
    <w:rPr>
      <w:rFonts w:ascii="Bookman Old Style" w:hAnsi="Bookman Old Style" w:cs="Bookman Old Style"/>
      <w:b/>
      <w:sz w:val="28"/>
      <w:szCs w:val="28"/>
      <w:lang w:val="es-ES"/>
    </w:rPr>
  </w:style>
  <w:style w:type="paragraph" w:styleId="Heading4">
    <w:name w:val="heading 4"/>
    <w:basedOn w:val="Normal"/>
    <w:next w:val="Normal"/>
    <w:pPr>
      <w:keepNext/>
      <w:keepLines/>
      <w:spacing w:before="240" w:after="40"/>
      <w:outlineLvl w:val="3"/>
    </w:pPr>
    <w:rPr>
      <w:rFonts w:ascii="Bookman Old Style" w:hAnsi="Bookman Old Style" w:cs="Bookman Old Style"/>
      <w:b/>
      <w:lang w:val="es-ES"/>
    </w:rPr>
  </w:style>
  <w:style w:type="paragraph" w:styleId="Heading5">
    <w:name w:val="heading 5"/>
    <w:basedOn w:val="Normal"/>
    <w:next w:val="Normal"/>
    <w:pPr>
      <w:keepNext/>
      <w:keepLines/>
      <w:spacing w:before="220" w:after="40"/>
      <w:outlineLvl w:val="4"/>
    </w:pPr>
    <w:rPr>
      <w:rFonts w:ascii="Bookman Old Style" w:hAnsi="Bookman Old Style" w:cs="Bookman Old Style"/>
      <w:b/>
      <w:sz w:val="22"/>
      <w:szCs w:val="22"/>
      <w:lang w:val="es-ES"/>
    </w:rPr>
  </w:style>
  <w:style w:type="paragraph" w:styleId="Heading6">
    <w:name w:val="heading 6"/>
    <w:basedOn w:val="Normal"/>
    <w:next w:val="Normal"/>
    <w:pPr>
      <w:keepNext/>
      <w:keepLines/>
      <w:spacing w:before="200" w:after="40"/>
      <w:outlineLvl w:val="5"/>
    </w:pPr>
    <w:rPr>
      <w:rFonts w:ascii="Bookman Old Style" w:hAnsi="Bookman Old Style" w:cs="Bookman Old Style"/>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pPr>
      <w:jc w:val="center"/>
    </w:pPr>
    <w:rPr>
      <w:b/>
      <w:lang w:val="es-ES"/>
    </w:rPr>
  </w:style>
  <w:style w:type="paragraph" w:customStyle="1" w:styleId="normal1">
    <w:name w:val="normal"/>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7573B"/>
    <w:rPr>
      <w:sz w:val="18"/>
      <w:szCs w:val="18"/>
    </w:rPr>
  </w:style>
  <w:style w:type="character" w:customStyle="1" w:styleId="BalloonTextChar">
    <w:name w:val="Balloon Text Char"/>
    <w:basedOn w:val="DefaultParagraphFont"/>
    <w:link w:val="BalloonText"/>
    <w:uiPriority w:val="99"/>
    <w:semiHidden/>
    <w:rsid w:val="0037573B"/>
    <w:rPr>
      <w:rFonts w:ascii="Times New Roman" w:hAnsi="Times New Roman" w:cs="Times New Roman"/>
      <w:sz w:val="18"/>
      <w:szCs w:val="18"/>
    </w:rPr>
  </w:style>
  <w:style w:type="paragraph" w:styleId="Header">
    <w:name w:val="header"/>
    <w:basedOn w:val="Normal"/>
    <w:link w:val="HeaderChar"/>
    <w:uiPriority w:val="99"/>
    <w:unhideWhenUsed/>
    <w:rsid w:val="00DA0FFC"/>
    <w:pPr>
      <w:tabs>
        <w:tab w:val="center" w:pos="4680"/>
        <w:tab w:val="right" w:pos="9360"/>
      </w:tabs>
    </w:pPr>
    <w:rPr>
      <w:rFonts w:ascii="Bookman Old Style" w:hAnsi="Bookman Old Style" w:cs="Bookman Old Style"/>
      <w:lang w:val="es-ES"/>
    </w:rPr>
  </w:style>
  <w:style w:type="character" w:customStyle="1" w:styleId="HeaderChar">
    <w:name w:val="Header Char"/>
    <w:basedOn w:val="DefaultParagraphFont"/>
    <w:link w:val="Header"/>
    <w:uiPriority w:val="99"/>
    <w:rsid w:val="00DA0FFC"/>
  </w:style>
  <w:style w:type="paragraph" w:styleId="Footer">
    <w:name w:val="footer"/>
    <w:basedOn w:val="Normal"/>
    <w:link w:val="FooterChar"/>
    <w:uiPriority w:val="99"/>
    <w:unhideWhenUsed/>
    <w:rsid w:val="00DA0FFC"/>
    <w:pPr>
      <w:tabs>
        <w:tab w:val="center" w:pos="4680"/>
        <w:tab w:val="right" w:pos="9360"/>
      </w:tabs>
    </w:pPr>
    <w:rPr>
      <w:rFonts w:ascii="Bookman Old Style" w:hAnsi="Bookman Old Style" w:cs="Bookman Old Style"/>
      <w:lang w:val="es-ES"/>
    </w:rPr>
  </w:style>
  <w:style w:type="character" w:customStyle="1" w:styleId="FooterChar">
    <w:name w:val="Footer Char"/>
    <w:basedOn w:val="DefaultParagraphFont"/>
    <w:link w:val="Footer"/>
    <w:uiPriority w:val="99"/>
    <w:rsid w:val="00DA0FFC"/>
  </w:style>
  <w:style w:type="paragraph" w:styleId="ListParagraph">
    <w:name w:val="List Paragraph"/>
    <w:basedOn w:val="Normal"/>
    <w:uiPriority w:val="34"/>
    <w:qFormat/>
    <w:rsid w:val="00BD608A"/>
    <w:pPr>
      <w:ind w:left="720"/>
      <w:contextualSpacing/>
    </w:pPr>
    <w:rPr>
      <w:rFonts w:eastAsia="Calibri"/>
    </w:rPr>
  </w:style>
  <w:style w:type="paragraph" w:styleId="FootnoteText">
    <w:name w:val="footnote text"/>
    <w:basedOn w:val="Normal"/>
    <w:link w:val="FootnoteTextChar"/>
    <w:uiPriority w:val="99"/>
    <w:unhideWhenUsed/>
    <w:rsid w:val="00BD608A"/>
    <w:rPr>
      <w:rFonts w:eastAsia="Calibri"/>
    </w:rPr>
  </w:style>
  <w:style w:type="character" w:customStyle="1" w:styleId="FootnoteTextChar">
    <w:name w:val="Footnote Text Char"/>
    <w:basedOn w:val="DefaultParagraphFont"/>
    <w:link w:val="FootnoteText"/>
    <w:uiPriority w:val="99"/>
    <w:rsid w:val="00BD608A"/>
    <w:rPr>
      <w:rFonts w:ascii="Times New Roman" w:eastAsia="Calibri" w:hAnsi="Times New Roman" w:cs="Times New Roman"/>
      <w:lang w:val="en-US"/>
    </w:rPr>
  </w:style>
  <w:style w:type="character" w:styleId="FootnoteReference">
    <w:name w:val="footnote reference"/>
    <w:uiPriority w:val="99"/>
    <w:unhideWhenUsed/>
    <w:rsid w:val="00BD608A"/>
    <w:rPr>
      <w:vertAlign w:val="superscript"/>
    </w:rPr>
  </w:style>
  <w:style w:type="paragraph" w:styleId="NormalWeb">
    <w:name w:val="Normal (Web)"/>
    <w:basedOn w:val="Normal"/>
    <w:uiPriority w:val="99"/>
    <w:unhideWhenUsed/>
    <w:rsid w:val="00134CB2"/>
    <w:pPr>
      <w:spacing w:before="100" w:beforeAutospacing="1" w:after="100" w:afterAutospacing="1"/>
    </w:pPr>
  </w:style>
  <w:style w:type="character" w:styleId="Hyperlink">
    <w:name w:val="Hyperlink"/>
    <w:basedOn w:val="DefaultParagraphFont"/>
    <w:uiPriority w:val="99"/>
    <w:unhideWhenUsed/>
    <w:rsid w:val="00134CB2"/>
    <w:rPr>
      <w:color w:val="0000FF"/>
      <w:u w:val="single"/>
    </w:rPr>
  </w:style>
  <w:style w:type="paragraph" w:styleId="CommentSubject">
    <w:name w:val="annotation subject"/>
    <w:basedOn w:val="CommentText"/>
    <w:next w:val="CommentText"/>
    <w:link w:val="CommentSubjectChar"/>
    <w:uiPriority w:val="99"/>
    <w:semiHidden/>
    <w:unhideWhenUsed/>
    <w:rsid w:val="009D27AE"/>
    <w:rPr>
      <w:b/>
      <w:bCs/>
      <w:sz w:val="20"/>
      <w:szCs w:val="20"/>
    </w:rPr>
  </w:style>
  <w:style w:type="character" w:customStyle="1" w:styleId="CommentSubjectChar">
    <w:name w:val="Comment Subject Char"/>
    <w:basedOn w:val="CommentTextChar"/>
    <w:link w:val="CommentSubject"/>
    <w:uiPriority w:val="99"/>
    <w:semiHidden/>
    <w:rsid w:val="009D27AE"/>
    <w:rPr>
      <w:rFonts w:ascii="Times New Roman" w:hAnsi="Times New Roman" w:cs="Times New Roman"/>
      <w:b/>
      <w:bCs/>
      <w:sz w:val="20"/>
      <w:szCs w:val="20"/>
      <w:lang w:val="en-US"/>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Normal10">
    <w:name w:val="Normal1"/>
    <w:rsid w:val="004D32B3"/>
    <w:rPr>
      <w:color w:val="000000"/>
    </w:rPr>
  </w:style>
  <w:style w:type="character" w:customStyle="1" w:styleId="normal-h">
    <w:name w:val="normal-h"/>
    <w:rsid w:val="00D26DA7"/>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90122A"/>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as.org/es/cidh/expresion/docs/publicaciones/acceso%20a%20la%20informacion%202012%202da%20edicion.pdf" TargetMode="External"/><Relationship Id="rId12" Type="http://schemas.openxmlformats.org/officeDocument/2006/relationships/hyperlink" Target="http://www.oas.org/es/cidh/mandato/Basicos/PrincipiosLE.asp" TargetMode="External"/><Relationship Id="rId13" Type="http://schemas.openxmlformats.org/officeDocument/2006/relationships/hyperlink" Target="https://www.oas.org/es/cidh/expresion/informes/ESPIA2019.pdf"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eriodismoinvestigativo.com/" TargetMode="External"/><Relationship Id="rId10" Type="http://schemas.openxmlformats.org/officeDocument/2006/relationships/hyperlink" Target="https://www.oas.org/es/cidh/informes/pdfs/acceso-informa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A7Xe9E1MuyvTm8lU69bhJ+FGtg==">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4617</Words>
  <Characters>26321</Characters>
  <Application>Microsoft Macintosh Word</Application>
  <DocSecurity>0</DocSecurity>
  <Lines>219</Lines>
  <Paragraphs>61</Paragraphs>
  <ScaleCrop>false</ScaleCrop>
  <Company/>
  <LinksUpToDate>false</LinksUpToDate>
  <CharactersWithSpaces>30877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Madeline Ramirez</cp:lastModifiedBy>
  <cp:revision>2</cp:revision>
  <dcterms:created xsi:type="dcterms:W3CDTF">2020-05-29T13:48:00Z</dcterms:created>
  <dcterms:modified xsi:type="dcterms:W3CDTF">2020-05-29T13:48:00Z</dcterms:modified>
</cp:coreProperties>
</file>